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1F4E5F"/>
          <w:sz w:val="32"/>
          <w:szCs w:val="32"/>
        </w:rPr>
        <w:t xml:space="preserve">Response Transcript — Sample 3</w:t>
      </w:r>
    </w:p>
    <w:p>
      <w:pPr>
        <w:pBdr>
          <w:bottom w:val="single" w:color="1F4E5F" w:sz="8" w:space="4"/>
        </w:pBdr>
        <w:spacing w:after="240"/>
      </w:pPr>
    </w:p>
    <w:p>
      <w:pPr>
        <w:spacing w:after="120"/>
      </w:pPr>
      <w:r>
        <w:rPr>
          <w:rFonts w:ascii="Calibri" w:cs="Calibri" w:eastAsia="Calibri" w:hAnsi="Calibri"/>
          <w:b/>
          <w:bCs/>
          <w:color w:val="1F4E5F"/>
          <w:sz w:val="22"/>
          <w:szCs w:val="22"/>
        </w:rPr>
        <w:t xml:space="preserve">User Query</w:t>
      </w:r>
    </w:p>
    <w:p>
      <w:pPr>
        <w:pBdr>
          <w:left w:val="single" w:color="1F4E5F" w:sz="12" w:space="8"/>
        </w:pBdr>
        <w:spacing w:after="280"/>
        <w:ind w:left="360"/>
      </w:pPr>
      <w:r>
        <w:rPr>
          <w:rFonts w:ascii="Calibri" w:cs="Calibri" w:eastAsia="Calibri" w:hAnsi="Calibri"/>
          <w:i/>
          <w:iCs/>
          <w:sz w:val="22"/>
          <w:szCs w:val="22"/>
        </w:rPr>
        <w:t xml:space="preserve">Get me a list of cases by Carrefour</w:t>
      </w:r>
    </w:p>
    <w:p>
      <w:pPr>
        <w:spacing w:after="120"/>
      </w:pPr>
      <w:r>
        <w:rPr>
          <w:rFonts w:ascii="Calibri" w:cs="Calibri" w:eastAsia="Calibri" w:hAnsi="Calibri"/>
          <w:b/>
          <w:bCs/>
          <w:color w:val="1F4E5F"/>
          <w:sz w:val="22"/>
          <w:szCs w:val="22"/>
        </w:rPr>
        <w:t xml:space="preserve">System Response</w:t>
      </w:r>
    </w:p>
    <w:p>
      <w:pPr>
        <w:spacing w:after="160" w:before="300"/>
      </w:pPr>
      <w:r>
        <w:rPr>
          <w:rFonts w:ascii="Calibri" w:cs="Calibri" w:eastAsia="Calibri" w:hAnsi="Calibri"/>
          <w:b/>
          <w:bCs/>
          <w:color w:val="1F4E5F"/>
          <w:sz w:val="22"/>
          <w:szCs w:val="22"/>
        </w:rPr>
        <w:t xml:space="preserve">Decision No. 25-DCC-280 regarding the joint control acquisition of the company VPM Distribution by the Carrefour group and the Vacher and Vidal consortium</w:t>
      </w:r>
    </w:p>
    <w:p>
      <w:pPr>
        <w:spacing w:after="120" w:before="240"/>
      </w:pPr>
      <w:r>
        <w:rPr>
          <w:rFonts w:ascii="Calibri" w:cs="Calibri" w:eastAsia="Calibri" w:hAnsi="Calibri"/>
          <w:b/>
          <w:bCs/>
          <w:i/>
          <w:iCs/>
          <w:color w:val="1F4E5F"/>
          <w:sz w:val="22"/>
          <w:szCs w:val="22"/>
        </w:rPr>
        <w:t xml:space="preserve">Case Background</w:t>
      </w:r>
    </w:p>
    <w:p>
      <w:pPr>
        <w:spacing w:after="160"/>
      </w:pPr>
      <w:r>
        <w:rPr>
          <w:rFonts w:ascii="Calibri" w:cs="Calibri" w:eastAsia="Calibri" w:hAnsi="Calibri"/>
          <w:sz w:val="22"/>
          <w:szCs w:val="22"/>
        </w:rPr>
        <w:t xml:space="preserve">The allegation made in this case pertains to the joint control acquisition of the company VPM Distribution. </w:t>
      </w:r>
      <w:hyperlink w:history="1" r:id="rId-yty7ris7hlj-m_uvajnm">
        <w:r>
          <w:rPr>
            <w:rStyle w:val="Hyperlink"/>
            <w:rFonts w:ascii="Calibri" w:cs="Calibri" w:eastAsia="Calibri" w:hAnsi="Calibri"/>
            <w:sz w:val="22"/>
            <w:szCs w:val="22"/>
          </w:rPr>
          <w:t xml:space="preserve">[1]</w:t>
        </w:r>
      </w:hyperlink>
    </w:p>
    <w:p>
      <w:pPr>
        <w:spacing w:after="160"/>
      </w:pPr>
      <w:r>
        <w:rPr>
          <w:rFonts w:ascii="Calibri" w:cs="Calibri" w:eastAsia="Calibri" w:hAnsi="Calibri"/>
          <w:sz w:val="22"/>
          <w:szCs w:val="22"/>
        </w:rPr>
        <w:t xml:space="preserve">The companies involved in this case are the Carrefour group and the Vacher and Vidal consortium. </w:t>
      </w:r>
      <w:hyperlink w:history="1" r:id="rIdmticpdarxihzze4mjk-af">
        <w:r>
          <w:rPr>
            <w:rStyle w:val="Hyperlink"/>
            <w:rFonts w:ascii="Calibri" w:cs="Calibri" w:eastAsia="Calibri" w:hAnsi="Calibri"/>
            <w:sz w:val="22"/>
            <w:szCs w:val="22"/>
          </w:rPr>
          <w:t xml:space="preserve">[1]</w:t>
        </w:r>
      </w:hyperlink>
    </w:p>
    <w:p>
      <w:pPr>
        <w:spacing w:after="160"/>
      </w:pPr>
      <w:r>
        <w:rPr>
          <w:rFonts w:ascii="Calibri" w:cs="Calibri" w:eastAsia="Calibri" w:hAnsi="Calibri"/>
          <w:sz w:val="22"/>
          <w:szCs w:val="22"/>
        </w:rPr>
        <w:t xml:space="preserve">The year of case initiation is 2025, with the notification file sent on October 24, 2025. </w:t>
      </w:r>
      <w:hyperlink w:history="1" r:id="rId4owz9tbwwssh-dz41pl96">
        <w:r>
          <w:rPr>
            <w:rStyle w:val="Hyperlink"/>
            <w:rFonts w:ascii="Calibri" w:cs="Calibri" w:eastAsia="Calibri" w:hAnsi="Calibri"/>
            <w:sz w:val="22"/>
            <w:szCs w:val="22"/>
          </w:rPr>
          <w:t xml:space="preserve">[1]</w:t>
        </w:r>
      </w:hyperlink>
    </w:p>
    <w:p>
      <w:pPr>
        <w:spacing w:after="160"/>
      </w:pPr>
      <w:r>
        <w:rPr>
          <w:rFonts w:ascii="Calibri" w:cs="Calibri" w:eastAsia="Calibri" w:hAnsi="Calibri"/>
          <w:sz w:val="22"/>
          <w:szCs w:val="22"/>
        </w:rPr>
        <w:t xml:space="preserve">The violation relates to the acquisition of joint control, which constitutes a concentration under the Commercial Code. This acquisition was formalized by an act dated October 20, 2025, and involved the operation of a supermarket-type business under the Carrefour Market brand. </w:t>
      </w:r>
      <w:hyperlink w:history="1" r:id="rIddniblxvm02irpxkekbwss">
        <w:r>
          <w:rPr>
            <w:rStyle w:val="Hyperlink"/>
            <w:rFonts w:ascii="Calibri" w:cs="Calibri" w:eastAsia="Calibri" w:hAnsi="Calibri"/>
            <w:sz w:val="22"/>
            <w:szCs w:val="22"/>
          </w:rPr>
          <w:t xml:space="preserve">[1]</w:t>
        </w:r>
      </w:hyperlink>
    </w:p>
    <w:p>
      <w:pPr>
        <w:spacing w:after="160"/>
      </w:pPr>
      <w:r>
        <w:rPr>
          <w:rFonts w:ascii="Calibri" w:cs="Calibri" w:eastAsia="Calibri" w:hAnsi="Calibri"/>
          <w:sz w:val="22"/>
          <w:szCs w:val="22"/>
        </w:rPr>
        <w:t xml:space="preserve">The operation was assessed to ensure it did not harm competition in the relevant markets, and it was determined that the control thresholds were exceeded, thus subjecting it to the provisions of the Commercial Code regarding economic concentration. </w:t>
      </w:r>
      <w:hyperlink w:history="1" r:id="rIdwzjwfq6xequjetc8h8bfp">
        <w:r>
          <w:rPr>
            <w:rStyle w:val="Hyperlink"/>
            <w:rFonts w:ascii="Calibri" w:cs="Calibri" w:eastAsia="Calibri" w:hAnsi="Calibri"/>
            <w:sz w:val="22"/>
            <w:szCs w:val="22"/>
          </w:rPr>
          <w:t xml:space="preserve">[1]</w:t>
        </w:r>
      </w:hyperlink>
    </w:p>
    <w:p>
      <w:pPr>
        <w:spacing w:after="120" w:before="240"/>
      </w:pPr>
      <w:r>
        <w:rPr>
          <w:rFonts w:ascii="Calibri" w:cs="Calibri" w:eastAsia="Calibri" w:hAnsi="Calibri"/>
          <w:b/>
          <w:bCs/>
          <w:i/>
          <w:iCs/>
          <w:color w:val="1F4E5F"/>
          <w:sz w:val="22"/>
          <w:szCs w:val="22"/>
        </w:rPr>
        <w:t xml:space="preserve">Case Progression</w:t>
      </w:r>
    </w:p>
    <w:p>
      <w:pPr>
        <w:pStyle w:val="ListParagraph"/>
        <w:numPr>
          <w:ilvl w:val="0"/>
          <w:numId w:val="1"/>
        </w:numPr>
        <w:spacing w:after="120"/>
      </w:pPr>
      <w:r>
        <w:rPr>
          <w:rFonts w:ascii="Calibri" w:cs="Calibri" w:eastAsia="Calibri" w:hAnsi="Calibri"/>
          <w:b/>
          <w:bCs/>
          <w:sz w:val="22"/>
          <w:szCs w:val="22"/>
        </w:rPr>
        <w:t xml:space="preserve">Case Initiation: </w:t>
      </w:r>
      <w:r>
        <w:rPr>
          <w:rFonts w:ascii="Calibri" w:cs="Calibri" w:eastAsia="Calibri" w:hAnsi="Calibri"/>
          <w:sz w:val="22"/>
          <w:szCs w:val="22"/>
        </w:rPr>
        <w:t xml:space="preserve">The case was initiated with the notification of the joint control acquisition of VPM Distribution by the Carrefour group and the Vacher and Vidal consortium, formalized on October 20, 2025. This step is documented </w:t>
      </w:r>
      <w:hyperlink w:history="1" r:id="rIdspxhbnkspnltzeb8til4r">
        <w:r>
          <w:rPr>
            <w:rStyle w:val="Hyperlink"/>
            <w:rFonts w:ascii="Calibri" w:cs="Calibri" w:eastAsia="Calibri" w:hAnsi="Calibri"/>
            <w:sz w:val="22"/>
            <w:szCs w:val="22"/>
          </w:rPr>
          <w:t xml:space="preserve">[1]</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b/>
          <w:bCs/>
          <w:sz w:val="22"/>
          <w:szCs w:val="22"/>
        </w:rPr>
        <w:t xml:space="preserve">Preliminary Investigation: </w:t>
      </w:r>
      <w:r>
        <w:rPr>
          <w:rFonts w:ascii="Calibri" w:cs="Calibri" w:eastAsia="Calibri" w:hAnsi="Calibri"/>
          <w:sz w:val="22"/>
          <w:szCs w:val="22"/>
        </w:rPr>
        <w:t xml:space="preserve">The Competition Authority reviewed the complete notification file submitted on October 24, 2025. The investigation assessed whether the operation would harm competition in the relevant markets, concluding that it did not, as indicated </w:t>
      </w:r>
      <w:hyperlink w:history="1" r:id="rIdj2bm3v9ytur4yuvkacimz">
        <w:r>
          <w:rPr>
            <w:rStyle w:val="Hyperlink"/>
            <w:rFonts w:ascii="Calibri" w:cs="Calibri" w:eastAsia="Calibri" w:hAnsi="Calibri"/>
            <w:sz w:val="22"/>
            <w:szCs w:val="22"/>
          </w:rPr>
          <w:t xml:space="preserve">[1]</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b/>
          <w:bCs/>
          <w:sz w:val="22"/>
          <w:szCs w:val="22"/>
        </w:rPr>
        <w:t xml:space="preserve">Statement of Objections: </w:t>
      </w:r>
      <w:r>
        <w:rPr>
          <w:rFonts w:ascii="Calibri" w:cs="Calibri" w:eastAsia="Calibri" w:hAnsi="Calibri"/>
          <w:sz w:val="22"/>
          <w:szCs w:val="22"/>
        </w:rPr>
        <w:t xml:space="preserve">No Statement of Objections was issued in this case, as the investigation found no evidence of potential harm to competition. This is noted </w:t>
      </w:r>
      <w:hyperlink w:history="1" r:id="rIdcuubs1juhonhzgwlzwq6h">
        <w:r>
          <w:rPr>
            <w:rStyle w:val="Hyperlink"/>
            <w:rFonts w:ascii="Calibri" w:cs="Calibri" w:eastAsia="Calibri" w:hAnsi="Calibri"/>
            <w:sz w:val="22"/>
            <w:szCs w:val="22"/>
          </w:rPr>
          <w:t xml:space="preserve">[1]</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b/>
          <w:bCs/>
          <w:sz w:val="22"/>
          <w:szCs w:val="22"/>
        </w:rPr>
        <w:t xml:space="preserve">Defense Phase: </w:t>
      </w:r>
      <w:r>
        <w:rPr>
          <w:rFonts w:ascii="Calibri" w:cs="Calibri" w:eastAsia="Calibri" w:hAnsi="Calibri"/>
          <w:sz w:val="22"/>
          <w:szCs w:val="22"/>
        </w:rPr>
        <w:t xml:space="preserve">Since there were no objections or concerns raised, there was no need for a defense phase involving written responses or oral hearings. This is implied by the absence of such steps in the decision </w:t>
      </w:r>
      <w:hyperlink w:history="1" r:id="rId8hcpsxf-tcaenbekimbqb">
        <w:r>
          <w:rPr>
            <w:rStyle w:val="Hyperlink"/>
            <w:rFonts w:ascii="Calibri" w:cs="Calibri" w:eastAsia="Calibri" w:hAnsi="Calibri"/>
            <w:sz w:val="22"/>
            <w:szCs w:val="22"/>
          </w:rPr>
          <w:t xml:space="preserve">[1]</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b/>
          <w:bCs/>
          <w:sz w:val="22"/>
          <w:szCs w:val="22"/>
        </w:rPr>
        <w:t xml:space="preserve">Commission Decision: </w:t>
      </w:r>
      <w:r>
        <w:rPr>
          <w:rFonts w:ascii="Calibri" w:cs="Calibri" w:eastAsia="Calibri" w:hAnsi="Calibri"/>
          <w:sz w:val="22"/>
          <w:szCs w:val="22"/>
        </w:rPr>
        <w:t xml:space="preserve">The Competition Authority authorized the operation, concluding that it did not infringe upon competition laws. This decision is clearly stated in the sole article of the document </w:t>
      </w:r>
      <w:hyperlink w:history="1" r:id="rIdk02b2gl8spva4nhze-htd">
        <w:r>
          <w:rPr>
            <w:rStyle w:val="Hyperlink"/>
            <w:rFonts w:ascii="Calibri" w:cs="Calibri" w:eastAsia="Calibri" w:hAnsi="Calibri"/>
            <w:sz w:val="22"/>
            <w:szCs w:val="22"/>
          </w:rPr>
          <w:t xml:space="preserve">[1]</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b/>
          <w:bCs/>
          <w:sz w:val="22"/>
          <w:szCs w:val="22"/>
        </w:rPr>
        <w:t xml:space="preserve">Final Outcome: </w:t>
      </w:r>
      <w:r>
        <w:rPr>
          <w:rFonts w:ascii="Calibri" w:cs="Calibri" w:eastAsia="Calibri" w:hAnsi="Calibri"/>
          <w:sz w:val="22"/>
          <w:szCs w:val="22"/>
        </w:rPr>
        <w:t xml:space="preserve">The operation was authorized without any further appeals or commitments required, leading to an end of the case. This final decision is confirmed </w:t>
      </w:r>
      <w:hyperlink w:history="1" r:id="rIdfevaxfiplx13gux4b0ci7">
        <w:r>
          <w:rPr>
            <w:rStyle w:val="Hyperlink"/>
            <w:rFonts w:ascii="Calibri" w:cs="Calibri" w:eastAsia="Calibri" w:hAnsi="Calibri"/>
            <w:sz w:val="22"/>
            <w:szCs w:val="22"/>
          </w:rPr>
          <w:t xml:space="preserve">[1]</w:t>
        </w:r>
      </w:hyperlink>
      <w:r>
        <w:rPr>
          <w:rFonts w:ascii="Calibri" w:cs="Calibri" w:eastAsia="Calibri" w:hAnsi="Calibri"/>
          <w:sz w:val="22"/>
          <w:szCs w:val="22"/>
        </w:rPr>
        <w:t xml:space="preserve">.</w:t>
      </w:r>
    </w:p>
    <w:p>
      <w:pPr>
        <w:spacing w:after="120" w:before="240"/>
      </w:pPr>
      <w:r>
        <w:rPr>
          <w:rFonts w:ascii="Calibri" w:cs="Calibri" w:eastAsia="Calibri" w:hAnsi="Calibri"/>
          <w:b/>
          <w:bCs/>
          <w:i/>
          <w:iCs/>
          <w:color w:val="1F4E5F"/>
          <w:sz w:val="22"/>
          <w:szCs w:val="22"/>
        </w:rPr>
        <w:t xml:space="preserve">Market Definition</w:t>
      </w:r>
    </w:p>
    <w:p>
      <w:pPr>
        <w:spacing w:after="160"/>
      </w:pPr>
      <w:r>
        <w:rPr>
          <w:rFonts w:ascii="Calibri" w:cs="Calibri" w:eastAsia="Calibri" w:hAnsi="Calibri"/>
          <w:sz w:val="22"/>
          <w:szCs w:val="22"/>
        </w:rPr>
        <w:t xml:space="preserve">The market considered in this case was the supermarket-type business sector, specifically focusing on the operation of a supermarket with a sales area of 1,770 m² under the Carrefour Market brand. </w:t>
      </w:r>
      <w:hyperlink w:history="1" r:id="rIdjljbgey0zeflhd-mucald">
        <w:r>
          <w:rPr>
            <w:rStyle w:val="Hyperlink"/>
            <w:rFonts w:ascii="Calibri" w:cs="Calibri" w:eastAsia="Calibri" w:hAnsi="Calibri"/>
            <w:sz w:val="22"/>
            <w:szCs w:val="22"/>
          </w:rPr>
          <w:t xml:space="preserve">[1]</w:t>
        </w:r>
      </w:hyperlink>
    </w:p>
    <w:p>
      <w:pPr>
        <w:spacing w:after="160"/>
      </w:pPr>
      <w:r>
        <w:rPr>
          <w:rFonts w:ascii="Calibri" w:cs="Calibri" w:eastAsia="Calibri" w:hAnsi="Calibri"/>
          <w:sz w:val="22"/>
          <w:szCs w:val="22"/>
        </w:rPr>
        <w:t xml:space="preserve">The process to define the market involved assessing the nature of the business activities of the company VPM Distribution and its operational context within the retail sector. </w:t>
      </w:r>
      <w:hyperlink w:history="1" r:id="rIdrnhpcvl6c27suwrsdwpww">
        <w:r>
          <w:rPr>
            <w:rStyle w:val="Hyperlink"/>
            <w:rFonts w:ascii="Calibri" w:cs="Calibri" w:eastAsia="Calibri" w:hAnsi="Calibri"/>
            <w:sz w:val="22"/>
            <w:szCs w:val="22"/>
          </w:rPr>
          <w:t xml:space="preserve">[1]</w:t>
        </w:r>
      </w:hyperlink>
    </w:p>
    <w:p>
      <w:pPr>
        <w:spacing w:after="160"/>
      </w:pPr>
      <w:r>
        <w:rPr>
          <w:rFonts w:ascii="Calibri" w:cs="Calibri" w:eastAsia="Calibri" w:hAnsi="Calibri"/>
          <w:sz w:val="22"/>
          <w:szCs w:val="22"/>
        </w:rPr>
        <w:t xml:space="preserve">The analysis included evaluating the turnover achieved by the companies involved to determine whether the operation fell under the jurisdiction of the European Union or was subject to national competition law. </w:t>
      </w:r>
      <w:hyperlink w:history="1" r:id="rId7qmtoy7yl2txob2gsj8pr">
        <w:r>
          <w:rPr>
            <w:rStyle w:val="Hyperlink"/>
            <w:rFonts w:ascii="Calibri" w:cs="Calibri" w:eastAsia="Calibri" w:hAnsi="Calibri"/>
            <w:sz w:val="22"/>
            <w:szCs w:val="22"/>
          </w:rPr>
          <w:t xml:space="preserve">[1]</w:t>
        </w:r>
      </w:hyperlink>
    </w:p>
    <w:p>
      <w:pPr>
        <w:spacing w:after="160"/>
      </w:pPr>
      <w:r>
        <w:rPr>
          <w:rFonts w:ascii="Calibri" w:cs="Calibri" w:eastAsia="Calibri" w:hAnsi="Calibri"/>
          <w:sz w:val="22"/>
          <w:szCs w:val="22"/>
        </w:rPr>
        <w:t xml:space="preserve">The control thresholds mentioned in Article L. 430-2 of the Commercial Code were examined to confirm that they were exceeded, indicating that the operation constituted a concentration. </w:t>
      </w:r>
      <w:hyperlink w:history="1" r:id="rIdwve6rsvmkdzfqaii4weaz">
        <w:r>
          <w:rPr>
            <w:rStyle w:val="Hyperlink"/>
            <w:rFonts w:ascii="Calibri" w:cs="Calibri" w:eastAsia="Calibri" w:hAnsi="Calibri"/>
            <w:sz w:val="22"/>
            <w:szCs w:val="22"/>
          </w:rPr>
          <w:t xml:space="preserve">[1]</w:t>
        </w:r>
      </w:hyperlink>
    </w:p>
    <w:p>
      <w:pPr>
        <w:spacing w:after="160"/>
      </w:pPr>
      <w:r>
        <w:rPr>
          <w:rFonts w:ascii="Calibri" w:cs="Calibri" w:eastAsia="Calibri" w:hAnsi="Calibri"/>
          <w:sz w:val="22"/>
          <w:szCs w:val="22"/>
        </w:rPr>
        <w:t xml:space="preserve">The Competition Authority reviewed the elements of the notification file to assess the potential impact of the operation on competition within the relevant markets. </w:t>
      </w:r>
      <w:hyperlink w:history="1" r:id="rIdury-ebnjuqybatsyn7wrn">
        <w:r>
          <w:rPr>
            <w:rStyle w:val="Hyperlink"/>
            <w:rFonts w:ascii="Calibri" w:cs="Calibri" w:eastAsia="Calibri" w:hAnsi="Calibri"/>
            <w:sz w:val="22"/>
            <w:szCs w:val="22"/>
          </w:rPr>
          <w:t xml:space="preserve">[1]</w:t>
        </w:r>
      </w:hyperlink>
    </w:p>
    <w:p>
      <w:pPr>
        <w:spacing w:after="160"/>
      </w:pPr>
      <w:r>
        <w:rPr>
          <w:rFonts w:ascii="Calibri" w:cs="Calibri" w:eastAsia="Calibri" w:hAnsi="Calibri"/>
          <w:sz w:val="22"/>
          <w:szCs w:val="22"/>
        </w:rPr>
        <w:t xml:space="preserve">Techniques used in the assessment included a detailed examination of market shares, competitive dynamics, and potential barriers to entry for other competitors in the supermarket sector. </w:t>
      </w:r>
      <w:hyperlink w:history="1" r:id="rIdigrc1ij0biocn0qdk-fdz">
        <w:r>
          <w:rPr>
            <w:rStyle w:val="Hyperlink"/>
            <w:rFonts w:ascii="Calibri" w:cs="Calibri" w:eastAsia="Calibri" w:hAnsi="Calibri"/>
            <w:sz w:val="22"/>
            <w:szCs w:val="22"/>
          </w:rPr>
          <w:t xml:space="preserve">[1]</w:t>
        </w:r>
      </w:hyperlink>
    </w:p>
    <w:p>
      <w:pPr>
        <w:spacing w:after="160"/>
      </w:pPr>
      <w:r>
        <w:rPr>
          <w:rFonts w:ascii="Calibri" w:cs="Calibri" w:eastAsia="Calibri" w:hAnsi="Calibri"/>
          <w:sz w:val="22"/>
          <w:szCs w:val="22"/>
        </w:rPr>
        <w:t xml:space="preserve">Ultimately, the decision concluded that the operation was not likely to harm competition in the relevant markets, leading to its authorization. </w:t>
      </w:r>
      <w:hyperlink w:history="1" r:id="rId5rvbnxjmupj5opmk_v7vc">
        <w:r>
          <w:rPr>
            <w:rStyle w:val="Hyperlink"/>
            <w:rFonts w:ascii="Calibri" w:cs="Calibri" w:eastAsia="Calibri" w:hAnsi="Calibri"/>
            <w:sz w:val="22"/>
            <w:szCs w:val="22"/>
          </w:rPr>
          <w:t xml:space="preserve">[1]</w:t>
        </w:r>
      </w:hyperlink>
    </w:p>
    <w:p>
      <w:pPr>
        <w:spacing w:after="120" w:before="240"/>
      </w:pPr>
      <w:r>
        <w:rPr>
          <w:rFonts w:ascii="Calibri" w:cs="Calibri" w:eastAsia="Calibri" w:hAnsi="Calibri"/>
          <w:b/>
          <w:bCs/>
          <w:i/>
          <w:iCs/>
          <w:color w:val="1F4E5F"/>
          <w:sz w:val="22"/>
          <w:szCs w:val="22"/>
        </w:rPr>
        <w:t xml:space="preserve">Legal &amp; Economic Tests</w:t>
      </w:r>
    </w:p>
    <w:p>
      <w:pPr>
        <w:pStyle w:val="ListParagraph"/>
        <w:numPr>
          <w:ilvl w:val="0"/>
          <w:numId w:val="1"/>
        </w:numPr>
        <w:spacing w:after="120"/>
      </w:pPr>
      <w:r>
        <w:rPr>
          <w:rFonts w:ascii="Calibri" w:cs="Calibri" w:eastAsia="Calibri" w:hAnsi="Calibri"/>
          <w:b/>
          <w:bCs/>
          <w:sz w:val="22"/>
          <w:szCs w:val="22"/>
        </w:rPr>
        <w:t xml:space="preserve">Concentration Assessment: </w:t>
      </w:r>
      <w:r>
        <w:rPr>
          <w:rFonts w:ascii="Calibri" w:cs="Calibri" w:eastAsia="Calibri" w:hAnsi="Calibri"/>
          <w:sz w:val="22"/>
          <w:szCs w:val="22"/>
        </w:rPr>
        <w:t xml:space="preserve">The operation was assessed to determine if it constituted a concentration under Article L. 430-1 of the Commercial Code. This involves evaluating whether the acquisition of joint control by the Carrefour group and the Vacher and Vidal consortium over VPM Distribution meets the legal definition of a concentration, which is defined by the merging of businesses that can significantly affect competition. This assessment confirmed that the operation indeed qualifies as a concentration. </w:t>
      </w:r>
      <w:hyperlink w:history="1" r:id="rIdixsz8uzbgbvmbt0-mnitd">
        <w:r>
          <w:rPr>
            <w:rStyle w:val="Hyperlink"/>
            <w:rFonts w:ascii="Calibri" w:cs="Calibri" w:eastAsia="Calibri" w:hAnsi="Calibri"/>
            <w:sz w:val="22"/>
            <w:szCs w:val="22"/>
          </w:rPr>
          <w:t xml:space="preserve">[1]</w:t>
        </w:r>
      </w:hyperlink>
    </w:p>
    <w:p>
      <w:pPr>
        <w:pStyle w:val="ListParagraph"/>
        <w:numPr>
          <w:ilvl w:val="0"/>
          <w:numId w:val="1"/>
        </w:numPr>
        <w:spacing w:after="120"/>
      </w:pPr>
      <w:r>
        <w:rPr>
          <w:rFonts w:ascii="Calibri" w:cs="Calibri" w:eastAsia="Calibri" w:hAnsi="Calibri"/>
          <w:b/>
          <w:bCs/>
          <w:sz w:val="22"/>
          <w:szCs w:val="22"/>
        </w:rPr>
        <w:t xml:space="preserve">Jurisdictional Thresholds: </w:t>
      </w:r>
      <w:r>
        <w:rPr>
          <w:rFonts w:ascii="Calibri" w:cs="Calibri" w:eastAsia="Calibri" w:hAnsi="Calibri"/>
          <w:sz w:val="22"/>
          <w:szCs w:val="22"/>
        </w:rPr>
        <w:t xml:space="preserve">The turnover achieved by the companies involved was analyzed to establish whether the operation fell under the jurisdiction of the European Union. Since the turnover did not meet the thresholds set for EU jurisdiction, the case was instead evaluated under national law. This step ensures that only relevant cases are reviewed at the appropriate jurisdictional level. </w:t>
      </w:r>
      <w:hyperlink w:history="1" r:id="rIdou2iorwmqxnlgwmyhhtkp">
        <w:r>
          <w:rPr>
            <w:rStyle w:val="Hyperlink"/>
            <w:rFonts w:ascii="Calibri" w:cs="Calibri" w:eastAsia="Calibri" w:hAnsi="Calibri"/>
            <w:sz w:val="22"/>
            <w:szCs w:val="22"/>
          </w:rPr>
          <w:t xml:space="preserve">[1]</w:t>
        </w:r>
      </w:hyperlink>
    </w:p>
    <w:p>
      <w:pPr>
        <w:pStyle w:val="ListParagraph"/>
        <w:numPr>
          <w:ilvl w:val="0"/>
          <w:numId w:val="1"/>
        </w:numPr>
        <w:spacing w:after="120"/>
      </w:pPr>
      <w:r>
        <w:rPr>
          <w:rFonts w:ascii="Calibri" w:cs="Calibri" w:eastAsia="Calibri" w:hAnsi="Calibri"/>
          <w:b/>
          <w:bCs/>
          <w:sz w:val="22"/>
          <w:szCs w:val="22"/>
        </w:rPr>
        <w:t xml:space="preserve">Competition Impact Evaluation: </w:t>
      </w:r>
      <w:r>
        <w:rPr>
          <w:rFonts w:ascii="Calibri" w:cs="Calibri" w:eastAsia="Calibri" w:hAnsi="Calibri"/>
          <w:sz w:val="22"/>
          <w:szCs w:val="22"/>
        </w:rPr>
        <w:t xml:space="preserve">The authority examined whether the acquisition would harm competition in the relevant markets. This evaluation involved analyzing market dynamics and the potential effects of the concentration on competition. The conclusion drawn was that the operation was not likely to harm competition, leading to its authorization. This step is crucial to ensure that market competition remains healthy and that consumer interests are protected. </w:t>
      </w:r>
      <w:hyperlink w:history="1" r:id="rIdawz6hceeuqn1_jvftxhxu">
        <w:r>
          <w:rPr>
            <w:rStyle w:val="Hyperlink"/>
            <w:rFonts w:ascii="Calibri" w:cs="Calibri" w:eastAsia="Calibri" w:hAnsi="Calibri"/>
            <w:sz w:val="22"/>
            <w:szCs w:val="22"/>
          </w:rPr>
          <w:t xml:space="preserve">[1]</w:t>
        </w:r>
      </w:hyperlink>
    </w:p>
    <w:p>
      <w:pPr>
        <w:spacing w:after="120" w:before="240"/>
      </w:pPr>
      <w:r>
        <w:rPr>
          <w:rFonts w:ascii="Calibri" w:cs="Calibri" w:eastAsia="Calibri" w:hAnsi="Calibri"/>
          <w:b/>
          <w:bCs/>
          <w:i/>
          <w:iCs/>
          <w:color w:val="1F4E5F"/>
          <w:sz w:val="22"/>
          <w:szCs w:val="22"/>
        </w:rPr>
        <w:t xml:space="preserve">Conclusion</w:t>
      </w:r>
    </w:p>
    <w:p>
      <w:pPr>
        <w:pStyle w:val="ListParagraph"/>
        <w:numPr>
          <w:ilvl w:val="0"/>
          <w:numId w:val="1"/>
        </w:numPr>
        <w:spacing w:after="120"/>
      </w:pPr>
      <w:r>
        <w:rPr>
          <w:rFonts w:ascii="Calibri" w:cs="Calibri" w:eastAsia="Calibri" w:hAnsi="Calibri"/>
          <w:sz w:val="22"/>
          <w:szCs w:val="22"/>
        </w:rPr>
        <w:t xml:space="preserve">The operation involving the joint control acquisition of VPM Distribution by the Carrefour group and the Vacher and Vidal consortium was authorized, indicating that it was deemed acceptable under competition law </w:t>
      </w:r>
      <w:hyperlink w:history="1" r:id="rId9n3ajiudqlvubq1odiipj">
        <w:r>
          <w:rPr>
            <w:rStyle w:val="Hyperlink"/>
            <w:rFonts w:ascii="Calibri" w:cs="Calibri" w:eastAsia="Calibri" w:hAnsi="Calibri"/>
            <w:sz w:val="22"/>
            <w:szCs w:val="22"/>
          </w:rPr>
          <w:t xml:space="preserve">[1]</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sz w:val="22"/>
          <w:szCs w:val="22"/>
        </w:rPr>
        <w:t xml:space="preserve">The acquisition was characterized as a concentration under Article L. 430-1 of the Commercial Code, which pertains to economic concentrations </w:t>
      </w:r>
      <w:hyperlink w:history="1" r:id="rIdpykj1rukrmdqgl7gpnlt0">
        <w:r>
          <w:rPr>
            <w:rStyle w:val="Hyperlink"/>
            <w:rFonts w:ascii="Calibri" w:cs="Calibri" w:eastAsia="Calibri" w:hAnsi="Calibri"/>
            <w:sz w:val="22"/>
            <w:szCs w:val="22"/>
          </w:rPr>
          <w:t xml:space="preserve">[1]</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sz w:val="22"/>
          <w:szCs w:val="22"/>
        </w:rPr>
        <w:t xml:space="preserve">The relevant market analysis concluded that the operation was not likely to harm competition, suggesting that it would not create significant anti-competitive effects </w:t>
      </w:r>
      <w:hyperlink w:history="1" r:id="rIdlx8goicitkmtowcjb-icn">
        <w:r>
          <w:rPr>
            <w:rStyle w:val="Hyperlink"/>
            <w:rFonts w:ascii="Calibri" w:cs="Calibri" w:eastAsia="Calibri" w:hAnsi="Calibri"/>
            <w:sz w:val="22"/>
            <w:szCs w:val="22"/>
          </w:rPr>
          <w:t xml:space="preserve">[1]</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sz w:val="22"/>
          <w:szCs w:val="22"/>
        </w:rPr>
        <w:t xml:space="preserve">The turnover of the companies involved did not meet the thresholds for European Union jurisdiction, but exceeded the control thresholds specified in Article L. 430-2 of the Commercial Code, confirming the authority's jurisdiction over the case </w:t>
      </w:r>
      <w:hyperlink w:history="1" r:id="rIdp4_jtfewuvxzeecr61f-f">
        <w:r>
          <w:rPr>
            <w:rStyle w:val="Hyperlink"/>
            <w:rFonts w:ascii="Calibri" w:cs="Calibri" w:eastAsia="Calibri" w:hAnsi="Calibri"/>
            <w:sz w:val="22"/>
            <w:szCs w:val="22"/>
          </w:rPr>
          <w:t xml:space="preserve">[1]</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sz w:val="22"/>
          <w:szCs w:val="22"/>
        </w:rPr>
        <w:t xml:space="preserve">No remedies or fines were imposed as part of the decision, as the operation was authorized without conditions </w:t>
      </w:r>
      <w:hyperlink w:history="1" r:id="rIdjxartfnyndkkksimbotbe">
        <w:r>
          <w:rPr>
            <w:rStyle w:val="Hyperlink"/>
            <w:rFonts w:ascii="Calibri" w:cs="Calibri" w:eastAsia="Calibri" w:hAnsi="Calibri"/>
            <w:sz w:val="22"/>
            <w:szCs w:val="22"/>
          </w:rPr>
          <w:t xml:space="preserve">[1]</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sz w:val="22"/>
          <w:szCs w:val="22"/>
        </w:rPr>
        <w:t xml:space="preserve">The decision was formalized following a complete notification file submitted to the mergers department, indicating thorough review and consideration of the case </w:t>
      </w:r>
      <w:hyperlink w:history="1" r:id="rIdsgahhcynybcejvmu0k8-7">
        <w:r>
          <w:rPr>
            <w:rStyle w:val="Hyperlink"/>
            <w:rFonts w:ascii="Calibri" w:cs="Calibri" w:eastAsia="Calibri" w:hAnsi="Calibri"/>
            <w:sz w:val="22"/>
            <w:szCs w:val="22"/>
          </w:rPr>
          <w:t xml:space="preserve">[1]</w:t>
        </w:r>
      </w:hyperlink>
      <w:r>
        <w:rPr>
          <w:rFonts w:ascii="Calibri" w:cs="Calibri" w:eastAsia="Calibri" w:hAnsi="Calibri"/>
          <w:sz w:val="22"/>
          <w:szCs w:val="22"/>
        </w:rPr>
        <w:t xml:space="preserve">.</w:t>
      </w:r>
    </w:p>
    <w:p>
      <w:pPr>
        <w:spacing w:after="160" w:before="300"/>
      </w:pPr>
      <w:r>
        <w:rPr>
          <w:rFonts w:ascii="Calibri" w:cs="Calibri" w:eastAsia="Calibri" w:hAnsi="Calibri"/>
          <w:b/>
          <w:bCs/>
          <w:color w:val="1F4E5F"/>
          <w:sz w:val="22"/>
          <w:szCs w:val="22"/>
        </w:rPr>
        <w:t xml:space="preserve">Decision No. 25-DCC-300 regarding the exclusive control acquisition of the company La Crau Dis by the Carrefour group</w:t>
      </w:r>
    </w:p>
    <w:p>
      <w:pPr>
        <w:spacing w:after="120" w:before="240"/>
      </w:pPr>
      <w:r>
        <w:rPr>
          <w:rFonts w:ascii="Calibri" w:cs="Calibri" w:eastAsia="Calibri" w:hAnsi="Calibri"/>
          <w:b/>
          <w:bCs/>
          <w:i/>
          <w:iCs/>
          <w:color w:val="1F4E5F"/>
          <w:sz w:val="22"/>
          <w:szCs w:val="22"/>
        </w:rPr>
        <w:t xml:space="preserve">Case Background</w:t>
      </w:r>
    </w:p>
    <w:p>
      <w:pPr>
        <w:spacing w:after="160"/>
      </w:pPr>
      <w:r>
        <w:rPr>
          <w:rFonts w:ascii="Calibri" w:cs="Calibri" w:eastAsia="Calibri" w:hAnsi="Calibri"/>
          <w:sz w:val="22"/>
          <w:szCs w:val="22"/>
        </w:rPr>
        <w:t xml:space="preserve">The allegation made in this case pertains to the acquisition of exclusive control by the Carrefour group over the company La Crau Dis. </w:t>
      </w:r>
      <w:hyperlink w:history="1" r:id="rIdufwfy6_uykfmoq1kprk1h">
        <w:r>
          <w:rPr>
            <w:rStyle w:val="Hyperlink"/>
            <w:rFonts w:ascii="Calibri" w:cs="Calibri" w:eastAsia="Calibri" w:hAnsi="Calibri"/>
            <w:sz w:val="22"/>
            <w:szCs w:val="22"/>
          </w:rPr>
          <w:t xml:space="preserve">[2]</w:t>
        </w:r>
      </w:hyperlink>
    </w:p>
    <w:p>
      <w:pPr>
        <w:spacing w:after="160"/>
      </w:pPr>
      <w:r>
        <w:rPr>
          <w:rFonts w:ascii="Calibri" w:cs="Calibri" w:eastAsia="Calibri" w:hAnsi="Calibri"/>
          <w:sz w:val="22"/>
          <w:szCs w:val="22"/>
        </w:rPr>
        <w:t xml:space="preserve">The companies involved in this case are the Carrefour group and La Crau Dis, with the latter operating a supermarket-type business. </w:t>
      </w:r>
      <w:hyperlink w:history="1" r:id="rIdxlyf5leenx2b32fvxrvzd">
        <w:r>
          <w:rPr>
            <w:rStyle w:val="Hyperlink"/>
            <w:rFonts w:ascii="Calibri" w:cs="Calibri" w:eastAsia="Calibri" w:hAnsi="Calibri"/>
            <w:sz w:val="22"/>
            <w:szCs w:val="22"/>
          </w:rPr>
          <w:t xml:space="preserve">[2]</w:t>
        </w:r>
      </w:hyperlink>
    </w:p>
    <w:p>
      <w:pPr>
        <w:spacing w:after="160"/>
      </w:pPr>
      <w:r>
        <w:rPr>
          <w:rFonts w:ascii="Calibri" w:cs="Calibri" w:eastAsia="Calibri" w:hAnsi="Calibri"/>
          <w:sz w:val="22"/>
          <w:szCs w:val="22"/>
        </w:rPr>
        <w:t xml:space="preserve">The case was initiated in the year 2025, specifically with the notification filed on November 4, 2025. </w:t>
      </w:r>
      <w:hyperlink w:history="1" r:id="rIduh6s0p3vmhji24lk82ubb">
        <w:r>
          <w:rPr>
            <w:rStyle w:val="Hyperlink"/>
            <w:rFonts w:ascii="Calibri" w:cs="Calibri" w:eastAsia="Calibri" w:hAnsi="Calibri"/>
            <w:sz w:val="22"/>
            <w:szCs w:val="22"/>
          </w:rPr>
          <w:t xml:space="preserve">[2]</w:t>
        </w:r>
      </w:hyperlink>
    </w:p>
    <w:p>
      <w:pPr>
        <w:spacing w:after="160"/>
      </w:pPr>
      <w:r>
        <w:rPr>
          <w:rFonts w:ascii="Calibri" w:cs="Calibri" w:eastAsia="Calibri" w:hAnsi="Calibri"/>
          <w:sz w:val="22"/>
          <w:szCs w:val="22"/>
        </w:rPr>
        <w:t xml:space="preserve">The violation relates to the provisions of the Commercial Code concerning economic concentration, as the acquisition exceeded the control thresholds outlined in the relevant articles. </w:t>
      </w:r>
      <w:hyperlink w:history="1" r:id="rIdkq7hgahcjsl3cga2fpjz3">
        <w:r>
          <w:rPr>
            <w:rStyle w:val="Hyperlink"/>
            <w:rFonts w:ascii="Calibri" w:cs="Calibri" w:eastAsia="Calibri" w:hAnsi="Calibri"/>
            <w:sz w:val="22"/>
            <w:szCs w:val="22"/>
          </w:rPr>
          <w:t xml:space="preserve">[2]</w:t>
        </w:r>
      </w:hyperlink>
    </w:p>
    <w:p>
      <w:pPr>
        <w:spacing w:after="160"/>
      </w:pPr>
      <w:r>
        <w:rPr>
          <w:rFonts w:ascii="Calibri" w:cs="Calibri" w:eastAsia="Calibri" w:hAnsi="Calibri"/>
          <w:sz w:val="22"/>
          <w:szCs w:val="22"/>
        </w:rPr>
        <w:t xml:space="preserve">The acquisition was formalized through a framework agreement, and despite the concentration being significant, it was determined that the operation would not harm competition in the relevant markets. </w:t>
      </w:r>
      <w:hyperlink w:history="1" r:id="rIdgnqrsh4fktxmsbtyr4svg">
        <w:r>
          <w:rPr>
            <w:rStyle w:val="Hyperlink"/>
            <w:rFonts w:ascii="Calibri" w:cs="Calibri" w:eastAsia="Calibri" w:hAnsi="Calibri"/>
            <w:sz w:val="22"/>
            <w:szCs w:val="22"/>
          </w:rPr>
          <w:t xml:space="preserve">[2]</w:t>
        </w:r>
      </w:hyperlink>
    </w:p>
    <w:p>
      <w:pPr>
        <w:spacing w:after="120" w:before="240"/>
      </w:pPr>
      <w:r>
        <w:rPr>
          <w:rFonts w:ascii="Calibri" w:cs="Calibri" w:eastAsia="Calibri" w:hAnsi="Calibri"/>
          <w:b/>
          <w:bCs/>
          <w:i/>
          <w:iCs/>
          <w:color w:val="1F4E5F"/>
          <w:sz w:val="22"/>
          <w:szCs w:val="22"/>
        </w:rPr>
        <w:t xml:space="preserve">Case Progression</w:t>
      </w:r>
    </w:p>
    <w:p>
      <w:pPr>
        <w:pStyle w:val="ListParagraph"/>
        <w:numPr>
          <w:ilvl w:val="0"/>
          <w:numId w:val="1"/>
        </w:numPr>
        <w:spacing w:after="120"/>
      </w:pPr>
      <w:r>
        <w:rPr>
          <w:rFonts w:ascii="Calibri" w:cs="Calibri" w:eastAsia="Calibri" w:hAnsi="Calibri"/>
          <w:b/>
          <w:bCs/>
          <w:sz w:val="22"/>
          <w:szCs w:val="22"/>
        </w:rPr>
        <w:t xml:space="preserve">Case Initiation: </w:t>
      </w:r>
      <w:r>
        <w:rPr>
          <w:rFonts w:ascii="Calibri" w:cs="Calibri" w:eastAsia="Calibri" w:hAnsi="Calibri"/>
          <w:sz w:val="22"/>
          <w:szCs w:val="22"/>
        </w:rPr>
        <w:t xml:space="preserve">The case was initiated with the notification of the exclusive control acquisition by the Carrefour group of La Crau Dis, formalized by a framework agreement dated November 4, 2025. This step is documented in the decision dated November 26, 2025 </w:t>
      </w:r>
      <w:hyperlink w:history="1" r:id="rIdsho9hrdm8xqhtgrb2hxqh">
        <w:r>
          <w:rPr>
            <w:rStyle w:val="Hyperlink"/>
            <w:rFonts w:ascii="Calibri" w:cs="Calibri" w:eastAsia="Calibri" w:hAnsi="Calibri"/>
            <w:sz w:val="22"/>
            <w:szCs w:val="22"/>
          </w:rPr>
          <w:t xml:space="preserve">[2]</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b/>
          <w:bCs/>
          <w:sz w:val="22"/>
          <w:szCs w:val="22"/>
        </w:rPr>
        <w:t xml:space="preserve">Preliminary Investigation: </w:t>
      </w:r>
      <w:r>
        <w:rPr>
          <w:rFonts w:ascii="Calibri" w:cs="Calibri" w:eastAsia="Calibri" w:hAnsi="Calibri"/>
          <w:sz w:val="22"/>
          <w:szCs w:val="22"/>
        </w:rPr>
        <w:t xml:space="preserve">The investigation assessed whether the acquisition would harm competition in the relevant markets. The authority reviewed the turnover of the involved companies and determined that the operation did not fall under EU jurisdiction but exceeded national control thresholds, indicating a thorough examination of market impact </w:t>
      </w:r>
      <w:hyperlink w:history="1" r:id="rIddzrjchfm8gwplq3zuyyg1">
        <w:r>
          <w:rPr>
            <w:rStyle w:val="Hyperlink"/>
            <w:rFonts w:ascii="Calibri" w:cs="Calibri" w:eastAsia="Calibri" w:hAnsi="Calibri"/>
            <w:sz w:val="22"/>
            <w:szCs w:val="22"/>
          </w:rPr>
          <w:t xml:space="preserve">[2]</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b/>
          <w:bCs/>
          <w:sz w:val="22"/>
          <w:szCs w:val="22"/>
        </w:rPr>
        <w:t xml:space="preserve">Statement of Objections: </w:t>
      </w:r>
      <w:r>
        <w:rPr>
          <w:rFonts w:ascii="Calibri" w:cs="Calibri" w:eastAsia="Calibri" w:hAnsi="Calibri"/>
          <w:sz w:val="22"/>
          <w:szCs w:val="22"/>
        </w:rPr>
        <w:t xml:space="preserve">In this case, no Statement of Objections was issued, as the authority found no evidence suggesting that the acquisition would harm competition. This indicates a smooth progression without significant concerns raised during the preliminary investigation </w:t>
      </w:r>
      <w:hyperlink w:history="1" r:id="rIdtyeqalxwytc9c-yg3mi9x">
        <w:r>
          <w:rPr>
            <w:rStyle w:val="Hyperlink"/>
            <w:rFonts w:ascii="Calibri" w:cs="Calibri" w:eastAsia="Calibri" w:hAnsi="Calibri"/>
            <w:sz w:val="22"/>
            <w:szCs w:val="22"/>
          </w:rPr>
          <w:t xml:space="preserve">[2]</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b/>
          <w:bCs/>
          <w:sz w:val="22"/>
          <w:szCs w:val="22"/>
        </w:rPr>
        <w:t xml:space="preserve">Defense Phase: </w:t>
      </w:r>
      <w:r>
        <w:rPr>
          <w:rFonts w:ascii="Calibri" w:cs="Calibri" w:eastAsia="Calibri" w:hAnsi="Calibri"/>
          <w:sz w:val="22"/>
          <w:szCs w:val="22"/>
        </w:rPr>
        <w:t xml:space="preserve">Since there were no objections or concerns regarding competition, there was no need for a defense phase involving written responses or oral hearings. The absence of issues allowed for a direct progression to the decision phase </w:t>
      </w:r>
      <w:hyperlink w:history="1" r:id="rIdfkpnps50r3wwfw3mgfh4d">
        <w:r>
          <w:rPr>
            <w:rStyle w:val="Hyperlink"/>
            <w:rFonts w:ascii="Calibri" w:cs="Calibri" w:eastAsia="Calibri" w:hAnsi="Calibri"/>
            <w:sz w:val="22"/>
            <w:szCs w:val="22"/>
          </w:rPr>
          <w:t xml:space="preserve">[2]</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b/>
          <w:bCs/>
          <w:sz w:val="22"/>
          <w:szCs w:val="22"/>
        </w:rPr>
        <w:t xml:space="preserve">Commission Decision: </w:t>
      </w:r>
      <w:r>
        <w:rPr>
          <w:rFonts w:ascii="Calibri" w:cs="Calibri" w:eastAsia="Calibri" w:hAnsi="Calibri"/>
          <w:sz w:val="22"/>
          <w:szCs w:val="22"/>
        </w:rPr>
        <w:t xml:space="preserve">The Competition Authority authorized the operation, concluding that it would not harm competition in the relevant markets. This decision reflects a clear assessment of the merger's implications, leading to a straightforward approval process </w:t>
      </w:r>
      <w:hyperlink w:history="1" r:id="rIdfdnzf4mylxq_z7vx_2cxd">
        <w:r>
          <w:rPr>
            <w:rStyle w:val="Hyperlink"/>
            <w:rFonts w:ascii="Calibri" w:cs="Calibri" w:eastAsia="Calibri" w:hAnsi="Calibri"/>
            <w:sz w:val="22"/>
            <w:szCs w:val="22"/>
          </w:rPr>
          <w:t xml:space="preserve">[2]</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b/>
          <w:bCs/>
          <w:sz w:val="22"/>
          <w:szCs w:val="22"/>
        </w:rPr>
        <w:t xml:space="preserve">Outcome: </w:t>
      </w:r>
      <w:r>
        <w:rPr>
          <w:rFonts w:ascii="Calibri" w:cs="Calibri" w:eastAsia="Calibri" w:hAnsi="Calibri"/>
          <w:sz w:val="22"/>
          <w:szCs w:val="22"/>
        </w:rPr>
        <w:t xml:space="preserve">The operation was authorized without any commitments or further legal proceedings, indicating a successful merger process for the Carrefour group and La Crau Dis, with no anticipated appeals or challenges </w:t>
      </w:r>
      <w:hyperlink w:history="1" r:id="rIdp5zqgp1fruo093y8hmufo">
        <w:r>
          <w:rPr>
            <w:rStyle w:val="Hyperlink"/>
            <w:rFonts w:ascii="Calibri" w:cs="Calibri" w:eastAsia="Calibri" w:hAnsi="Calibri"/>
            <w:sz w:val="22"/>
            <w:szCs w:val="22"/>
          </w:rPr>
          <w:t xml:space="preserve">[2]</w:t>
        </w:r>
      </w:hyperlink>
      <w:r>
        <w:rPr>
          <w:rFonts w:ascii="Calibri" w:cs="Calibri" w:eastAsia="Calibri" w:hAnsi="Calibri"/>
          <w:sz w:val="22"/>
          <w:szCs w:val="22"/>
        </w:rPr>
        <w:t xml:space="preserve">.</w:t>
      </w:r>
    </w:p>
    <w:p>
      <w:pPr>
        <w:spacing w:after="120" w:before="240"/>
      </w:pPr>
      <w:r>
        <w:rPr>
          <w:rFonts w:ascii="Calibri" w:cs="Calibri" w:eastAsia="Calibri" w:hAnsi="Calibri"/>
          <w:b/>
          <w:bCs/>
          <w:i/>
          <w:iCs/>
          <w:color w:val="1F4E5F"/>
          <w:sz w:val="22"/>
          <w:szCs w:val="22"/>
        </w:rPr>
        <w:t xml:space="preserve">Market Definition</w:t>
      </w:r>
    </w:p>
    <w:p>
      <w:pPr>
        <w:spacing w:after="160"/>
      </w:pPr>
      <w:r>
        <w:rPr>
          <w:rFonts w:ascii="Calibri" w:cs="Calibri" w:eastAsia="Calibri" w:hAnsi="Calibri"/>
          <w:sz w:val="22"/>
          <w:szCs w:val="22"/>
        </w:rPr>
        <w:t xml:space="preserve">The market considered in this case was the supermarket-type business sector, specifically focusing on the operations of La Crau Dis and its subsidiary Christia, which operates under the Carrefour Market brand. </w:t>
      </w:r>
      <w:hyperlink w:history="1" r:id="rIdc-dehq7louoxiqw176ipi">
        <w:r>
          <w:rPr>
            <w:rStyle w:val="Hyperlink"/>
            <w:rFonts w:ascii="Calibri" w:cs="Calibri" w:eastAsia="Calibri" w:hAnsi="Calibri"/>
            <w:sz w:val="22"/>
            <w:szCs w:val="22"/>
          </w:rPr>
          <w:t xml:space="preserve">[2]</w:t>
        </w:r>
      </w:hyperlink>
    </w:p>
    <w:p>
      <w:pPr>
        <w:spacing w:after="160"/>
      </w:pPr>
      <w:r>
        <w:rPr>
          <w:rFonts w:ascii="Calibri" w:cs="Calibri" w:eastAsia="Calibri" w:hAnsi="Calibri"/>
          <w:sz w:val="22"/>
          <w:szCs w:val="22"/>
        </w:rPr>
        <w:t xml:space="preserve">The process to define the market involved assessing the nature of the business activities of La Crau Dis and the competitive landscape in which it operates, particularly in relation to the Carrefour group. </w:t>
      </w:r>
      <w:hyperlink w:history="1" r:id="rIdimmth2ozjf6w6dahwlaw6">
        <w:r>
          <w:rPr>
            <w:rStyle w:val="Hyperlink"/>
            <w:rFonts w:ascii="Calibri" w:cs="Calibri" w:eastAsia="Calibri" w:hAnsi="Calibri"/>
            <w:sz w:val="22"/>
            <w:szCs w:val="22"/>
          </w:rPr>
          <w:t xml:space="preserve">[2]</w:t>
        </w:r>
      </w:hyperlink>
    </w:p>
    <w:p>
      <w:pPr>
        <w:spacing w:after="160"/>
      </w:pPr>
      <w:r>
        <w:rPr>
          <w:rFonts w:ascii="Calibri" w:cs="Calibri" w:eastAsia="Calibri" w:hAnsi="Calibri"/>
          <w:sz w:val="22"/>
          <w:szCs w:val="22"/>
        </w:rPr>
        <w:t xml:space="preserve">The relevant market was determined based on the sales area of the supermarket, which is specified as 1,800 m², indicating the scale of operations and potential competitive impact. </w:t>
      </w:r>
      <w:hyperlink w:history="1" r:id="rIdwkc_hipvqoe6bp91_3a0z">
        <w:r>
          <w:rPr>
            <w:rStyle w:val="Hyperlink"/>
            <w:rFonts w:ascii="Calibri" w:cs="Calibri" w:eastAsia="Calibri" w:hAnsi="Calibri"/>
            <w:sz w:val="22"/>
            <w:szCs w:val="22"/>
          </w:rPr>
          <w:t xml:space="preserve">[2]</w:t>
        </w:r>
      </w:hyperlink>
    </w:p>
    <w:p>
      <w:pPr>
        <w:spacing w:after="160"/>
      </w:pPr>
      <w:r>
        <w:rPr>
          <w:rFonts w:ascii="Calibri" w:cs="Calibri" w:eastAsia="Calibri" w:hAnsi="Calibri"/>
          <w:sz w:val="22"/>
          <w:szCs w:val="22"/>
        </w:rPr>
        <w:t xml:space="preserve">The analysis included evaluating the turnover of the companies involved to ascertain whether the operation fell under the jurisdiction of the European Union, which it did not, thus focusing on national competition law. </w:t>
      </w:r>
      <w:hyperlink w:history="1" r:id="rId4yqd48euewpav7oup270_">
        <w:r>
          <w:rPr>
            <w:rStyle w:val="Hyperlink"/>
            <w:rFonts w:ascii="Calibri" w:cs="Calibri" w:eastAsia="Calibri" w:hAnsi="Calibri"/>
            <w:sz w:val="22"/>
            <w:szCs w:val="22"/>
          </w:rPr>
          <w:t xml:space="preserve">[2]</w:t>
        </w:r>
      </w:hyperlink>
    </w:p>
    <w:p>
      <w:pPr>
        <w:spacing w:after="160"/>
      </w:pPr>
      <w:r>
        <w:rPr>
          <w:rFonts w:ascii="Calibri" w:cs="Calibri" w:eastAsia="Calibri" w:hAnsi="Calibri"/>
          <w:sz w:val="22"/>
          <w:szCs w:val="22"/>
        </w:rPr>
        <w:t xml:space="preserve">Techniques used in the assessment included examining the concentration thresholds as outlined in the Commercial Code, specifically Articles L. 430-1 to L. 430-7, to determine the implications of the acquisition on market competition. </w:t>
      </w:r>
      <w:hyperlink w:history="1" r:id="rIdlzmxn0lytkuztdfomoi-k">
        <w:r>
          <w:rPr>
            <w:rStyle w:val="Hyperlink"/>
            <w:rFonts w:ascii="Calibri" w:cs="Calibri" w:eastAsia="Calibri" w:hAnsi="Calibri"/>
            <w:sz w:val="22"/>
            <w:szCs w:val="22"/>
          </w:rPr>
          <w:t xml:space="preserve">[2]</w:t>
        </w:r>
      </w:hyperlink>
    </w:p>
    <w:p>
      <w:pPr>
        <w:spacing w:after="160"/>
      </w:pPr>
      <w:r>
        <w:rPr>
          <w:rFonts w:ascii="Calibri" w:cs="Calibri" w:eastAsia="Calibri" w:hAnsi="Calibri"/>
          <w:sz w:val="22"/>
          <w:szCs w:val="22"/>
        </w:rPr>
        <w:t xml:space="preserve">The decision concluded that the operation was not likely to harm competition in the relevant markets, indicating a thorough review of competitive dynamics and market structure. </w:t>
      </w:r>
      <w:hyperlink w:history="1" r:id="rId-cgnaki5nhtpuomc3xii_">
        <w:r>
          <w:rPr>
            <w:rStyle w:val="Hyperlink"/>
            <w:rFonts w:ascii="Calibri" w:cs="Calibri" w:eastAsia="Calibri" w:hAnsi="Calibri"/>
            <w:sz w:val="22"/>
            <w:szCs w:val="22"/>
          </w:rPr>
          <w:t xml:space="preserve">[2]</w:t>
        </w:r>
      </w:hyperlink>
    </w:p>
    <w:p>
      <w:pPr>
        <w:spacing w:after="160"/>
      </w:pPr>
      <w:r>
        <w:rPr>
          <w:rFonts w:ascii="Calibri" w:cs="Calibri" w:eastAsia="Calibri" w:hAnsi="Calibri"/>
          <w:sz w:val="22"/>
          <w:szCs w:val="22"/>
        </w:rPr>
        <w:t xml:space="preserve">The final authorization of the operation was based on the findings that the acquisition met legal requirements without adverse effects on competition, as per the provisions of Articles L. 430-3 and following of the Commercial Code. </w:t>
      </w:r>
      <w:hyperlink w:history="1" r:id="rIdjwdil9e7nvapqctep-_vd">
        <w:r>
          <w:rPr>
            <w:rStyle w:val="Hyperlink"/>
            <w:rFonts w:ascii="Calibri" w:cs="Calibri" w:eastAsia="Calibri" w:hAnsi="Calibri"/>
            <w:sz w:val="22"/>
            <w:szCs w:val="22"/>
          </w:rPr>
          <w:t xml:space="preserve">[2]</w:t>
        </w:r>
      </w:hyperlink>
    </w:p>
    <w:p>
      <w:pPr>
        <w:spacing w:after="120" w:before="240"/>
      </w:pPr>
      <w:r>
        <w:rPr>
          <w:rFonts w:ascii="Calibri" w:cs="Calibri" w:eastAsia="Calibri" w:hAnsi="Calibri"/>
          <w:b/>
          <w:bCs/>
          <w:i/>
          <w:iCs/>
          <w:color w:val="1F4E5F"/>
          <w:sz w:val="22"/>
          <w:szCs w:val="22"/>
        </w:rPr>
        <w:t xml:space="preserve">Legal &amp; Economic Tests</w:t>
      </w:r>
    </w:p>
    <w:p>
      <w:pPr>
        <w:pStyle w:val="ListParagraph"/>
        <w:numPr>
          <w:ilvl w:val="0"/>
          <w:numId w:val="1"/>
        </w:numPr>
        <w:spacing w:after="120"/>
      </w:pPr>
      <w:r>
        <w:rPr>
          <w:rFonts w:ascii="Calibri" w:cs="Calibri" w:eastAsia="Calibri" w:hAnsi="Calibri"/>
          <w:b/>
          <w:bCs/>
          <w:sz w:val="22"/>
          <w:szCs w:val="22"/>
        </w:rPr>
        <w:t xml:space="preserve">Concentration Assessment: </w:t>
      </w:r>
      <w:r>
        <w:rPr>
          <w:rFonts w:ascii="Calibri" w:cs="Calibri" w:eastAsia="Calibri" w:hAnsi="Calibri"/>
          <w:sz w:val="22"/>
          <w:szCs w:val="22"/>
        </w:rPr>
        <w:t xml:space="preserve">The operation was assessed to determine if it constituted a concentration under Article L. 430-1 of the Commercial Code. This involves evaluating whether the acquisition of exclusive control by the Carrefour group over La Crau Dis meets the legal definition of a concentration, which is significant for regulatory oversight. The assessment confirmed that the operation qualifies as a concentration due to the nature of the control being acquired. </w:t>
      </w:r>
      <w:hyperlink w:history="1" r:id="rIdvdi66nfahbas1ohrgjvog">
        <w:r>
          <w:rPr>
            <w:rStyle w:val="Hyperlink"/>
            <w:rFonts w:ascii="Calibri" w:cs="Calibri" w:eastAsia="Calibri" w:hAnsi="Calibri"/>
            <w:sz w:val="22"/>
            <w:szCs w:val="22"/>
          </w:rPr>
          <w:t xml:space="preserve">[2]</w:t>
        </w:r>
      </w:hyperlink>
    </w:p>
    <w:p>
      <w:pPr>
        <w:pStyle w:val="ListParagraph"/>
        <w:numPr>
          <w:ilvl w:val="0"/>
          <w:numId w:val="1"/>
        </w:numPr>
        <w:spacing w:after="120"/>
      </w:pPr>
      <w:r>
        <w:rPr>
          <w:rFonts w:ascii="Calibri" w:cs="Calibri" w:eastAsia="Calibri" w:hAnsi="Calibri"/>
          <w:b/>
          <w:bCs/>
          <w:sz w:val="22"/>
          <w:szCs w:val="22"/>
        </w:rPr>
        <w:t xml:space="preserve">Jurisdictional Thresholds: </w:t>
      </w:r>
      <w:r>
        <w:rPr>
          <w:rFonts w:ascii="Calibri" w:cs="Calibri" w:eastAsia="Calibri" w:hAnsi="Calibri"/>
          <w:sz w:val="22"/>
          <w:szCs w:val="22"/>
        </w:rPr>
        <w:t xml:space="preserve">The case examined whether the turnover thresholds specified in Article L. 430-2 of the Commercial Code were exceeded, which would determine the jurisdiction of the Competition Authority. It was found that the thresholds were indeed exceeded, necessitating the application of the relevant provisions concerning economic concentration. This step ensures that only significant mergers and acquisitions are subject to regulatory scrutiny. </w:t>
      </w:r>
      <w:hyperlink w:history="1" r:id="rId_b9b3qzktoredfuyuvlgi">
        <w:r>
          <w:rPr>
            <w:rStyle w:val="Hyperlink"/>
            <w:rFonts w:ascii="Calibri" w:cs="Calibri" w:eastAsia="Calibri" w:hAnsi="Calibri"/>
            <w:sz w:val="22"/>
            <w:szCs w:val="22"/>
          </w:rPr>
          <w:t xml:space="preserve">[2]</w:t>
        </w:r>
      </w:hyperlink>
    </w:p>
    <w:p>
      <w:pPr>
        <w:pStyle w:val="ListParagraph"/>
        <w:numPr>
          <w:ilvl w:val="0"/>
          <w:numId w:val="1"/>
        </w:numPr>
        <w:spacing w:after="120"/>
      </w:pPr>
      <w:r>
        <w:rPr>
          <w:rFonts w:ascii="Calibri" w:cs="Calibri" w:eastAsia="Calibri" w:hAnsi="Calibri"/>
          <w:b/>
          <w:bCs/>
          <w:sz w:val="22"/>
          <w:szCs w:val="22"/>
        </w:rPr>
        <w:t xml:space="preserve">Competition Impact Analysis: </w:t>
      </w:r>
      <w:r>
        <w:rPr>
          <w:rFonts w:ascii="Calibri" w:cs="Calibri" w:eastAsia="Calibri" w:hAnsi="Calibri"/>
          <w:sz w:val="22"/>
          <w:szCs w:val="22"/>
        </w:rPr>
        <w:t xml:space="preserve">The authority evaluated whether the acquisition would harm competition in the relevant markets. This analysis involved reviewing market dynamics and the potential effects of the concentration on competition. The conclusion was that the operation was not likely to harm competition, which is a critical factor in deciding whether to authorize the merger. This step is essential to maintain market integrity and consumer welfare. </w:t>
      </w:r>
      <w:hyperlink w:history="1" r:id="rIdtm4zp0qo3mwbbk08qapub">
        <w:r>
          <w:rPr>
            <w:rStyle w:val="Hyperlink"/>
            <w:rFonts w:ascii="Calibri" w:cs="Calibri" w:eastAsia="Calibri" w:hAnsi="Calibri"/>
            <w:sz w:val="22"/>
            <w:szCs w:val="22"/>
          </w:rPr>
          <w:t xml:space="preserve">[2]</w:t>
        </w:r>
      </w:hyperlink>
    </w:p>
    <w:p>
      <w:pPr>
        <w:spacing w:after="120" w:before="240"/>
      </w:pPr>
      <w:r>
        <w:rPr>
          <w:rFonts w:ascii="Calibri" w:cs="Calibri" w:eastAsia="Calibri" w:hAnsi="Calibri"/>
          <w:b/>
          <w:bCs/>
          <w:i/>
          <w:iCs/>
          <w:color w:val="1F4E5F"/>
          <w:sz w:val="22"/>
          <w:szCs w:val="22"/>
        </w:rPr>
        <w:t xml:space="preserve">Conclusion</w:t>
      </w:r>
    </w:p>
    <w:p>
      <w:pPr>
        <w:pStyle w:val="ListParagraph"/>
        <w:numPr>
          <w:ilvl w:val="0"/>
          <w:numId w:val="1"/>
        </w:numPr>
        <w:spacing w:after="120"/>
      </w:pPr>
      <w:r>
        <w:rPr>
          <w:rFonts w:ascii="Calibri" w:cs="Calibri" w:eastAsia="Calibri" w:hAnsi="Calibri"/>
          <w:sz w:val="22"/>
          <w:szCs w:val="22"/>
        </w:rPr>
        <w:t xml:space="preserve">The decision authorized the acquisition of exclusive control of La Crau Dis by the Carrefour group, as outlined in the formal framework agreement dated November 4, 2025 </w:t>
      </w:r>
      <w:hyperlink w:history="1" r:id="rIdzdyz829j1r7xl23-6rsew">
        <w:r>
          <w:rPr>
            <w:rStyle w:val="Hyperlink"/>
            <w:rFonts w:ascii="Calibri" w:cs="Calibri" w:eastAsia="Calibri" w:hAnsi="Calibri"/>
            <w:sz w:val="22"/>
            <w:szCs w:val="22"/>
          </w:rPr>
          <w:t xml:space="preserve">[2]</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sz w:val="22"/>
          <w:szCs w:val="22"/>
        </w:rPr>
        <w:t xml:space="preserve">The operation was classified as a concentration under Article L. 430-1 of the Commercial Code, indicating that it involved a significant change in control over the company </w:t>
      </w:r>
      <w:hyperlink w:history="1" r:id="rIdpcdtgwnqsbj68h-gonphj">
        <w:r>
          <w:rPr>
            <w:rStyle w:val="Hyperlink"/>
            <w:rFonts w:ascii="Calibri" w:cs="Calibri" w:eastAsia="Calibri" w:hAnsi="Calibri"/>
            <w:sz w:val="22"/>
            <w:szCs w:val="22"/>
          </w:rPr>
          <w:t xml:space="preserve">[2]</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sz w:val="22"/>
          <w:szCs w:val="22"/>
        </w:rPr>
        <w:t xml:space="preserve">The turnover of the involved companies did not fall under the jurisdiction of the European Union, but the control thresholds were exceeded, making the operation subject to national competition law </w:t>
      </w:r>
      <w:hyperlink w:history="1" r:id="rIdsjic14tyg_tnusc1o2zps">
        <w:r>
          <w:rPr>
            <w:rStyle w:val="Hyperlink"/>
            <w:rFonts w:ascii="Calibri" w:cs="Calibri" w:eastAsia="Calibri" w:hAnsi="Calibri"/>
            <w:sz w:val="22"/>
            <w:szCs w:val="22"/>
          </w:rPr>
          <w:t xml:space="preserve">[2]</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sz w:val="22"/>
          <w:szCs w:val="22"/>
        </w:rPr>
        <w:t xml:space="preserve">The analysis concluded that the acquisition was not likely to harm competition in the relevant markets, suggesting a favorable assessment of the competitive landscape post- acquisition </w:t>
      </w:r>
      <w:hyperlink w:history="1" r:id="rIdmvgdkok3rsiax1kl3i76e">
        <w:r>
          <w:rPr>
            <w:rStyle w:val="Hyperlink"/>
            <w:rFonts w:ascii="Calibri" w:cs="Calibri" w:eastAsia="Calibri" w:hAnsi="Calibri"/>
            <w:sz w:val="22"/>
            <w:szCs w:val="22"/>
          </w:rPr>
          <w:t xml:space="preserve">[2]</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sz w:val="22"/>
          <w:szCs w:val="22"/>
        </w:rPr>
        <w:t xml:space="preserve">No remedies or fines were imposed as part of this decision, indicating that the authority found no need for corrective measures </w:t>
      </w:r>
      <w:hyperlink w:history="1" r:id="rId5wqq7b-n4i6ljvn_juphl">
        <w:r>
          <w:rPr>
            <w:rStyle w:val="Hyperlink"/>
            <w:rFonts w:ascii="Calibri" w:cs="Calibri" w:eastAsia="Calibri" w:hAnsi="Calibri"/>
            <w:sz w:val="22"/>
            <w:szCs w:val="22"/>
          </w:rPr>
          <w:t xml:space="preserve">[2]</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sz w:val="22"/>
          <w:szCs w:val="22"/>
        </w:rPr>
        <w:t xml:space="preserve">The decision was officially documented under number 25-317, confirming its formal approval by the Competition Authority </w:t>
      </w:r>
      <w:hyperlink w:history="1" r:id="rIdqkqsc-q5zdqrk0sug1uau">
        <w:r>
          <w:rPr>
            <w:rStyle w:val="Hyperlink"/>
            <w:rFonts w:ascii="Calibri" w:cs="Calibri" w:eastAsia="Calibri" w:hAnsi="Calibri"/>
            <w:sz w:val="22"/>
            <w:szCs w:val="22"/>
          </w:rPr>
          <w:t xml:space="preserve">[2]</w:t>
        </w:r>
      </w:hyperlink>
      <w:r>
        <w:rPr>
          <w:rFonts w:ascii="Calibri" w:cs="Calibri" w:eastAsia="Calibri" w:hAnsi="Calibri"/>
          <w:sz w:val="22"/>
          <w:szCs w:val="22"/>
        </w:rPr>
        <w:t xml:space="preserve">.</w:t>
      </w:r>
    </w:p>
    <w:p>
      <w:pPr>
        <w:spacing w:after="160" w:before="300"/>
      </w:pPr>
      <w:r>
        <w:rPr>
          <w:rFonts w:ascii="Calibri" w:cs="Calibri" w:eastAsia="Calibri" w:hAnsi="Calibri"/>
          <w:b/>
          <w:bCs/>
          <w:color w:val="1F4E5F"/>
          <w:sz w:val="22"/>
          <w:szCs w:val="22"/>
        </w:rPr>
        <w:t xml:space="preserve">Decision No. 26-DCC-20 regarding the exclusive control acquisition of five business assets of the Auchan group by the Carrefour group</w:t>
      </w:r>
    </w:p>
    <w:p>
      <w:pPr>
        <w:spacing w:after="120" w:before="240"/>
      </w:pPr>
      <w:r>
        <w:rPr>
          <w:rFonts w:ascii="Calibri" w:cs="Calibri" w:eastAsia="Calibri" w:hAnsi="Calibri"/>
          <w:b/>
          <w:bCs/>
          <w:i/>
          <w:iCs/>
          <w:color w:val="1F4E5F"/>
          <w:sz w:val="22"/>
          <w:szCs w:val="22"/>
        </w:rPr>
        <w:t xml:space="preserve">Case Background</w:t>
      </w:r>
    </w:p>
    <w:p>
      <w:pPr>
        <w:spacing w:after="160"/>
      </w:pPr>
      <w:r>
        <w:rPr>
          <w:rFonts w:ascii="Calibri" w:cs="Calibri" w:eastAsia="Calibri" w:hAnsi="Calibri"/>
          <w:sz w:val="22"/>
          <w:szCs w:val="22"/>
        </w:rPr>
        <w:t xml:space="preserve">The allegation made in this case concerns the exclusive control acquisition of five business assets by the Carrefour group from the Auchan group. </w:t>
      </w:r>
      <w:hyperlink w:history="1" r:id="rIdzun75bdc7hufmpfu_u4_p">
        <w:r>
          <w:rPr>
            <w:rStyle w:val="Hyperlink"/>
            <w:rFonts w:ascii="Calibri" w:cs="Calibri" w:eastAsia="Calibri" w:hAnsi="Calibri"/>
            <w:sz w:val="22"/>
            <w:szCs w:val="22"/>
          </w:rPr>
          <w:t xml:space="preserve">[3]</w:t>
        </w:r>
      </w:hyperlink>
    </w:p>
    <w:p>
      <w:pPr>
        <w:spacing w:after="160"/>
      </w:pPr>
      <w:r>
        <w:rPr>
          <w:rFonts w:ascii="Calibri" w:cs="Calibri" w:eastAsia="Calibri" w:hAnsi="Calibri"/>
          <w:sz w:val="22"/>
          <w:szCs w:val="22"/>
        </w:rPr>
        <w:t xml:space="preserve">The companies involved in this case are the Carrefour group and the Auchan group. </w:t>
      </w:r>
      <w:hyperlink w:history="1" r:id="rIdj1hu7dcmug82zuxs6yrtg">
        <w:r>
          <w:rPr>
            <w:rStyle w:val="Hyperlink"/>
            <w:rFonts w:ascii="Calibri" w:cs="Calibri" w:eastAsia="Calibri" w:hAnsi="Calibri"/>
            <w:sz w:val="22"/>
            <w:szCs w:val="22"/>
          </w:rPr>
          <w:t xml:space="preserve">[3]</w:t>
        </w:r>
      </w:hyperlink>
    </w:p>
    <w:p>
      <w:pPr>
        <w:spacing w:after="160"/>
      </w:pPr>
      <w:r>
        <w:rPr>
          <w:rFonts w:ascii="Calibri" w:cs="Calibri" w:eastAsia="Calibri" w:hAnsi="Calibri"/>
          <w:sz w:val="22"/>
          <w:szCs w:val="22"/>
        </w:rPr>
        <w:t xml:space="preserve">The year of case initiation was 2025, with the complete notification file submitted on December 23, 2025. </w:t>
      </w:r>
      <w:hyperlink w:history="1" r:id="rId-umsytab5_gugjayb-umw">
        <w:r>
          <w:rPr>
            <w:rStyle w:val="Hyperlink"/>
            <w:rFonts w:ascii="Calibri" w:cs="Calibri" w:eastAsia="Calibri" w:hAnsi="Calibri"/>
            <w:sz w:val="22"/>
            <w:szCs w:val="22"/>
          </w:rPr>
          <w:t xml:space="preserve">[3]</w:t>
        </w:r>
      </w:hyperlink>
    </w:p>
    <w:p>
      <w:pPr>
        <w:spacing w:after="160"/>
      </w:pPr>
      <w:r>
        <w:rPr>
          <w:rFonts w:ascii="Calibri" w:cs="Calibri" w:eastAsia="Calibri" w:hAnsi="Calibri"/>
          <w:sz w:val="22"/>
          <w:szCs w:val="22"/>
        </w:rPr>
        <w:t xml:space="preserve">The violation pertains to the acquisition of business assets that constitutes a concentration under the Commercial Code, specifically Articles L. 430-1 to L. 430-7. This acquisition was formalized through four asset transfer agreements and a promise of business asset transfer. </w:t>
      </w:r>
      <w:hyperlink w:history="1" r:id="rIdjbmisomk0eimj48znigku">
        <w:r>
          <w:rPr>
            <w:rStyle w:val="Hyperlink"/>
            <w:rFonts w:ascii="Calibri" w:cs="Calibri" w:eastAsia="Calibri" w:hAnsi="Calibri"/>
            <w:sz w:val="22"/>
            <w:szCs w:val="22"/>
          </w:rPr>
          <w:t xml:space="preserve">[3]</w:t>
        </w:r>
      </w:hyperlink>
    </w:p>
    <w:p>
      <w:pPr>
        <w:spacing w:after="160"/>
      </w:pPr>
      <w:r>
        <w:rPr>
          <w:rFonts w:ascii="Calibri" w:cs="Calibri" w:eastAsia="Calibri" w:hAnsi="Calibri"/>
          <w:sz w:val="22"/>
          <w:szCs w:val="22"/>
        </w:rPr>
        <w:t xml:space="preserve">The operation was assessed for its potential impact on competition in the relevant markets, and it was determined that it was not likely to harm competition. </w:t>
      </w:r>
      <w:hyperlink w:history="1" r:id="rIdwngx9pajqgti2luktywe3">
        <w:r>
          <w:rPr>
            <w:rStyle w:val="Hyperlink"/>
            <w:rFonts w:ascii="Calibri" w:cs="Calibri" w:eastAsia="Calibri" w:hAnsi="Calibri"/>
            <w:sz w:val="22"/>
            <w:szCs w:val="22"/>
          </w:rPr>
          <w:t xml:space="preserve">[3]</w:t>
        </w:r>
      </w:hyperlink>
    </w:p>
    <w:p>
      <w:pPr>
        <w:spacing w:after="120" w:before="240"/>
      </w:pPr>
      <w:r>
        <w:rPr>
          <w:rFonts w:ascii="Calibri" w:cs="Calibri" w:eastAsia="Calibri" w:hAnsi="Calibri"/>
          <w:b/>
          <w:bCs/>
          <w:i/>
          <w:iCs/>
          <w:color w:val="1F4E5F"/>
          <w:sz w:val="22"/>
          <w:szCs w:val="22"/>
        </w:rPr>
        <w:t xml:space="preserve">Case Progression</w:t>
      </w:r>
    </w:p>
    <w:p>
      <w:pPr>
        <w:pStyle w:val="ListParagraph"/>
        <w:numPr>
          <w:ilvl w:val="0"/>
          <w:numId w:val="1"/>
        </w:numPr>
        <w:spacing w:after="120"/>
      </w:pPr>
      <w:r>
        <w:rPr>
          <w:rFonts w:ascii="Calibri" w:cs="Calibri" w:eastAsia="Calibri" w:hAnsi="Calibri"/>
          <w:b/>
          <w:bCs/>
          <w:sz w:val="22"/>
          <w:szCs w:val="22"/>
        </w:rPr>
        <w:t xml:space="preserve">Case Initiation: </w:t>
      </w:r>
      <w:r>
        <w:rPr>
          <w:rFonts w:ascii="Calibri" w:cs="Calibri" w:eastAsia="Calibri" w:hAnsi="Calibri"/>
          <w:sz w:val="22"/>
          <w:szCs w:val="22"/>
        </w:rPr>
        <w:t xml:space="preserve">The case was initiated with the submission of a complete notification file regarding the exclusive control acquisition by the Carrefour group of five business assets from the Auchan group on December 23, 2025. This included details of the asset transfer agreements dated May 30, 2025, and a promise of transfer dated December 19, 2025 </w:t>
      </w:r>
      <w:hyperlink w:history="1" r:id="rIdltsefduzxzrm3njuyxqui">
        <w:r>
          <w:rPr>
            <w:rStyle w:val="Hyperlink"/>
            <w:rFonts w:ascii="Calibri" w:cs="Calibri" w:eastAsia="Calibri" w:hAnsi="Calibri"/>
            <w:sz w:val="22"/>
            <w:szCs w:val="22"/>
          </w:rPr>
          <w:t xml:space="preserve">[3]</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b/>
          <w:bCs/>
          <w:sz w:val="22"/>
          <w:szCs w:val="22"/>
        </w:rPr>
        <w:t xml:space="preserve">Preliminary Investigation: </w:t>
      </w:r>
      <w:r>
        <w:rPr>
          <w:rFonts w:ascii="Calibri" w:cs="Calibri" w:eastAsia="Calibri" w:hAnsi="Calibri"/>
          <w:sz w:val="22"/>
          <w:szCs w:val="22"/>
        </w:rPr>
        <w:t xml:space="preserve">During the preliminary investigation, the Competition Authority assessed whether the operation would harm competition in the relevant markets. The investigation concluded that the operation did not pose a threat to competition, allowing it to proceed </w:t>
      </w:r>
      <w:hyperlink w:history="1" r:id="rIdun4kad-x2rfoc-egim_4e">
        <w:r>
          <w:rPr>
            <w:rStyle w:val="Hyperlink"/>
            <w:rFonts w:ascii="Calibri" w:cs="Calibri" w:eastAsia="Calibri" w:hAnsi="Calibri"/>
            <w:sz w:val="22"/>
            <w:szCs w:val="22"/>
          </w:rPr>
          <w:t xml:space="preserve">[3]</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b/>
          <w:bCs/>
          <w:sz w:val="22"/>
          <w:szCs w:val="22"/>
        </w:rPr>
        <w:t xml:space="preserve">Statement of Objections: </w:t>
      </w:r>
      <w:r>
        <w:rPr>
          <w:rFonts w:ascii="Calibri" w:cs="Calibri" w:eastAsia="Calibri" w:hAnsi="Calibri"/>
          <w:sz w:val="22"/>
          <w:szCs w:val="22"/>
        </w:rPr>
        <w:t xml:space="preserve">No Statement of Objections was issued in this case, as the investigation did not find sufficient evidence to suggest that the acquisition would harm competition </w:t>
      </w:r>
      <w:hyperlink w:history="1" r:id="rIdg1tfcyj-2lrsk0wgvfinu">
        <w:r>
          <w:rPr>
            <w:rStyle w:val="Hyperlink"/>
            <w:rFonts w:ascii="Calibri" w:cs="Calibri" w:eastAsia="Calibri" w:hAnsi="Calibri"/>
            <w:sz w:val="22"/>
            <w:szCs w:val="22"/>
          </w:rPr>
          <w:t xml:space="preserve">[3]</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b/>
          <w:bCs/>
          <w:sz w:val="22"/>
          <w:szCs w:val="22"/>
        </w:rPr>
        <w:t xml:space="preserve">Defense Phase: </w:t>
      </w:r>
      <w:r>
        <w:rPr>
          <w:rFonts w:ascii="Calibri" w:cs="Calibri" w:eastAsia="Calibri" w:hAnsi="Calibri"/>
          <w:sz w:val="22"/>
          <w:szCs w:val="22"/>
        </w:rPr>
        <w:t xml:space="preserve">Since no objections were raised, there was no need for a defense phase involving written responses or oral hearings </w:t>
      </w:r>
      <w:hyperlink w:history="1" r:id="rId1fd93wobmuvcf7fqmrhcd">
        <w:r>
          <w:rPr>
            <w:rStyle w:val="Hyperlink"/>
            <w:rFonts w:ascii="Calibri" w:cs="Calibri" w:eastAsia="Calibri" w:hAnsi="Calibri"/>
            <w:sz w:val="22"/>
            <w:szCs w:val="22"/>
          </w:rPr>
          <w:t xml:space="preserve">[3]</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b/>
          <w:bCs/>
          <w:sz w:val="22"/>
          <w:szCs w:val="22"/>
        </w:rPr>
        <w:t xml:space="preserve">Commission Decision: </w:t>
      </w:r>
      <w:r>
        <w:rPr>
          <w:rFonts w:ascii="Calibri" w:cs="Calibri" w:eastAsia="Calibri" w:hAnsi="Calibri"/>
          <w:sz w:val="22"/>
          <w:szCs w:val="22"/>
        </w:rPr>
        <w:t xml:space="preserve">The Competition Authority issued a decision authorizing the operation, concluding that it did not infringe upon competition laws. This decision was based on the analysis of the revenues generated by the companies involved and the nature of the acquisition </w:t>
      </w:r>
      <w:hyperlink w:history="1" r:id="rIdf2enzkxple3y1xqmdqkup">
        <w:r>
          <w:rPr>
            <w:rStyle w:val="Hyperlink"/>
            <w:rFonts w:ascii="Calibri" w:cs="Calibri" w:eastAsia="Calibri" w:hAnsi="Calibri"/>
            <w:sz w:val="22"/>
            <w:szCs w:val="22"/>
          </w:rPr>
          <w:t xml:space="preserve">[3]</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b/>
          <w:bCs/>
          <w:sz w:val="22"/>
          <w:szCs w:val="22"/>
        </w:rPr>
        <w:t xml:space="preserve">Final Outcome: </w:t>
      </w:r>
      <w:r>
        <w:rPr>
          <w:rFonts w:ascii="Calibri" w:cs="Calibri" w:eastAsia="Calibri" w:hAnsi="Calibri"/>
          <w:sz w:val="22"/>
          <w:szCs w:val="22"/>
        </w:rPr>
        <w:t xml:space="preserve">The operation was authorized without any conditions or commitments, marking the end of the case as it did not require further legal proceedings </w:t>
      </w:r>
      <w:hyperlink w:history="1" r:id="rIdos6-zrkumgczcdk4tu_ad">
        <w:r>
          <w:rPr>
            <w:rStyle w:val="Hyperlink"/>
            <w:rFonts w:ascii="Calibri" w:cs="Calibri" w:eastAsia="Calibri" w:hAnsi="Calibri"/>
            <w:sz w:val="22"/>
            <w:szCs w:val="22"/>
          </w:rPr>
          <w:t xml:space="preserve">[3]</w:t>
        </w:r>
      </w:hyperlink>
      <w:r>
        <w:rPr>
          <w:rFonts w:ascii="Calibri" w:cs="Calibri" w:eastAsia="Calibri" w:hAnsi="Calibri"/>
          <w:sz w:val="22"/>
          <w:szCs w:val="22"/>
        </w:rPr>
        <w:t xml:space="preserve">.</w:t>
      </w:r>
    </w:p>
    <w:p>
      <w:pPr>
        <w:spacing w:after="120" w:before="240"/>
      </w:pPr>
      <w:r>
        <w:rPr>
          <w:rFonts w:ascii="Calibri" w:cs="Calibri" w:eastAsia="Calibri" w:hAnsi="Calibri"/>
          <w:b/>
          <w:bCs/>
          <w:i/>
          <w:iCs/>
          <w:color w:val="1F4E5F"/>
          <w:sz w:val="22"/>
          <w:szCs w:val="22"/>
        </w:rPr>
        <w:t xml:space="preserve">Market Definition</w:t>
      </w:r>
    </w:p>
    <w:p>
      <w:pPr>
        <w:spacing w:after="160"/>
      </w:pPr>
      <w:r>
        <w:rPr>
          <w:rFonts w:ascii="Calibri" w:cs="Calibri" w:eastAsia="Calibri" w:hAnsi="Calibri"/>
          <w:sz w:val="22"/>
          <w:szCs w:val="22"/>
        </w:rPr>
        <w:t xml:space="preserve">The market considered in this case involved food retail business assets operated under the Auchan group brands, specifically focusing on the acquisition of these assets by the Carrefour group. </w:t>
      </w:r>
      <w:hyperlink w:history="1" r:id="rIdmirddtgmatuo_m3lqkmkl">
        <w:r>
          <w:rPr>
            <w:rStyle w:val="Hyperlink"/>
            <w:rFonts w:ascii="Calibri" w:cs="Calibri" w:eastAsia="Calibri" w:hAnsi="Calibri"/>
            <w:sz w:val="22"/>
            <w:szCs w:val="22"/>
          </w:rPr>
          <w:t xml:space="preserve">[3]</w:t>
        </w:r>
      </w:hyperlink>
    </w:p>
    <w:p>
      <w:pPr>
        <w:spacing w:after="160"/>
      </w:pPr>
      <w:r>
        <w:rPr>
          <w:rFonts w:ascii="Calibri" w:cs="Calibri" w:eastAsia="Calibri" w:hAnsi="Calibri"/>
          <w:sz w:val="22"/>
          <w:szCs w:val="22"/>
        </w:rPr>
        <w:t xml:space="preserve">The process to define the relevant market included assessing the nature of the business assets being acquired, which were primarily food retail outlets. </w:t>
      </w:r>
      <w:hyperlink w:history="1" r:id="rIdft1z8yjrvoro-ruoa4-ih">
        <w:r>
          <w:rPr>
            <w:rStyle w:val="Hyperlink"/>
            <w:rFonts w:ascii="Calibri" w:cs="Calibri" w:eastAsia="Calibri" w:hAnsi="Calibri"/>
            <w:sz w:val="22"/>
            <w:szCs w:val="22"/>
          </w:rPr>
          <w:t xml:space="preserve">[3]</w:t>
        </w:r>
      </w:hyperlink>
    </w:p>
    <w:p>
      <w:pPr>
        <w:spacing w:after="160"/>
      </w:pPr>
      <w:r>
        <w:rPr>
          <w:rFonts w:ascii="Calibri" w:cs="Calibri" w:eastAsia="Calibri" w:hAnsi="Calibri"/>
          <w:sz w:val="22"/>
          <w:szCs w:val="22"/>
        </w:rPr>
        <w:t xml:space="preserve">The Competition Authority evaluated the geographical scope of the market, noting that the acquired assets were located in specific regions, such as Paris and Aubagne. </w:t>
      </w:r>
      <w:hyperlink w:history="1" r:id="rIdlng7gtto52bm7kby26akr">
        <w:r>
          <w:rPr>
            <w:rStyle w:val="Hyperlink"/>
            <w:rFonts w:ascii="Calibri" w:cs="Calibri" w:eastAsia="Calibri" w:hAnsi="Calibri"/>
            <w:sz w:val="22"/>
            <w:szCs w:val="22"/>
          </w:rPr>
          <w:t xml:space="preserve">[3]</w:t>
        </w:r>
      </w:hyperlink>
    </w:p>
    <w:p>
      <w:pPr>
        <w:spacing w:after="160"/>
      </w:pPr>
      <w:r>
        <w:rPr>
          <w:rFonts w:ascii="Calibri" w:cs="Calibri" w:eastAsia="Calibri" w:hAnsi="Calibri"/>
          <w:sz w:val="22"/>
          <w:szCs w:val="22"/>
        </w:rPr>
        <w:t xml:space="preserve">The analysis involved determining whether the acquisition would significantly impede effective competition in the relevant markets, which was a key consideration in the decision- making process. </w:t>
      </w:r>
      <w:hyperlink w:history="1" r:id="rIdz73gvo5reh7bihajras7o">
        <w:r>
          <w:rPr>
            <w:rStyle w:val="Hyperlink"/>
            <w:rFonts w:ascii="Calibri" w:cs="Calibri" w:eastAsia="Calibri" w:hAnsi="Calibri"/>
            <w:sz w:val="22"/>
            <w:szCs w:val="22"/>
          </w:rPr>
          <w:t xml:space="preserve">[3]</w:t>
        </w:r>
      </w:hyperlink>
    </w:p>
    <w:p>
      <w:pPr>
        <w:spacing w:after="160"/>
      </w:pPr>
      <w:r>
        <w:rPr>
          <w:rFonts w:ascii="Calibri" w:cs="Calibri" w:eastAsia="Calibri" w:hAnsi="Calibri"/>
          <w:sz w:val="22"/>
          <w:szCs w:val="22"/>
        </w:rPr>
        <w:t xml:space="preserve">Techniques used included examining the revenues generated by the companies involved to assess the impact of the acquisition on market competition and to determine jurisdictional thresholds. </w:t>
      </w:r>
      <w:hyperlink w:history="1" r:id="rIdzgxevo4_vaytkgpctkply">
        <w:r>
          <w:rPr>
            <w:rStyle w:val="Hyperlink"/>
            <w:rFonts w:ascii="Calibri" w:cs="Calibri" w:eastAsia="Calibri" w:hAnsi="Calibri"/>
            <w:sz w:val="22"/>
            <w:szCs w:val="22"/>
          </w:rPr>
          <w:t xml:space="preserve">[3]</w:t>
        </w:r>
      </w:hyperlink>
    </w:p>
    <w:p>
      <w:pPr>
        <w:spacing w:after="160"/>
      </w:pPr>
      <w:r>
        <w:rPr>
          <w:rFonts w:ascii="Calibri" w:cs="Calibri" w:eastAsia="Calibri" w:hAnsi="Calibri"/>
          <w:sz w:val="22"/>
          <w:szCs w:val="22"/>
        </w:rPr>
        <w:t xml:space="preserve">The authority also referenced specific articles from the Commercial Code that outline the legal framework for evaluating economic concentrations and their potential effects on competition. </w:t>
      </w:r>
      <w:hyperlink w:history="1" r:id="rIdby8u0xinpqtvgdx4twf2h">
        <w:r>
          <w:rPr>
            <w:rStyle w:val="Hyperlink"/>
            <w:rFonts w:ascii="Calibri" w:cs="Calibri" w:eastAsia="Calibri" w:hAnsi="Calibri"/>
            <w:sz w:val="22"/>
            <w:szCs w:val="22"/>
          </w:rPr>
          <w:t xml:space="preserve">[3]</w:t>
        </w:r>
      </w:hyperlink>
    </w:p>
    <w:p>
      <w:pPr>
        <w:spacing w:after="160"/>
      </w:pPr>
      <w:r>
        <w:rPr>
          <w:rFonts w:ascii="Calibri" w:cs="Calibri" w:eastAsia="Calibri" w:hAnsi="Calibri"/>
          <w:sz w:val="22"/>
          <w:szCs w:val="22"/>
        </w:rPr>
        <w:t xml:space="preserve">Ultimately, the decision concluded that the operation was not likely to harm competition in the relevant markets, leading to the authorization of the acquisition. </w:t>
      </w:r>
      <w:hyperlink w:history="1" r:id="rIdikajbtlasjqumaasswfa8">
        <w:r>
          <w:rPr>
            <w:rStyle w:val="Hyperlink"/>
            <w:rFonts w:ascii="Calibri" w:cs="Calibri" w:eastAsia="Calibri" w:hAnsi="Calibri"/>
            <w:sz w:val="22"/>
            <w:szCs w:val="22"/>
          </w:rPr>
          <w:t xml:space="preserve">[3]</w:t>
        </w:r>
      </w:hyperlink>
    </w:p>
    <w:p>
      <w:pPr>
        <w:spacing w:after="120" w:before="240"/>
      </w:pPr>
      <w:r>
        <w:rPr>
          <w:rFonts w:ascii="Calibri" w:cs="Calibri" w:eastAsia="Calibri" w:hAnsi="Calibri"/>
          <w:b/>
          <w:bCs/>
          <w:i/>
          <w:iCs/>
          <w:color w:val="1F4E5F"/>
          <w:sz w:val="22"/>
          <w:szCs w:val="22"/>
        </w:rPr>
        <w:t xml:space="preserve">Legal &amp; Economic Tests</w:t>
      </w:r>
    </w:p>
    <w:p>
      <w:pPr>
        <w:pStyle w:val="ListParagraph"/>
        <w:numPr>
          <w:ilvl w:val="0"/>
          <w:numId w:val="1"/>
        </w:numPr>
        <w:spacing w:after="120"/>
      </w:pPr>
      <w:r>
        <w:rPr>
          <w:rFonts w:ascii="Calibri" w:cs="Calibri" w:eastAsia="Calibri" w:hAnsi="Calibri"/>
          <w:b/>
          <w:bCs/>
          <w:sz w:val="22"/>
          <w:szCs w:val="22"/>
        </w:rPr>
        <w:t xml:space="preserve">Concentration Definition Test: </w:t>
      </w:r>
      <w:r>
        <w:rPr>
          <w:rFonts w:ascii="Calibri" w:cs="Calibri" w:eastAsia="Calibri" w:hAnsi="Calibri"/>
          <w:sz w:val="22"/>
          <w:szCs w:val="22"/>
        </w:rPr>
        <w:t xml:space="preserve">This test determines whether the transaction constitutes a concentration under the relevant legal framework. In this case, it was established that the acquisition by the Carrefour group of five business assets from the Auchan group qualifies as a concentration as defined by Article L. 430-1 of the Commercial Code. This involves assessing the nature of the transaction and the control it confers over the acquired assets. </w:t>
      </w:r>
      <w:hyperlink w:history="1" r:id="rIdxjlvqs9ckokemocvssavc">
        <w:r>
          <w:rPr>
            <w:rStyle w:val="Hyperlink"/>
            <w:rFonts w:ascii="Calibri" w:cs="Calibri" w:eastAsia="Calibri" w:hAnsi="Calibri"/>
            <w:sz w:val="22"/>
            <w:szCs w:val="22"/>
          </w:rPr>
          <w:t xml:space="preserve">[3]</w:t>
        </w:r>
      </w:hyperlink>
    </w:p>
    <w:p>
      <w:pPr>
        <w:pStyle w:val="ListParagraph"/>
        <w:numPr>
          <w:ilvl w:val="0"/>
          <w:numId w:val="1"/>
        </w:numPr>
        <w:spacing w:after="120"/>
      </w:pPr>
      <w:r>
        <w:rPr>
          <w:rFonts w:ascii="Calibri" w:cs="Calibri" w:eastAsia="Calibri" w:hAnsi="Calibri"/>
          <w:b/>
          <w:bCs/>
          <w:sz w:val="22"/>
          <w:szCs w:val="22"/>
        </w:rPr>
        <w:t xml:space="preserve">Jurisdictional Threshold Test: </w:t>
      </w:r>
      <w:r>
        <w:rPr>
          <w:rFonts w:ascii="Calibri" w:cs="Calibri" w:eastAsia="Calibri" w:hAnsi="Calibri"/>
          <w:sz w:val="22"/>
          <w:szCs w:val="22"/>
        </w:rPr>
        <w:t xml:space="preserve">This test assesses whether the transaction falls under the jurisdiction of the European Union or national competition authorities based on the revenues generated by the companies involved. In this instance, it was determined that the operation does not fall under EU jurisdiction but exceeds the control thresholds specified in Article L. 430-2 of the Commercial Code, thus requiring review by the national authority. </w:t>
      </w:r>
      <w:hyperlink w:history="1" r:id="rIdxbjy_o1pjsrlclab_brue">
        <w:r>
          <w:rPr>
            <w:rStyle w:val="Hyperlink"/>
            <w:rFonts w:ascii="Calibri" w:cs="Calibri" w:eastAsia="Calibri" w:hAnsi="Calibri"/>
            <w:sz w:val="22"/>
            <w:szCs w:val="22"/>
          </w:rPr>
          <w:t xml:space="preserve">[3]</w:t>
        </w:r>
      </w:hyperlink>
    </w:p>
    <w:p>
      <w:pPr>
        <w:pStyle w:val="ListParagraph"/>
        <w:numPr>
          <w:ilvl w:val="0"/>
          <w:numId w:val="1"/>
        </w:numPr>
        <w:spacing w:after="120"/>
      </w:pPr>
      <w:r>
        <w:rPr>
          <w:rFonts w:ascii="Calibri" w:cs="Calibri" w:eastAsia="Calibri" w:hAnsi="Calibri"/>
          <w:b/>
          <w:bCs/>
          <w:sz w:val="22"/>
          <w:szCs w:val="22"/>
        </w:rPr>
        <w:t xml:space="preserve">Competition Harm Assessment: </w:t>
      </w:r>
      <w:r>
        <w:rPr>
          <w:rFonts w:ascii="Calibri" w:cs="Calibri" w:eastAsia="Calibri" w:hAnsi="Calibri"/>
          <w:sz w:val="22"/>
          <w:szCs w:val="22"/>
        </w:rPr>
        <w:t xml:space="preserve">This test evaluates whether the transaction is likely to harm competition in the relevant markets. The analysis concluded that the operation would not negatively impact competition, indicating that the merger would not create or strengthen a dominant position that could significantly impede effective competition. </w:t>
      </w:r>
      <w:hyperlink w:history="1" r:id="rIdtrb4v-vet4bms55w64xp8">
        <w:r>
          <w:rPr>
            <w:rStyle w:val="Hyperlink"/>
            <w:rFonts w:ascii="Calibri" w:cs="Calibri" w:eastAsia="Calibri" w:hAnsi="Calibri"/>
            <w:sz w:val="22"/>
            <w:szCs w:val="22"/>
          </w:rPr>
          <w:t xml:space="preserve">[3]</w:t>
        </w:r>
      </w:hyperlink>
    </w:p>
    <w:p>
      <w:pPr>
        <w:spacing w:after="120" w:before="240"/>
      </w:pPr>
      <w:r>
        <w:rPr>
          <w:rFonts w:ascii="Calibri" w:cs="Calibri" w:eastAsia="Calibri" w:hAnsi="Calibri"/>
          <w:b/>
          <w:bCs/>
          <w:i/>
          <w:iCs/>
          <w:color w:val="1F4E5F"/>
          <w:sz w:val="22"/>
          <w:szCs w:val="22"/>
        </w:rPr>
        <w:t xml:space="preserve">Conclusion</w:t>
      </w:r>
    </w:p>
    <w:p>
      <w:pPr>
        <w:pStyle w:val="ListParagraph"/>
        <w:numPr>
          <w:ilvl w:val="0"/>
          <w:numId w:val="1"/>
        </w:numPr>
        <w:spacing w:after="120"/>
      </w:pPr>
      <w:r>
        <w:rPr>
          <w:rFonts w:ascii="Calibri" w:cs="Calibri" w:eastAsia="Calibri" w:hAnsi="Calibri"/>
          <w:sz w:val="22"/>
          <w:szCs w:val="22"/>
        </w:rPr>
        <w:t xml:space="preserve">The operation involving the Carrefour group acquiring exclusive control of five business assets from the Auchan group was authorized, indicating that it was deemed acceptable under competition law </w:t>
      </w:r>
      <w:hyperlink w:history="1" r:id="rIdhdfclhvrnir_g56rdqevp">
        <w:r>
          <w:rPr>
            <w:rStyle w:val="Hyperlink"/>
            <w:rFonts w:ascii="Calibri" w:cs="Calibri" w:eastAsia="Calibri" w:hAnsi="Calibri"/>
            <w:sz w:val="22"/>
            <w:szCs w:val="22"/>
          </w:rPr>
          <w:t xml:space="preserve">[3]</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b/>
          <w:bCs/>
          <w:sz w:val="22"/>
          <w:szCs w:val="22"/>
        </w:rPr>
        <w:t xml:space="preserve">The acquisition consisted of two concentrations: </w:t>
      </w:r>
      <w:r>
        <w:rPr>
          <w:rFonts w:ascii="Calibri" w:cs="Calibri" w:eastAsia="Calibri" w:hAnsi="Calibri"/>
          <w:sz w:val="22"/>
          <w:szCs w:val="22"/>
        </w:rPr>
        <w:t xml:space="preserve">the first involved four business assets under the "myAuchan" brand in Paris, completed on June 1, 2025, and the second involved a supermarket asset under the "Auchan Supermarché" brand in Aubagne </w:t>
      </w:r>
      <w:hyperlink w:history="1" r:id="rIdn5nlqc4f56skxjxlemt6_">
        <w:r>
          <w:rPr>
            <w:rStyle w:val="Hyperlink"/>
            <w:rFonts w:ascii="Calibri" w:cs="Calibri" w:eastAsia="Calibri" w:hAnsi="Calibri"/>
            <w:sz w:val="22"/>
            <w:szCs w:val="22"/>
          </w:rPr>
          <w:t xml:space="preserve">[3]</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sz w:val="22"/>
          <w:szCs w:val="22"/>
        </w:rPr>
        <w:t xml:space="preserve">The operation was classified as a concentration according to Article L. 430-1 of the Commercial Code, which pertains to economic concentrations </w:t>
      </w:r>
      <w:hyperlink w:history="1" r:id="rIdjwkeu2cizgs1btakbahqz">
        <w:r>
          <w:rPr>
            <w:rStyle w:val="Hyperlink"/>
            <w:rFonts w:ascii="Calibri" w:cs="Calibri" w:eastAsia="Calibri" w:hAnsi="Calibri"/>
            <w:sz w:val="22"/>
            <w:szCs w:val="22"/>
          </w:rPr>
          <w:t xml:space="preserve">[3]</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sz w:val="22"/>
          <w:szCs w:val="22"/>
        </w:rPr>
        <w:t xml:space="preserve">The revenues generated by the companies involved did not fall under the jurisdiction of the European Union, but the control thresholds were exceeded, making the operation subject to national competition law provisions </w:t>
      </w:r>
      <w:hyperlink w:history="1" r:id="rIdyf6zrte7bvot_-wauuedc">
        <w:r>
          <w:rPr>
            <w:rStyle w:val="Hyperlink"/>
            <w:rFonts w:ascii="Calibri" w:cs="Calibri" w:eastAsia="Calibri" w:hAnsi="Calibri"/>
            <w:sz w:val="22"/>
            <w:szCs w:val="22"/>
          </w:rPr>
          <w:t xml:space="preserve">[3]</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sz w:val="22"/>
          <w:szCs w:val="22"/>
        </w:rPr>
        <w:t xml:space="preserve">The decision concluded that the operation was not likely to harm competition in the relevant markets, suggesting a thorough analysis of market conditions </w:t>
      </w:r>
      <w:hyperlink w:history="1" r:id="rIdhwekiznhstvm_h9e6ocrh">
        <w:r>
          <w:rPr>
            <w:rStyle w:val="Hyperlink"/>
            <w:rFonts w:ascii="Calibri" w:cs="Calibri" w:eastAsia="Calibri" w:hAnsi="Calibri"/>
            <w:sz w:val="22"/>
            <w:szCs w:val="22"/>
          </w:rPr>
          <w:t xml:space="preserve">[3]</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sz w:val="22"/>
          <w:szCs w:val="22"/>
        </w:rPr>
        <w:t xml:space="preserve">No remedies or fines were imposed as part of this decision, reflecting a straightforward approval without conditions </w:t>
      </w:r>
      <w:hyperlink w:history="1" r:id="rIdpfusili5beuuwvg-fjga0">
        <w:r>
          <w:rPr>
            <w:rStyle w:val="Hyperlink"/>
            <w:rFonts w:ascii="Calibri" w:cs="Calibri" w:eastAsia="Calibri" w:hAnsi="Calibri"/>
            <w:sz w:val="22"/>
            <w:szCs w:val="22"/>
          </w:rPr>
          <w:t xml:space="preserve">[3]</w:t>
        </w:r>
      </w:hyperlink>
      <w:r>
        <w:rPr>
          <w:rFonts w:ascii="Calibri" w:cs="Calibri" w:eastAsia="Calibri" w:hAnsi="Calibri"/>
          <w:sz w:val="22"/>
          <w:szCs w:val="22"/>
        </w:rPr>
        <w:t xml:space="preserve">.</w:t>
      </w:r>
    </w:p>
    <w:p>
      <w:pPr>
        <w:spacing w:after="160" w:before="300"/>
      </w:pPr>
      <w:r>
        <w:rPr>
          <w:rFonts w:ascii="Calibri" w:cs="Calibri" w:eastAsia="Calibri" w:hAnsi="Calibri"/>
          <w:b/>
          <w:bCs/>
          <w:color w:val="1F4E5F"/>
          <w:sz w:val="22"/>
          <w:szCs w:val="22"/>
        </w:rPr>
        <w:t xml:space="preserve">Decision No. 24-DCC-158 regarding the exclusive control acquisition of three business assets under the Intermarché brand by the Carrefour group</w:t>
      </w:r>
    </w:p>
    <w:p>
      <w:pPr>
        <w:spacing w:after="120" w:before="240"/>
      </w:pPr>
      <w:r>
        <w:rPr>
          <w:rFonts w:ascii="Calibri" w:cs="Calibri" w:eastAsia="Calibri" w:hAnsi="Calibri"/>
          <w:b/>
          <w:bCs/>
          <w:i/>
          <w:iCs/>
          <w:color w:val="1F4E5F"/>
          <w:sz w:val="22"/>
          <w:szCs w:val="22"/>
        </w:rPr>
        <w:t xml:space="preserve">Case Background</w:t>
      </w:r>
    </w:p>
    <w:p>
      <w:pPr>
        <w:spacing w:after="160"/>
      </w:pPr>
      <w:r>
        <w:rPr>
          <w:rFonts w:ascii="Calibri" w:cs="Calibri" w:eastAsia="Calibri" w:hAnsi="Calibri"/>
          <w:sz w:val="22"/>
          <w:szCs w:val="22"/>
        </w:rPr>
        <w:t xml:space="preserve">The allegation made in this case concerns the exclusive control acquisition of three business assets under the Intermarché brand by the Carrefour group. </w:t>
      </w:r>
      <w:hyperlink w:history="1" r:id="rIdgitiqyjhn1o61vlptqhmt">
        <w:r>
          <w:rPr>
            <w:rStyle w:val="Hyperlink"/>
            <w:rFonts w:ascii="Calibri" w:cs="Calibri" w:eastAsia="Calibri" w:hAnsi="Calibri"/>
            <w:sz w:val="22"/>
            <w:szCs w:val="22"/>
          </w:rPr>
          <w:t xml:space="preserve">[4]</w:t>
        </w:r>
      </w:hyperlink>
    </w:p>
    <w:p>
      <w:pPr>
        <w:spacing w:after="160"/>
      </w:pPr>
      <w:r>
        <w:rPr>
          <w:rFonts w:ascii="Calibri" w:cs="Calibri" w:eastAsia="Calibri" w:hAnsi="Calibri"/>
          <w:sz w:val="22"/>
          <w:szCs w:val="22"/>
        </w:rPr>
        <w:t xml:space="preserve">The company involved in this case is the Carrefour group, which is acquiring the assets from the Intermarché brand. </w:t>
      </w:r>
      <w:hyperlink w:history="1" r:id="rIdx9rwikggq9fha6tmdhqbn">
        <w:r>
          <w:rPr>
            <w:rStyle w:val="Hyperlink"/>
            <w:rFonts w:ascii="Calibri" w:cs="Calibri" w:eastAsia="Calibri" w:hAnsi="Calibri"/>
            <w:sz w:val="22"/>
            <w:szCs w:val="22"/>
          </w:rPr>
          <w:t xml:space="preserve">[4]</w:t>
        </w:r>
      </w:hyperlink>
    </w:p>
    <w:p>
      <w:pPr>
        <w:spacing w:after="160"/>
      </w:pPr>
      <w:r>
        <w:rPr>
          <w:rFonts w:ascii="Calibri" w:cs="Calibri" w:eastAsia="Calibri" w:hAnsi="Calibri"/>
          <w:sz w:val="22"/>
          <w:szCs w:val="22"/>
        </w:rPr>
        <w:t xml:space="preserve">The year of case initiation is 2024, with the complete notification file submitted on July 3, 2024. </w:t>
      </w:r>
      <w:hyperlink w:history="1" r:id="rId7icm_cbm5i1wre9iav-wy">
        <w:r>
          <w:rPr>
            <w:rStyle w:val="Hyperlink"/>
            <w:rFonts w:ascii="Calibri" w:cs="Calibri" w:eastAsia="Calibri" w:hAnsi="Calibri"/>
            <w:sz w:val="22"/>
            <w:szCs w:val="22"/>
          </w:rPr>
          <w:t xml:space="preserve">[4]</w:t>
        </w:r>
      </w:hyperlink>
    </w:p>
    <w:p>
      <w:pPr>
        <w:spacing w:after="160"/>
      </w:pPr>
      <w:r>
        <w:rPr>
          <w:rFonts w:ascii="Calibri" w:cs="Calibri" w:eastAsia="Calibri" w:hAnsi="Calibri"/>
          <w:sz w:val="22"/>
          <w:szCs w:val="22"/>
        </w:rPr>
        <w:t xml:space="preserve">The violation pertains to the economic concentration regulations outlined in the Commercial Code, specifically regarding the acquisition of business assets that exceed the retail control thresholds. This acquisition was formalized through a letter of agreement and a draft contract for the transfer of business assets. </w:t>
      </w:r>
      <w:hyperlink w:history="1" r:id="rIdskjumcfn23s2mkkboudpb">
        <w:r>
          <w:rPr>
            <w:rStyle w:val="Hyperlink"/>
            <w:rFonts w:ascii="Calibri" w:cs="Calibri" w:eastAsia="Calibri" w:hAnsi="Calibri"/>
            <w:sz w:val="22"/>
            <w:szCs w:val="22"/>
          </w:rPr>
          <w:t xml:space="preserve">[4]</w:t>
        </w:r>
      </w:hyperlink>
    </w:p>
    <w:p>
      <w:pPr>
        <w:spacing w:after="160"/>
      </w:pPr>
      <w:r>
        <w:rPr>
          <w:rFonts w:ascii="Calibri" w:cs="Calibri" w:eastAsia="Calibri" w:hAnsi="Calibri"/>
          <w:sz w:val="22"/>
          <w:szCs w:val="22"/>
        </w:rPr>
        <w:t xml:space="preserve">The operation was assessed and determined not to harm competition in the relevant markets, leading to its authorization. </w:t>
      </w:r>
      <w:hyperlink w:history="1" r:id="rIdo10wdznprg7ibhshsrbii">
        <w:r>
          <w:rPr>
            <w:rStyle w:val="Hyperlink"/>
            <w:rFonts w:ascii="Calibri" w:cs="Calibri" w:eastAsia="Calibri" w:hAnsi="Calibri"/>
            <w:sz w:val="22"/>
            <w:szCs w:val="22"/>
          </w:rPr>
          <w:t xml:space="preserve">[4]</w:t>
        </w:r>
      </w:hyperlink>
    </w:p>
    <w:p>
      <w:pPr>
        <w:spacing w:after="120" w:before="240"/>
      </w:pPr>
      <w:r>
        <w:rPr>
          <w:rFonts w:ascii="Calibri" w:cs="Calibri" w:eastAsia="Calibri" w:hAnsi="Calibri"/>
          <w:b/>
          <w:bCs/>
          <w:i/>
          <w:iCs/>
          <w:color w:val="1F4E5F"/>
          <w:sz w:val="22"/>
          <w:szCs w:val="22"/>
        </w:rPr>
        <w:t xml:space="preserve">Case Progression</w:t>
      </w:r>
    </w:p>
    <w:p>
      <w:pPr>
        <w:pStyle w:val="ListParagraph"/>
        <w:numPr>
          <w:ilvl w:val="0"/>
          <w:numId w:val="1"/>
        </w:numPr>
        <w:spacing w:after="120"/>
      </w:pPr>
      <w:r>
        <w:rPr>
          <w:rFonts w:ascii="Calibri" w:cs="Calibri" w:eastAsia="Calibri" w:hAnsi="Calibri"/>
          <w:b/>
          <w:bCs/>
          <w:sz w:val="22"/>
          <w:szCs w:val="22"/>
        </w:rPr>
        <w:t xml:space="preserve">Case Initiation: </w:t>
      </w:r>
      <w:r>
        <w:rPr>
          <w:rFonts w:ascii="Calibri" w:cs="Calibri" w:eastAsia="Calibri" w:hAnsi="Calibri"/>
          <w:sz w:val="22"/>
          <w:szCs w:val="22"/>
        </w:rPr>
        <w:t xml:space="preserve">The case was initiated with the notification of the exclusive control acquisition by the Carrefour group of three business assets under the Intermarché brand, formalized by a letter of agreement. This step is documented </w:t>
      </w:r>
      <w:hyperlink w:history="1" r:id="rIdzcwowilxaygitypk5kpok">
        <w:r>
          <w:rPr>
            <w:rStyle w:val="Hyperlink"/>
            <w:rFonts w:ascii="Calibri" w:cs="Calibri" w:eastAsia="Calibri" w:hAnsi="Calibri"/>
            <w:sz w:val="22"/>
            <w:szCs w:val="22"/>
          </w:rPr>
          <w:t xml:space="preserve">[4]</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b/>
          <w:bCs/>
          <w:sz w:val="22"/>
          <w:szCs w:val="22"/>
        </w:rPr>
        <w:t xml:space="preserve">Preliminary Investigation: </w:t>
      </w:r>
      <w:r>
        <w:rPr>
          <w:rFonts w:ascii="Calibri" w:cs="Calibri" w:eastAsia="Calibri" w:hAnsi="Calibri"/>
          <w:sz w:val="22"/>
          <w:szCs w:val="22"/>
        </w:rPr>
        <w:t xml:space="preserve">The investigation assessed whether the acquisition would harm competition in the relevant markets. The evidence gathered indicated that the operation did not pose a threat to competition, leading to the continuation of the process. This information is found </w:t>
      </w:r>
      <w:hyperlink w:history="1" r:id="rIde4qlzasmdc1c4iwhhdj1d">
        <w:r>
          <w:rPr>
            <w:rStyle w:val="Hyperlink"/>
            <w:rFonts w:ascii="Calibri" w:cs="Calibri" w:eastAsia="Calibri" w:hAnsi="Calibri"/>
            <w:sz w:val="22"/>
            <w:szCs w:val="22"/>
          </w:rPr>
          <w:t xml:space="preserve">[4]</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b/>
          <w:bCs/>
          <w:sz w:val="22"/>
          <w:szCs w:val="22"/>
        </w:rPr>
        <w:t xml:space="preserve">Statement of Objections: </w:t>
      </w:r>
      <w:r>
        <w:rPr>
          <w:rFonts w:ascii="Calibri" w:cs="Calibri" w:eastAsia="Calibri" w:hAnsi="Calibri"/>
          <w:sz w:val="22"/>
          <w:szCs w:val="22"/>
        </w:rPr>
        <w:t xml:space="preserve">In this case, no Statement of Objections was issued, as the investigation concluded that the acquisition would not harm competition. This indicates a smooth progression without significant concerns raised, as noted </w:t>
      </w:r>
      <w:hyperlink w:history="1" r:id="rIdz58acof9c6u0cycqyqdd5">
        <w:r>
          <w:rPr>
            <w:rStyle w:val="Hyperlink"/>
            <w:rFonts w:ascii="Calibri" w:cs="Calibri" w:eastAsia="Calibri" w:hAnsi="Calibri"/>
            <w:sz w:val="22"/>
            <w:szCs w:val="22"/>
          </w:rPr>
          <w:t xml:space="preserve">[4]</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b/>
          <w:bCs/>
          <w:sz w:val="22"/>
          <w:szCs w:val="22"/>
        </w:rPr>
        <w:t xml:space="preserve">Defense Phase: </w:t>
      </w:r>
      <w:r>
        <w:rPr>
          <w:rFonts w:ascii="Calibri" w:cs="Calibri" w:eastAsia="Calibri" w:hAnsi="Calibri"/>
          <w:sz w:val="22"/>
          <w:szCs w:val="22"/>
        </w:rPr>
        <w:t xml:space="preserve">Since there were no objections or concerns regarding competition, there was no need for a defense phase involving written responses or oral hearings. This is reflected in the decision </w:t>
      </w:r>
      <w:hyperlink w:history="1" r:id="rIdvg9kkf0xpgqdzi7lpx9za">
        <w:r>
          <w:rPr>
            <w:rStyle w:val="Hyperlink"/>
            <w:rFonts w:ascii="Calibri" w:cs="Calibri" w:eastAsia="Calibri" w:hAnsi="Calibri"/>
            <w:sz w:val="22"/>
            <w:szCs w:val="22"/>
          </w:rPr>
          <w:t xml:space="preserve">[4]</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b/>
          <w:bCs/>
          <w:sz w:val="22"/>
          <w:szCs w:val="22"/>
        </w:rPr>
        <w:t xml:space="preserve">Commission Decision: </w:t>
      </w:r>
      <w:r>
        <w:rPr>
          <w:rFonts w:ascii="Calibri" w:cs="Calibri" w:eastAsia="Calibri" w:hAnsi="Calibri"/>
          <w:sz w:val="22"/>
          <w:szCs w:val="22"/>
        </w:rPr>
        <w:t xml:space="preserve">The Competition Authority authorized the operation, concluding that it did not infringe upon competition laws. This decision was made based on the findings from the preliminary investigation, as stated </w:t>
      </w:r>
      <w:hyperlink w:history="1" r:id="rIds3ozq9loxobabtx4_o6ur">
        <w:r>
          <w:rPr>
            <w:rStyle w:val="Hyperlink"/>
            <w:rFonts w:ascii="Calibri" w:cs="Calibri" w:eastAsia="Calibri" w:hAnsi="Calibri"/>
            <w:sz w:val="22"/>
            <w:szCs w:val="22"/>
          </w:rPr>
          <w:t xml:space="preserve">[4]</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b/>
          <w:bCs/>
          <w:sz w:val="22"/>
          <w:szCs w:val="22"/>
        </w:rPr>
        <w:t xml:space="preserve">Final Outcome: </w:t>
      </w:r>
      <w:r>
        <w:rPr>
          <w:rFonts w:ascii="Calibri" w:cs="Calibri" w:eastAsia="Calibri" w:hAnsi="Calibri"/>
          <w:sz w:val="22"/>
          <w:szCs w:val="22"/>
        </w:rPr>
        <w:t xml:space="preserve">The operation was authorized without any further appeals or commitments required, marking the end of the case. This final decision is confirmed </w:t>
      </w:r>
      <w:hyperlink w:history="1" r:id="rIdw5yixg8tp49zuzxgq9_r-">
        <w:r>
          <w:rPr>
            <w:rStyle w:val="Hyperlink"/>
            <w:rFonts w:ascii="Calibri" w:cs="Calibri" w:eastAsia="Calibri" w:hAnsi="Calibri"/>
            <w:sz w:val="22"/>
            <w:szCs w:val="22"/>
          </w:rPr>
          <w:t xml:space="preserve">[4]</w:t>
        </w:r>
      </w:hyperlink>
      <w:r>
        <w:rPr>
          <w:rFonts w:ascii="Calibri" w:cs="Calibri" w:eastAsia="Calibri" w:hAnsi="Calibri"/>
          <w:sz w:val="22"/>
          <w:szCs w:val="22"/>
        </w:rPr>
        <w:t xml:space="preserve">.</w:t>
      </w:r>
    </w:p>
    <w:p>
      <w:pPr>
        <w:spacing w:after="120" w:before="240"/>
      </w:pPr>
      <w:r>
        <w:rPr>
          <w:rFonts w:ascii="Calibri" w:cs="Calibri" w:eastAsia="Calibri" w:hAnsi="Calibri"/>
          <w:b/>
          <w:bCs/>
          <w:i/>
          <w:iCs/>
          <w:color w:val="1F4E5F"/>
          <w:sz w:val="22"/>
          <w:szCs w:val="22"/>
        </w:rPr>
        <w:t xml:space="preserve">Market Definition</w:t>
      </w:r>
    </w:p>
    <w:p>
      <w:pPr>
        <w:spacing w:after="160"/>
      </w:pPr>
      <w:r>
        <w:rPr>
          <w:rFonts w:ascii="Calibri" w:cs="Calibri" w:eastAsia="Calibri" w:hAnsi="Calibri"/>
          <w:sz w:val="22"/>
          <w:szCs w:val="22"/>
        </w:rPr>
        <w:t xml:space="preserve">The market considered in this case involved food retail business assets under the Intermarché brand, specifically hypermarkets and supermarkets. </w:t>
      </w:r>
      <w:hyperlink w:history="1" r:id="rIdhmeshdjqfojguh30hlljx">
        <w:r>
          <w:rPr>
            <w:rStyle w:val="Hyperlink"/>
            <w:rFonts w:ascii="Calibri" w:cs="Calibri" w:eastAsia="Calibri" w:hAnsi="Calibri"/>
            <w:sz w:val="22"/>
            <w:szCs w:val="22"/>
          </w:rPr>
          <w:t xml:space="preserve">[4]</w:t>
        </w:r>
      </w:hyperlink>
    </w:p>
    <w:p>
      <w:pPr>
        <w:spacing w:after="160"/>
      </w:pPr>
      <w:r>
        <w:rPr>
          <w:rFonts w:ascii="Calibri" w:cs="Calibri" w:eastAsia="Calibri" w:hAnsi="Calibri"/>
          <w:sz w:val="22"/>
          <w:szCs w:val="22"/>
        </w:rPr>
        <w:t xml:space="preserve">The operation involved the exclusive control acquisition of two hypermarket-type assets and one supermarket-type asset located in specific regions of France. </w:t>
      </w:r>
      <w:hyperlink w:history="1" r:id="rId3usdcqlk5mtwqx1fivsnj">
        <w:r>
          <w:rPr>
            <w:rStyle w:val="Hyperlink"/>
            <w:rFonts w:ascii="Calibri" w:cs="Calibri" w:eastAsia="Calibri" w:hAnsi="Calibri"/>
            <w:sz w:val="22"/>
            <w:szCs w:val="22"/>
          </w:rPr>
          <w:t xml:space="preserve">[4]</w:t>
        </w:r>
      </w:hyperlink>
    </w:p>
    <w:p>
      <w:pPr>
        <w:spacing w:after="160"/>
      </w:pPr>
      <w:r>
        <w:rPr>
          <w:rFonts w:ascii="Calibri" w:cs="Calibri" w:eastAsia="Calibri" w:hAnsi="Calibri"/>
          <w:sz w:val="22"/>
          <w:szCs w:val="22"/>
        </w:rPr>
        <w:t xml:space="preserve">The relevant markets were defined based on the geographical locations of the business assets, which included Lons-le-Saunier, Plouaret, and Vals-près-le-Puy. </w:t>
      </w:r>
      <w:hyperlink w:history="1" r:id="rIdd1jyw13eaxhh21rdrl_je">
        <w:r>
          <w:rPr>
            <w:rStyle w:val="Hyperlink"/>
            <w:rFonts w:ascii="Calibri" w:cs="Calibri" w:eastAsia="Calibri" w:hAnsi="Calibri"/>
            <w:sz w:val="22"/>
            <w:szCs w:val="22"/>
          </w:rPr>
          <w:t xml:space="preserve">[4]</w:t>
        </w:r>
      </w:hyperlink>
    </w:p>
    <w:p>
      <w:pPr>
        <w:spacing w:after="160"/>
      </w:pPr>
      <w:r>
        <w:rPr>
          <w:rFonts w:ascii="Calibri" w:cs="Calibri" w:eastAsia="Calibri" w:hAnsi="Calibri"/>
          <w:sz w:val="22"/>
          <w:szCs w:val="22"/>
        </w:rPr>
        <w:t xml:space="preserve">The assessment of competition was conducted by analyzing the turnover of the companies involved to determine if the operation fell under the jurisdiction of the European Union. </w:t>
      </w:r>
      <w:hyperlink w:history="1" r:id="rIdlcfxg2yccj_a7nbk_-zdz">
        <w:r>
          <w:rPr>
            <w:rStyle w:val="Hyperlink"/>
            <w:rFonts w:ascii="Calibri" w:cs="Calibri" w:eastAsia="Calibri" w:hAnsi="Calibri"/>
            <w:sz w:val="22"/>
            <w:szCs w:val="22"/>
          </w:rPr>
          <w:t xml:space="preserve">[4]</w:t>
        </w:r>
      </w:hyperlink>
    </w:p>
    <w:p>
      <w:pPr>
        <w:spacing w:after="160"/>
      </w:pPr>
      <w:r>
        <w:rPr>
          <w:rFonts w:ascii="Calibri" w:cs="Calibri" w:eastAsia="Calibri" w:hAnsi="Calibri"/>
          <w:sz w:val="22"/>
          <w:szCs w:val="22"/>
        </w:rPr>
        <w:t xml:space="preserve">The thresholds for retail control as specified in the Commercial Code were examined to establish whether the operation was subject to further scrutiny under competition law. </w:t>
      </w:r>
      <w:hyperlink w:history="1" r:id="rIdvggsi_hnz7ud8lh4vietk">
        <w:r>
          <w:rPr>
            <w:rStyle w:val="Hyperlink"/>
            <w:rFonts w:ascii="Calibri" w:cs="Calibri" w:eastAsia="Calibri" w:hAnsi="Calibri"/>
            <w:sz w:val="22"/>
            <w:szCs w:val="22"/>
          </w:rPr>
          <w:t xml:space="preserve">[4]</w:t>
        </w:r>
      </w:hyperlink>
    </w:p>
    <w:p>
      <w:pPr>
        <w:spacing w:after="160"/>
      </w:pPr>
      <w:r>
        <w:rPr>
          <w:rFonts w:ascii="Calibri" w:cs="Calibri" w:eastAsia="Calibri" w:hAnsi="Calibri"/>
          <w:sz w:val="22"/>
          <w:szCs w:val="22"/>
        </w:rPr>
        <w:t xml:space="preserve">The decision concluded that the operation was not likely to harm competition in the relevant markets, indicating a thorough evaluation of market dynamics. </w:t>
      </w:r>
      <w:hyperlink w:history="1" r:id="rIdnucveuktranq9nxl2udp3">
        <w:r>
          <w:rPr>
            <w:rStyle w:val="Hyperlink"/>
            <w:rFonts w:ascii="Calibri" w:cs="Calibri" w:eastAsia="Calibri" w:hAnsi="Calibri"/>
            <w:sz w:val="22"/>
            <w:szCs w:val="22"/>
          </w:rPr>
          <w:t xml:space="preserve">[4]</w:t>
        </w:r>
      </w:hyperlink>
    </w:p>
    <w:p>
      <w:pPr>
        <w:spacing w:after="160"/>
      </w:pPr>
      <w:r>
        <w:rPr>
          <w:rFonts w:ascii="Calibri" w:cs="Calibri" w:eastAsia="Calibri" w:hAnsi="Calibri"/>
          <w:sz w:val="22"/>
          <w:szCs w:val="22"/>
        </w:rPr>
        <w:t xml:space="preserve">The final decision authorized the operation, reflecting that the Competition Authority found no significant anti-competitive concerns. </w:t>
      </w:r>
      <w:hyperlink w:history="1" r:id="rIdyncguatk6982db9c9ylta">
        <w:r>
          <w:rPr>
            <w:rStyle w:val="Hyperlink"/>
            <w:rFonts w:ascii="Calibri" w:cs="Calibri" w:eastAsia="Calibri" w:hAnsi="Calibri"/>
            <w:sz w:val="22"/>
            <w:szCs w:val="22"/>
          </w:rPr>
          <w:t xml:space="preserve">[4]</w:t>
        </w:r>
      </w:hyperlink>
    </w:p>
    <w:p>
      <w:pPr>
        <w:spacing w:after="120" w:before="240"/>
      </w:pPr>
      <w:r>
        <w:rPr>
          <w:rFonts w:ascii="Calibri" w:cs="Calibri" w:eastAsia="Calibri" w:hAnsi="Calibri"/>
          <w:b/>
          <w:bCs/>
          <w:i/>
          <w:iCs/>
          <w:color w:val="1F4E5F"/>
          <w:sz w:val="22"/>
          <w:szCs w:val="22"/>
        </w:rPr>
        <w:t xml:space="preserve">Legal &amp; Economic Tests</w:t>
      </w:r>
    </w:p>
    <w:p>
      <w:pPr>
        <w:pStyle w:val="ListParagraph"/>
        <w:numPr>
          <w:ilvl w:val="0"/>
          <w:numId w:val="1"/>
        </w:numPr>
        <w:spacing w:after="120"/>
      </w:pPr>
      <w:r>
        <w:rPr>
          <w:rFonts w:ascii="Calibri" w:cs="Calibri" w:eastAsia="Calibri" w:hAnsi="Calibri"/>
          <w:b/>
          <w:bCs/>
          <w:sz w:val="22"/>
          <w:szCs w:val="22"/>
        </w:rPr>
        <w:t xml:space="preserve">Jurisdictional Test: </w:t>
      </w:r>
      <w:r>
        <w:rPr>
          <w:rFonts w:ascii="Calibri" w:cs="Calibri" w:eastAsia="Calibri" w:hAnsi="Calibri"/>
          <w:sz w:val="22"/>
          <w:szCs w:val="22"/>
        </w:rPr>
        <w:t xml:space="preserve">This test determines whether the merger falls under the jurisdiction of the relevant competition authority. In this case, it was established that the operation does not fall under the jurisdiction of the European Union due to the turnover achieved by the companies involved. However, it exceeded the retail control thresholds, making it subject to national competition law provisions. This assessment ensures that the merger is reviewed by the appropriate authority. </w:t>
      </w:r>
      <w:hyperlink w:history="1" r:id="rIdlcimeevrgir9ttghbv8ci">
        <w:r>
          <w:rPr>
            <w:rStyle w:val="Hyperlink"/>
            <w:rFonts w:ascii="Calibri" w:cs="Calibri" w:eastAsia="Calibri" w:hAnsi="Calibri"/>
            <w:sz w:val="22"/>
            <w:szCs w:val="22"/>
          </w:rPr>
          <w:t xml:space="preserve">[4]</w:t>
        </w:r>
      </w:hyperlink>
    </w:p>
    <w:p>
      <w:pPr>
        <w:pStyle w:val="ListParagraph"/>
        <w:numPr>
          <w:ilvl w:val="0"/>
          <w:numId w:val="1"/>
        </w:numPr>
        <w:spacing w:after="120"/>
      </w:pPr>
      <w:r>
        <w:rPr>
          <w:rFonts w:ascii="Calibri" w:cs="Calibri" w:eastAsia="Calibri" w:hAnsi="Calibri"/>
          <w:b/>
          <w:bCs/>
          <w:sz w:val="22"/>
          <w:szCs w:val="22"/>
        </w:rPr>
        <w:t xml:space="preserve">Concentration Test: </w:t>
      </w:r>
      <w:r>
        <w:rPr>
          <w:rFonts w:ascii="Calibri" w:cs="Calibri" w:eastAsia="Calibri" w:hAnsi="Calibri"/>
          <w:sz w:val="22"/>
          <w:szCs w:val="22"/>
        </w:rPr>
        <w:t xml:space="preserve">This test assesses whether the operation constitutes a concentration as defined by the applicable legal framework. The acquisition of exclusive control over the three business assets under the Intermarché brand was confirmed to be a concentration operation under Article L. 430-1 of the Commercial Code. This test is crucial for determining if the merger meets the legal criteria for further examination. </w:t>
      </w:r>
      <w:hyperlink w:history="1" r:id="rIdtbowfokp-fa_7ihzpxxhf">
        <w:r>
          <w:rPr>
            <w:rStyle w:val="Hyperlink"/>
            <w:rFonts w:ascii="Calibri" w:cs="Calibri" w:eastAsia="Calibri" w:hAnsi="Calibri"/>
            <w:sz w:val="22"/>
            <w:szCs w:val="22"/>
          </w:rPr>
          <w:t xml:space="preserve">[4]</w:t>
        </w:r>
      </w:hyperlink>
    </w:p>
    <w:p>
      <w:pPr>
        <w:pStyle w:val="ListParagraph"/>
        <w:numPr>
          <w:ilvl w:val="0"/>
          <w:numId w:val="1"/>
        </w:numPr>
        <w:spacing w:after="120"/>
      </w:pPr>
      <w:r>
        <w:rPr>
          <w:rFonts w:ascii="Calibri" w:cs="Calibri" w:eastAsia="Calibri" w:hAnsi="Calibri"/>
          <w:b/>
          <w:bCs/>
          <w:sz w:val="22"/>
          <w:szCs w:val="22"/>
        </w:rPr>
        <w:t xml:space="preserve">Competition Assessment: </w:t>
      </w:r>
      <w:r>
        <w:rPr>
          <w:rFonts w:ascii="Calibri" w:cs="Calibri" w:eastAsia="Calibri" w:hAnsi="Calibri"/>
          <w:sz w:val="22"/>
          <w:szCs w:val="22"/>
        </w:rPr>
        <w:t xml:space="preserve">This test evaluates whether the merger is likely to harm competition in the relevant markets. The analysis concluded that the operation would not negatively impact competition, indicating that the merger would not create or strengthen a dominant position that could significantly impede effective competition. This assessment is vital for ensuring that market dynamics remain healthy post-merger. </w:t>
      </w:r>
      <w:hyperlink w:history="1" r:id="rIddjcvgevoxlhwvcid0r_am">
        <w:r>
          <w:rPr>
            <w:rStyle w:val="Hyperlink"/>
            <w:rFonts w:ascii="Calibri" w:cs="Calibri" w:eastAsia="Calibri" w:hAnsi="Calibri"/>
            <w:sz w:val="22"/>
            <w:szCs w:val="22"/>
          </w:rPr>
          <w:t xml:space="preserve">[4]</w:t>
        </w:r>
      </w:hyperlink>
    </w:p>
    <w:p>
      <w:pPr>
        <w:spacing w:after="120" w:before="240"/>
      </w:pPr>
      <w:r>
        <w:rPr>
          <w:rFonts w:ascii="Calibri" w:cs="Calibri" w:eastAsia="Calibri" w:hAnsi="Calibri"/>
          <w:b/>
          <w:bCs/>
          <w:i/>
          <w:iCs/>
          <w:color w:val="1F4E5F"/>
          <w:sz w:val="22"/>
          <w:szCs w:val="22"/>
        </w:rPr>
        <w:t xml:space="preserve">Conclusion</w:t>
      </w:r>
    </w:p>
    <w:p>
      <w:pPr>
        <w:pStyle w:val="ListParagraph"/>
        <w:numPr>
          <w:ilvl w:val="0"/>
          <w:numId w:val="1"/>
        </w:numPr>
        <w:spacing w:after="120"/>
      </w:pPr>
      <w:r>
        <w:rPr>
          <w:rFonts w:ascii="Calibri" w:cs="Calibri" w:eastAsia="Calibri" w:hAnsi="Calibri"/>
          <w:sz w:val="22"/>
          <w:szCs w:val="22"/>
        </w:rPr>
        <w:t xml:space="preserve">The operation involved the exclusive control acquisition by the Carrefour group of three business assets under the Intermarché brand, specifically two hypermarkets and one supermarket located in Lons-le-Saunier, Vals-près-le-Puy, and Plouaret </w:t>
      </w:r>
      <w:hyperlink w:history="1" r:id="rIdpiajqdeorin4zrqulzop-">
        <w:r>
          <w:rPr>
            <w:rStyle w:val="Hyperlink"/>
            <w:rFonts w:ascii="Calibri" w:cs="Calibri" w:eastAsia="Calibri" w:hAnsi="Calibri"/>
            <w:sz w:val="22"/>
            <w:szCs w:val="22"/>
          </w:rPr>
          <w:t xml:space="preserve">[4]</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sz w:val="22"/>
          <w:szCs w:val="22"/>
        </w:rPr>
        <w:t xml:space="preserve">The transaction was formalized through a letter of agreement dated February 8, 2024, which was amended on March 29, 2024, along with a draft contract for the transfer of business assets </w:t>
      </w:r>
      <w:hyperlink w:history="1" r:id="rId5g_johcrfha3hk_jgzf3w">
        <w:r>
          <w:rPr>
            <w:rStyle w:val="Hyperlink"/>
            <w:rFonts w:ascii="Calibri" w:cs="Calibri" w:eastAsia="Calibri" w:hAnsi="Calibri"/>
            <w:sz w:val="22"/>
            <w:szCs w:val="22"/>
          </w:rPr>
          <w:t xml:space="preserve">[4]</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sz w:val="22"/>
          <w:szCs w:val="22"/>
        </w:rPr>
        <w:t xml:space="preserve">The Competition Authority determined that the operation constituted a concentration under Article L. 430-1 of the Commercial Code, but it did not fall under the jurisdiction of the European Union due to the turnover of the companies involved </w:t>
      </w:r>
      <w:hyperlink w:history="1" r:id="rIdjlfhhqribesrzoovpdfjk">
        <w:r>
          <w:rPr>
            <w:rStyle w:val="Hyperlink"/>
            <w:rFonts w:ascii="Calibri" w:cs="Calibri" w:eastAsia="Calibri" w:hAnsi="Calibri"/>
            <w:sz w:val="22"/>
            <w:szCs w:val="22"/>
          </w:rPr>
          <w:t xml:space="preserve">[4]</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sz w:val="22"/>
          <w:szCs w:val="22"/>
        </w:rPr>
        <w:t xml:space="preserve">The retail control thresholds specified in Article L. 430-2 of the Commercial Code were exceeded, making the operation subject to the provisions of Articles L. 430-3 and following, which relate to economic concentration </w:t>
      </w:r>
      <w:hyperlink w:history="1" r:id="rIdpn3g8fvns7yss77ux2r-5">
        <w:r>
          <w:rPr>
            <w:rStyle w:val="Hyperlink"/>
            <w:rFonts w:ascii="Calibri" w:cs="Calibri" w:eastAsia="Calibri" w:hAnsi="Calibri"/>
            <w:sz w:val="22"/>
            <w:szCs w:val="22"/>
          </w:rPr>
          <w:t xml:space="preserve">[4]</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sz w:val="22"/>
          <w:szCs w:val="22"/>
        </w:rPr>
        <w:t xml:space="preserve">After reviewing the elements of the case, the Competition Authority concluded that the operation was not likely to harm competition in the relevant markets </w:t>
      </w:r>
      <w:hyperlink w:history="1" r:id="rIdwq2vycziwqlpxqzizg9nh">
        <w:r>
          <w:rPr>
            <w:rStyle w:val="Hyperlink"/>
            <w:rFonts w:ascii="Calibri" w:cs="Calibri" w:eastAsia="Calibri" w:hAnsi="Calibri"/>
            <w:sz w:val="22"/>
            <w:szCs w:val="22"/>
          </w:rPr>
          <w:t xml:space="preserve">[4]</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sz w:val="22"/>
          <w:szCs w:val="22"/>
        </w:rPr>
        <w:t xml:space="preserve">Consequently, the operation was authorized without any imposed remedies or fines </w:t>
      </w:r>
      <w:hyperlink w:history="1" r:id="rId7dpn_ebb36vrbsokllmo_">
        <w:r>
          <w:rPr>
            <w:rStyle w:val="Hyperlink"/>
            <w:rFonts w:ascii="Calibri" w:cs="Calibri" w:eastAsia="Calibri" w:hAnsi="Calibri"/>
            <w:sz w:val="22"/>
            <w:szCs w:val="22"/>
          </w:rPr>
          <w:t xml:space="preserve">[4]</w:t>
        </w:r>
      </w:hyperlink>
      <w:r>
        <w:rPr>
          <w:rFonts w:ascii="Calibri" w:cs="Calibri" w:eastAsia="Calibri" w:hAnsi="Calibri"/>
          <w:sz w:val="22"/>
          <w:szCs w:val="22"/>
        </w:rPr>
        <w:t xml:space="preserve">.</w:t>
      </w:r>
    </w:p>
    <w:p>
      <w:pPr>
        <w:spacing w:after="160" w:before="300"/>
      </w:pPr>
      <w:r>
        <w:rPr>
          <w:rFonts w:ascii="Calibri" w:cs="Calibri" w:eastAsia="Calibri" w:hAnsi="Calibri"/>
          <w:b/>
          <w:bCs/>
          <w:color w:val="1F4E5F"/>
          <w:sz w:val="22"/>
          <w:szCs w:val="22"/>
        </w:rPr>
        <w:t xml:space="preserve">Decision No. 24-DCC-169 regarding the exclusive control acquisition of the company Vezere Distribution by the Carrefour group</w:t>
      </w:r>
    </w:p>
    <w:p>
      <w:pPr>
        <w:spacing w:after="120" w:before="240"/>
      </w:pPr>
      <w:r>
        <w:rPr>
          <w:rFonts w:ascii="Calibri" w:cs="Calibri" w:eastAsia="Calibri" w:hAnsi="Calibri"/>
          <w:b/>
          <w:bCs/>
          <w:i/>
          <w:iCs/>
          <w:color w:val="1F4E5F"/>
          <w:sz w:val="22"/>
          <w:szCs w:val="22"/>
        </w:rPr>
        <w:t xml:space="preserve">Case Background</w:t>
      </w:r>
    </w:p>
    <w:p>
      <w:pPr>
        <w:spacing w:after="160"/>
      </w:pPr>
      <w:r>
        <w:rPr>
          <w:rFonts w:ascii="Calibri" w:cs="Calibri" w:eastAsia="Calibri" w:hAnsi="Calibri"/>
          <w:sz w:val="22"/>
          <w:szCs w:val="22"/>
        </w:rPr>
        <w:t xml:space="preserve">The allegation made in this case pertains to the exclusive control acquisition of Vezere Distribution by Carrefour France. </w:t>
      </w:r>
      <w:hyperlink w:history="1" r:id="rIdi2fe-1ykyopry2svrvnyj">
        <w:r>
          <w:rPr>
            <w:rStyle w:val="Hyperlink"/>
            <w:rFonts w:ascii="Calibri" w:cs="Calibri" w:eastAsia="Calibri" w:hAnsi="Calibri"/>
            <w:sz w:val="22"/>
            <w:szCs w:val="22"/>
          </w:rPr>
          <w:t xml:space="preserve">[5]</w:t>
        </w:r>
      </w:hyperlink>
    </w:p>
    <w:p>
      <w:pPr>
        <w:spacing w:after="160"/>
      </w:pPr>
      <w:r>
        <w:rPr>
          <w:rFonts w:ascii="Calibri" w:cs="Calibri" w:eastAsia="Calibri" w:hAnsi="Calibri"/>
          <w:sz w:val="22"/>
          <w:szCs w:val="22"/>
        </w:rPr>
        <w:t xml:space="preserve">The company involved in this case is Carrefour France, which is acquiring Vezere Distribution. </w:t>
      </w:r>
      <w:hyperlink w:history="1" r:id="rIdyfh75i5nmyqmvpuwkguqd">
        <w:r>
          <w:rPr>
            <w:rStyle w:val="Hyperlink"/>
            <w:rFonts w:ascii="Calibri" w:cs="Calibri" w:eastAsia="Calibri" w:hAnsi="Calibri"/>
            <w:sz w:val="22"/>
            <w:szCs w:val="22"/>
          </w:rPr>
          <w:t xml:space="preserve">[5]</w:t>
        </w:r>
      </w:hyperlink>
    </w:p>
    <w:p>
      <w:pPr>
        <w:spacing w:after="160"/>
      </w:pPr>
      <w:r>
        <w:rPr>
          <w:rFonts w:ascii="Calibri" w:cs="Calibri" w:eastAsia="Calibri" w:hAnsi="Calibri"/>
          <w:sz w:val="22"/>
          <w:szCs w:val="22"/>
        </w:rPr>
        <w:t xml:space="preserve">The year of case initiation is 2024, with the notification file submitted on July 1, 2024. </w:t>
      </w:r>
      <w:hyperlink w:history="1" r:id="rIdxybealcsfh-6glwvvop-i">
        <w:r>
          <w:rPr>
            <w:rStyle w:val="Hyperlink"/>
            <w:rFonts w:ascii="Calibri" w:cs="Calibri" w:eastAsia="Calibri" w:hAnsi="Calibri"/>
            <w:sz w:val="22"/>
            <w:szCs w:val="22"/>
          </w:rPr>
          <w:t xml:space="preserve">[5]</w:t>
        </w:r>
      </w:hyperlink>
    </w:p>
    <w:p>
      <w:pPr>
        <w:spacing w:after="160"/>
      </w:pPr>
      <w:r>
        <w:rPr>
          <w:rFonts w:ascii="Calibri" w:cs="Calibri" w:eastAsia="Calibri" w:hAnsi="Calibri"/>
          <w:sz w:val="22"/>
          <w:szCs w:val="22"/>
        </w:rPr>
        <w:t xml:space="preserve">The violation relates to the economic concentration as defined under the Commercial Code, specifically concerning the acquisition of shares that exceed control thresholds. This acquisition was formalized through a share transfer agreement dated April 24, 2024, and a letter of intent signed on June 26, 2024. </w:t>
      </w:r>
      <w:hyperlink w:history="1" r:id="rIdusw9xuqut38mb7_iytl60">
        <w:r>
          <w:rPr>
            <w:rStyle w:val="Hyperlink"/>
            <w:rFonts w:ascii="Calibri" w:cs="Calibri" w:eastAsia="Calibri" w:hAnsi="Calibri"/>
            <w:sz w:val="22"/>
            <w:szCs w:val="22"/>
          </w:rPr>
          <w:t xml:space="preserve">[5]</w:t>
        </w:r>
      </w:hyperlink>
    </w:p>
    <w:p>
      <w:pPr>
        <w:spacing w:after="160"/>
      </w:pPr>
      <w:r>
        <w:rPr>
          <w:rFonts w:ascii="Calibri" w:cs="Calibri" w:eastAsia="Calibri" w:hAnsi="Calibri"/>
          <w:sz w:val="22"/>
          <w:szCs w:val="22"/>
        </w:rPr>
        <w:t xml:space="preserve">The operation was assessed, and it was determined that it is not likely to harm competition in the relevant markets, thus leading to its authorization. </w:t>
      </w:r>
      <w:hyperlink w:history="1" r:id="rIdjg-qemtl7r_6neqw1argq">
        <w:r>
          <w:rPr>
            <w:rStyle w:val="Hyperlink"/>
            <w:rFonts w:ascii="Calibri" w:cs="Calibri" w:eastAsia="Calibri" w:hAnsi="Calibri"/>
            <w:sz w:val="22"/>
            <w:szCs w:val="22"/>
          </w:rPr>
          <w:t xml:space="preserve">[5]</w:t>
        </w:r>
      </w:hyperlink>
    </w:p>
    <w:p>
      <w:pPr>
        <w:spacing w:after="120" w:before="240"/>
      </w:pPr>
      <w:r>
        <w:rPr>
          <w:rFonts w:ascii="Calibri" w:cs="Calibri" w:eastAsia="Calibri" w:hAnsi="Calibri"/>
          <w:b/>
          <w:bCs/>
          <w:i/>
          <w:iCs/>
          <w:color w:val="1F4E5F"/>
          <w:sz w:val="22"/>
          <w:szCs w:val="22"/>
        </w:rPr>
        <w:t xml:space="preserve">Case Progression</w:t>
      </w:r>
    </w:p>
    <w:p>
      <w:pPr>
        <w:pStyle w:val="ListParagraph"/>
        <w:numPr>
          <w:ilvl w:val="0"/>
          <w:numId w:val="1"/>
        </w:numPr>
        <w:spacing w:after="120"/>
      </w:pPr>
      <w:r>
        <w:rPr>
          <w:rFonts w:ascii="Calibri" w:cs="Calibri" w:eastAsia="Calibri" w:hAnsi="Calibri"/>
          <w:b/>
          <w:bCs/>
          <w:sz w:val="22"/>
          <w:szCs w:val="22"/>
        </w:rPr>
        <w:t xml:space="preserve">Case Initiation: </w:t>
      </w:r>
      <w:r>
        <w:rPr>
          <w:rFonts w:ascii="Calibri" w:cs="Calibri" w:eastAsia="Calibri" w:hAnsi="Calibri"/>
          <w:sz w:val="22"/>
          <w:szCs w:val="22"/>
        </w:rPr>
        <w:t xml:space="preserve">The case was initiated with the notification of the exclusive control acquisition of Vezere Distribution by Carrefour France, formalized by a share transfer agreement and a letter of intent. This step is documented in the decision dated July 23, 2024 </w:t>
      </w:r>
      <w:hyperlink w:history="1" r:id="rIdhhjn7yjvhh0w4g-dfwiak">
        <w:r>
          <w:rPr>
            <w:rStyle w:val="Hyperlink"/>
            <w:rFonts w:ascii="Calibri" w:cs="Calibri" w:eastAsia="Calibri" w:hAnsi="Calibri"/>
            <w:sz w:val="22"/>
            <w:szCs w:val="22"/>
          </w:rPr>
          <w:t xml:space="preserve">[5]</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b/>
          <w:bCs/>
          <w:sz w:val="22"/>
          <w:szCs w:val="22"/>
        </w:rPr>
        <w:t xml:space="preserve">Preliminary Investigation: </w:t>
      </w:r>
      <w:r>
        <w:rPr>
          <w:rFonts w:ascii="Calibri" w:cs="Calibri" w:eastAsia="Calibri" w:hAnsi="Calibri"/>
          <w:sz w:val="22"/>
          <w:szCs w:val="22"/>
        </w:rPr>
        <w:t xml:space="preserve">The Competition Authority conducted a preliminary investigation to assess whether the acquisition would harm competition in relevant markets. The investigation concluded that the operation was not likely to harm competition, allowing the process to continue </w:t>
      </w:r>
      <w:hyperlink w:history="1" r:id="rId_mvxrdgwewp0yotezob9a">
        <w:r>
          <w:rPr>
            <w:rStyle w:val="Hyperlink"/>
            <w:rFonts w:ascii="Calibri" w:cs="Calibri" w:eastAsia="Calibri" w:hAnsi="Calibri"/>
            <w:sz w:val="22"/>
            <w:szCs w:val="22"/>
          </w:rPr>
          <w:t xml:space="preserve">[5]</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b/>
          <w:bCs/>
          <w:sz w:val="22"/>
          <w:szCs w:val="22"/>
        </w:rPr>
        <w:t xml:space="preserve">Statement of Objections: </w:t>
      </w:r>
      <w:r>
        <w:rPr>
          <w:rFonts w:ascii="Calibri" w:cs="Calibri" w:eastAsia="Calibri" w:hAnsi="Calibri"/>
          <w:sz w:val="22"/>
          <w:szCs w:val="22"/>
        </w:rPr>
        <w:t xml:space="preserve">In this case, no Statement of Objections was issued, as the investigation found no evidence of potential harm to competition. This indicates that the authority did not identify any significant concerns regarding the merger </w:t>
      </w:r>
      <w:hyperlink w:history="1" r:id="rIdwketnxsugofmi9cfhfwyo">
        <w:r>
          <w:rPr>
            <w:rStyle w:val="Hyperlink"/>
            <w:rFonts w:ascii="Calibri" w:cs="Calibri" w:eastAsia="Calibri" w:hAnsi="Calibri"/>
            <w:sz w:val="22"/>
            <w:szCs w:val="22"/>
          </w:rPr>
          <w:t xml:space="preserve">[5]</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b/>
          <w:bCs/>
          <w:sz w:val="22"/>
          <w:szCs w:val="22"/>
        </w:rPr>
        <w:t xml:space="preserve">Defense Phase: </w:t>
      </w:r>
      <w:r>
        <w:rPr>
          <w:rFonts w:ascii="Calibri" w:cs="Calibri" w:eastAsia="Calibri" w:hAnsi="Calibri"/>
          <w:sz w:val="22"/>
          <w:szCs w:val="22"/>
        </w:rPr>
        <w:t xml:space="preserve">Since there were no objections raised, there was no need for a defense phase involving written responses or oral hearings. The absence of competition concerns streamlined the process </w:t>
      </w:r>
      <w:hyperlink w:history="1" r:id="rIdeimnstfd2pyd2t-2_wmgo">
        <w:r>
          <w:rPr>
            <w:rStyle w:val="Hyperlink"/>
            <w:rFonts w:ascii="Calibri" w:cs="Calibri" w:eastAsia="Calibri" w:hAnsi="Calibri"/>
            <w:sz w:val="22"/>
            <w:szCs w:val="22"/>
          </w:rPr>
          <w:t xml:space="preserve">[5]</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b/>
          <w:bCs/>
          <w:sz w:val="22"/>
          <w:szCs w:val="22"/>
        </w:rPr>
        <w:t xml:space="preserve">Commission Decision: </w:t>
      </w:r>
      <w:r>
        <w:rPr>
          <w:rFonts w:ascii="Calibri" w:cs="Calibri" w:eastAsia="Calibri" w:hAnsi="Calibri"/>
          <w:sz w:val="22"/>
          <w:szCs w:val="22"/>
        </w:rPr>
        <w:t xml:space="preserve">The Competition Authority authorized the acquisition, concluding that it did not infringe upon competition laws. This decision was made based on the findings from the preliminary investigation </w:t>
      </w:r>
      <w:hyperlink w:history="1" r:id="rIdwjnqfjqzjugg4w4ffbfmz">
        <w:r>
          <w:rPr>
            <w:rStyle w:val="Hyperlink"/>
            <w:rFonts w:ascii="Calibri" w:cs="Calibri" w:eastAsia="Calibri" w:hAnsi="Calibri"/>
            <w:sz w:val="22"/>
            <w:szCs w:val="22"/>
          </w:rPr>
          <w:t xml:space="preserve">[5]</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b/>
          <w:bCs/>
          <w:sz w:val="22"/>
          <w:szCs w:val="22"/>
        </w:rPr>
        <w:t xml:space="preserve">Outcome: </w:t>
      </w:r>
      <w:r>
        <w:rPr>
          <w:rFonts w:ascii="Calibri" w:cs="Calibri" w:eastAsia="Calibri" w:hAnsi="Calibri"/>
          <w:sz w:val="22"/>
          <w:szCs w:val="22"/>
        </w:rPr>
        <w:t xml:space="preserve">The operation was officially authorized, marking the end of the review process without any further appeals or legal challenges, as the authority found no grounds for opposition </w:t>
      </w:r>
      <w:hyperlink w:history="1" r:id="rIdo4s7c9nqaw2yxjtylmhoc">
        <w:r>
          <w:rPr>
            <w:rStyle w:val="Hyperlink"/>
            <w:rFonts w:ascii="Calibri" w:cs="Calibri" w:eastAsia="Calibri" w:hAnsi="Calibri"/>
            <w:sz w:val="22"/>
            <w:szCs w:val="22"/>
          </w:rPr>
          <w:t xml:space="preserve">[5]</w:t>
        </w:r>
      </w:hyperlink>
      <w:r>
        <w:rPr>
          <w:rFonts w:ascii="Calibri" w:cs="Calibri" w:eastAsia="Calibri" w:hAnsi="Calibri"/>
          <w:sz w:val="22"/>
          <w:szCs w:val="22"/>
        </w:rPr>
        <w:t xml:space="preserve">.</w:t>
      </w:r>
    </w:p>
    <w:p>
      <w:pPr>
        <w:spacing w:after="120" w:before="240"/>
      </w:pPr>
      <w:r>
        <w:rPr>
          <w:rFonts w:ascii="Calibri" w:cs="Calibri" w:eastAsia="Calibri" w:hAnsi="Calibri"/>
          <w:b/>
          <w:bCs/>
          <w:i/>
          <w:iCs/>
          <w:color w:val="1F4E5F"/>
          <w:sz w:val="22"/>
          <w:szCs w:val="22"/>
        </w:rPr>
        <w:t xml:space="preserve">Market Definition</w:t>
      </w:r>
    </w:p>
    <w:p>
      <w:pPr>
        <w:spacing w:after="160"/>
      </w:pPr>
      <w:r>
        <w:rPr>
          <w:rFonts w:ascii="Calibri" w:cs="Calibri" w:eastAsia="Calibri" w:hAnsi="Calibri"/>
          <w:sz w:val="22"/>
          <w:szCs w:val="22"/>
        </w:rPr>
        <w:t xml:space="preserve">The market considered in this case was the retail market for hypermarkets, specifically focusing on the operations of Vezere Distribution under the Carrefour brand. </w:t>
      </w:r>
      <w:hyperlink w:history="1" r:id="rId40xndkls7_ngkeype9vuk">
        <w:r>
          <w:rPr>
            <w:rStyle w:val="Hyperlink"/>
            <w:rFonts w:ascii="Calibri" w:cs="Calibri" w:eastAsia="Calibri" w:hAnsi="Calibri"/>
            <w:sz w:val="22"/>
            <w:szCs w:val="22"/>
          </w:rPr>
          <w:t xml:space="preserve">[5]</w:t>
        </w:r>
      </w:hyperlink>
    </w:p>
    <w:p>
      <w:pPr>
        <w:spacing w:after="160"/>
      </w:pPr>
      <w:r>
        <w:rPr>
          <w:rFonts w:ascii="Calibri" w:cs="Calibri" w:eastAsia="Calibri" w:hAnsi="Calibri"/>
          <w:sz w:val="22"/>
          <w:szCs w:val="22"/>
        </w:rPr>
        <w:t xml:space="preserve">The process to define the market involved analyzing the nature of the business activities of Vezere Distribution and its competitive positioning within the retail sector. </w:t>
      </w:r>
      <w:hyperlink w:history="1" r:id="rIdwthmmmtcxenhvduqkiwdl">
        <w:r>
          <w:rPr>
            <w:rStyle w:val="Hyperlink"/>
            <w:rFonts w:ascii="Calibri" w:cs="Calibri" w:eastAsia="Calibri" w:hAnsi="Calibri"/>
            <w:sz w:val="22"/>
            <w:szCs w:val="22"/>
          </w:rPr>
          <w:t xml:space="preserve">[5]</w:t>
        </w:r>
      </w:hyperlink>
    </w:p>
    <w:p>
      <w:pPr>
        <w:spacing w:after="160"/>
      </w:pPr>
      <w:r>
        <w:rPr>
          <w:rFonts w:ascii="Calibri" w:cs="Calibri" w:eastAsia="Calibri" w:hAnsi="Calibri"/>
          <w:sz w:val="22"/>
          <w:szCs w:val="22"/>
        </w:rPr>
        <w:t xml:space="preserve">The Competition Authority assessed the sales area of the hypermarket, which is 8,783 m², to determine its relevance in the context of market competition. </w:t>
      </w:r>
      <w:hyperlink w:history="1" r:id="rIdai-kwezbicopacyqlhblb">
        <w:r>
          <w:rPr>
            <w:rStyle w:val="Hyperlink"/>
            <w:rFonts w:ascii="Calibri" w:cs="Calibri" w:eastAsia="Calibri" w:hAnsi="Calibri"/>
            <w:sz w:val="22"/>
            <w:szCs w:val="22"/>
          </w:rPr>
          <w:t xml:space="preserve">[5]</w:t>
        </w:r>
      </w:hyperlink>
    </w:p>
    <w:p>
      <w:pPr>
        <w:spacing w:after="160"/>
      </w:pPr>
      <w:r>
        <w:rPr>
          <w:rFonts w:ascii="Calibri" w:cs="Calibri" w:eastAsia="Calibri" w:hAnsi="Calibri"/>
          <w:sz w:val="22"/>
          <w:szCs w:val="22"/>
        </w:rPr>
        <w:t xml:space="preserve">The authority evaluated the turnover of the companies involved to establish whether the operation fell under the jurisdiction of the European Union, which it did not, but it exceeded national control thresholds. </w:t>
      </w:r>
      <w:hyperlink w:history="1" r:id="rIdxb4rkjc7blsqhj6vljwq9">
        <w:r>
          <w:rPr>
            <w:rStyle w:val="Hyperlink"/>
            <w:rFonts w:ascii="Calibri" w:cs="Calibri" w:eastAsia="Calibri" w:hAnsi="Calibri"/>
            <w:sz w:val="22"/>
            <w:szCs w:val="22"/>
          </w:rPr>
          <w:t xml:space="preserve">[5]</w:t>
        </w:r>
      </w:hyperlink>
    </w:p>
    <w:p>
      <w:pPr>
        <w:spacing w:after="160"/>
      </w:pPr>
      <w:r>
        <w:rPr>
          <w:rFonts w:ascii="Calibri" w:cs="Calibri" w:eastAsia="Calibri" w:hAnsi="Calibri"/>
          <w:sz w:val="22"/>
          <w:szCs w:val="22"/>
        </w:rPr>
        <w:t xml:space="preserve">The decision included a review of the potential impact on competition in the relevant markets, concluding that the acquisition was not likely to harm competition. </w:t>
      </w:r>
      <w:hyperlink w:history="1" r:id="rIdjjiuzhotofbwfikg02g-k">
        <w:r>
          <w:rPr>
            <w:rStyle w:val="Hyperlink"/>
            <w:rFonts w:ascii="Calibri" w:cs="Calibri" w:eastAsia="Calibri" w:hAnsi="Calibri"/>
            <w:sz w:val="22"/>
            <w:szCs w:val="22"/>
          </w:rPr>
          <w:t xml:space="preserve">[5]</w:t>
        </w:r>
      </w:hyperlink>
    </w:p>
    <w:p>
      <w:pPr>
        <w:spacing w:after="160"/>
      </w:pPr>
      <w:r>
        <w:rPr>
          <w:rFonts w:ascii="Calibri" w:cs="Calibri" w:eastAsia="Calibri" w:hAnsi="Calibri"/>
          <w:sz w:val="22"/>
          <w:szCs w:val="22"/>
        </w:rPr>
        <w:t xml:space="preserve">The analysis was based on the provisions of the Commercial Code, particularly Articles L. 430-1 to L. 430-7, which outline the criteria for assessing economic concentrations. </w:t>
      </w:r>
      <w:hyperlink w:history="1" r:id="rIdufg5mies7hf_-mds152nn">
        <w:r>
          <w:rPr>
            <w:rStyle w:val="Hyperlink"/>
            <w:rFonts w:ascii="Calibri" w:cs="Calibri" w:eastAsia="Calibri" w:hAnsi="Calibri"/>
            <w:sz w:val="22"/>
            <w:szCs w:val="22"/>
          </w:rPr>
          <w:t xml:space="preserve">[5]</w:t>
        </w:r>
      </w:hyperlink>
    </w:p>
    <w:p>
      <w:pPr>
        <w:spacing w:after="160"/>
      </w:pPr>
      <w:r>
        <w:rPr>
          <w:rFonts w:ascii="Calibri" w:cs="Calibri" w:eastAsia="Calibri" w:hAnsi="Calibri"/>
          <w:sz w:val="22"/>
          <w:szCs w:val="22"/>
        </w:rPr>
        <w:t xml:space="preserve">The final decision authorized the operation, indicating that the authority found no significant anti-competitive concerns arising from the acquisition. </w:t>
      </w:r>
      <w:hyperlink w:history="1" r:id="rIdwckhxywmlfyhlwcpg6hm3">
        <w:r>
          <w:rPr>
            <w:rStyle w:val="Hyperlink"/>
            <w:rFonts w:ascii="Calibri" w:cs="Calibri" w:eastAsia="Calibri" w:hAnsi="Calibri"/>
            <w:sz w:val="22"/>
            <w:szCs w:val="22"/>
          </w:rPr>
          <w:t xml:space="preserve">[5]</w:t>
        </w:r>
      </w:hyperlink>
    </w:p>
    <w:p>
      <w:pPr>
        <w:spacing w:after="120" w:before="240"/>
      </w:pPr>
      <w:r>
        <w:rPr>
          <w:rFonts w:ascii="Calibri" w:cs="Calibri" w:eastAsia="Calibri" w:hAnsi="Calibri"/>
          <w:b/>
          <w:bCs/>
          <w:i/>
          <w:iCs/>
          <w:color w:val="1F4E5F"/>
          <w:sz w:val="22"/>
          <w:szCs w:val="22"/>
        </w:rPr>
        <w:t xml:space="preserve">Legal &amp; Economic Tests</w:t>
      </w:r>
    </w:p>
    <w:p>
      <w:pPr>
        <w:pStyle w:val="ListParagraph"/>
        <w:numPr>
          <w:ilvl w:val="0"/>
          <w:numId w:val="1"/>
        </w:numPr>
        <w:spacing w:after="120"/>
      </w:pPr>
      <w:r>
        <w:rPr>
          <w:rFonts w:ascii="Calibri" w:cs="Calibri" w:eastAsia="Calibri" w:hAnsi="Calibri"/>
          <w:b/>
          <w:bCs/>
          <w:sz w:val="22"/>
          <w:szCs w:val="22"/>
        </w:rPr>
        <w:t xml:space="preserve">Concentration Assessment: </w:t>
      </w:r>
      <w:r>
        <w:rPr>
          <w:rFonts w:ascii="Calibri" w:cs="Calibri" w:eastAsia="Calibri" w:hAnsi="Calibri"/>
          <w:sz w:val="22"/>
          <w:szCs w:val="22"/>
        </w:rPr>
        <w:t xml:space="preserve">The operation was assessed to determine if it constituted a concentration under Article L. 430-1 of the Commercial Code. This involves evaluating whether one company acquires control over another, which in this case was confirmed by Carrefour France acquiring all shares of Vezere Distribution. This assessment ensures that the merger meets the legal definition of a concentration. </w:t>
      </w:r>
      <w:hyperlink w:history="1" r:id="rIdz5xtfwlydgdcoxdat-ctg">
        <w:r>
          <w:rPr>
            <w:rStyle w:val="Hyperlink"/>
            <w:rFonts w:ascii="Calibri" w:cs="Calibri" w:eastAsia="Calibri" w:hAnsi="Calibri"/>
            <w:sz w:val="22"/>
            <w:szCs w:val="22"/>
          </w:rPr>
          <w:t xml:space="preserve">[5]</w:t>
        </w:r>
      </w:hyperlink>
    </w:p>
    <w:p>
      <w:pPr>
        <w:pStyle w:val="ListParagraph"/>
        <w:numPr>
          <w:ilvl w:val="0"/>
          <w:numId w:val="1"/>
        </w:numPr>
        <w:spacing w:after="120"/>
      </w:pPr>
      <w:r>
        <w:rPr>
          <w:rFonts w:ascii="Calibri" w:cs="Calibri" w:eastAsia="Calibri" w:hAnsi="Calibri"/>
          <w:b/>
          <w:bCs/>
          <w:sz w:val="22"/>
          <w:szCs w:val="22"/>
        </w:rPr>
        <w:t xml:space="preserve">Jurisdictional Thresholds: </w:t>
      </w:r>
      <w:r>
        <w:rPr>
          <w:rFonts w:ascii="Calibri" w:cs="Calibri" w:eastAsia="Calibri" w:hAnsi="Calibri"/>
          <w:sz w:val="22"/>
          <w:szCs w:val="22"/>
        </w:rPr>
        <w:t xml:space="preserve">The case examined whether the turnover thresholds specified in Article L. 430-2 were exceeded, which would subject the operation to the provisions regarding economic concentration. It was determined that while the operation did not fall under EU jurisdiction, it did exceed the national control thresholds, thus necessitating a review under French law. </w:t>
      </w:r>
      <w:hyperlink w:history="1" r:id="rIdbbdnfrh2xvtubeavp_jsr">
        <w:r>
          <w:rPr>
            <w:rStyle w:val="Hyperlink"/>
            <w:rFonts w:ascii="Calibri" w:cs="Calibri" w:eastAsia="Calibri" w:hAnsi="Calibri"/>
            <w:sz w:val="22"/>
            <w:szCs w:val="22"/>
          </w:rPr>
          <w:t xml:space="preserve">[5]</w:t>
        </w:r>
      </w:hyperlink>
    </w:p>
    <w:p>
      <w:pPr>
        <w:pStyle w:val="ListParagraph"/>
        <w:numPr>
          <w:ilvl w:val="0"/>
          <w:numId w:val="1"/>
        </w:numPr>
        <w:spacing w:after="120"/>
      </w:pPr>
      <w:r>
        <w:rPr>
          <w:rFonts w:ascii="Calibri" w:cs="Calibri" w:eastAsia="Calibri" w:hAnsi="Calibri"/>
          <w:b/>
          <w:bCs/>
          <w:sz w:val="22"/>
          <w:szCs w:val="22"/>
        </w:rPr>
        <w:t xml:space="preserve">Competition Impact Analysis: </w:t>
      </w:r>
      <w:r>
        <w:rPr>
          <w:rFonts w:ascii="Calibri" w:cs="Calibri" w:eastAsia="Calibri" w:hAnsi="Calibri"/>
          <w:sz w:val="22"/>
          <w:szCs w:val="22"/>
        </w:rPr>
        <w:t xml:space="preserve">The authority evaluated whether the acquisition would harm competition in the relevant markets. This analysis involved reviewing market dynamics and the potential effects of the merger on competition. The conclusion was that the operation was not likely to harm competition, leading to its authorization. </w:t>
      </w:r>
      <w:hyperlink w:history="1" r:id="rIdrm3yhlb8mfbxiqsjjgstg">
        <w:r>
          <w:rPr>
            <w:rStyle w:val="Hyperlink"/>
            <w:rFonts w:ascii="Calibri" w:cs="Calibri" w:eastAsia="Calibri" w:hAnsi="Calibri"/>
            <w:sz w:val="22"/>
            <w:szCs w:val="22"/>
          </w:rPr>
          <w:t xml:space="preserve">[5]</w:t>
        </w:r>
      </w:hyperlink>
    </w:p>
    <w:p>
      <w:pPr>
        <w:spacing w:after="120" w:before="240"/>
      </w:pPr>
      <w:r>
        <w:rPr>
          <w:rFonts w:ascii="Calibri" w:cs="Calibri" w:eastAsia="Calibri" w:hAnsi="Calibri"/>
          <w:b/>
          <w:bCs/>
          <w:i/>
          <w:iCs/>
          <w:color w:val="1F4E5F"/>
          <w:sz w:val="22"/>
          <w:szCs w:val="22"/>
        </w:rPr>
        <w:t xml:space="preserve">Conclusion</w:t>
      </w:r>
    </w:p>
    <w:p>
      <w:pPr>
        <w:pStyle w:val="ListParagraph"/>
        <w:numPr>
          <w:ilvl w:val="0"/>
          <w:numId w:val="1"/>
        </w:numPr>
        <w:spacing w:after="120"/>
      </w:pPr>
      <w:r>
        <w:rPr>
          <w:rFonts w:ascii="Calibri" w:cs="Calibri" w:eastAsia="Calibri" w:hAnsi="Calibri"/>
          <w:sz w:val="22"/>
          <w:szCs w:val="22"/>
        </w:rPr>
        <w:t xml:space="preserve">The decision authorized the acquisition of Vezere Distribution by Carrefour France, indicating that the operation was permitted without any conditions </w:t>
      </w:r>
      <w:hyperlink w:history="1" r:id="rId-i8wgppave6hjbkzdxgsl">
        <w:r>
          <w:rPr>
            <w:rStyle w:val="Hyperlink"/>
            <w:rFonts w:ascii="Calibri" w:cs="Calibri" w:eastAsia="Calibri" w:hAnsi="Calibri"/>
            <w:sz w:val="22"/>
            <w:szCs w:val="22"/>
          </w:rPr>
          <w:t xml:space="preserve">[5]</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sz w:val="22"/>
          <w:szCs w:val="22"/>
        </w:rPr>
        <w:t xml:space="preserve">The operation was classified as a concentration under Article L. 430-1 of the Commercial Code, confirming its relevance to competition law </w:t>
      </w:r>
      <w:hyperlink w:history="1" r:id="rIdqstlnaje_w4xvjankwx6r">
        <w:r>
          <w:rPr>
            <w:rStyle w:val="Hyperlink"/>
            <w:rFonts w:ascii="Calibri" w:cs="Calibri" w:eastAsia="Calibri" w:hAnsi="Calibri"/>
            <w:sz w:val="22"/>
            <w:szCs w:val="22"/>
          </w:rPr>
          <w:t xml:space="preserve">[5]</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sz w:val="22"/>
          <w:szCs w:val="22"/>
        </w:rPr>
        <w:t xml:space="preserve">It was noted that the turnover of the involved companies did not fall under the jurisdiction of the European Union, but the control thresholds were exceeded, making it subject to national competition laws </w:t>
      </w:r>
      <w:hyperlink w:history="1" r:id="rId07npou08wgusjyvs0kxsi">
        <w:r>
          <w:rPr>
            <w:rStyle w:val="Hyperlink"/>
            <w:rFonts w:ascii="Calibri" w:cs="Calibri" w:eastAsia="Calibri" w:hAnsi="Calibri"/>
            <w:sz w:val="22"/>
            <w:szCs w:val="22"/>
          </w:rPr>
          <w:t xml:space="preserve">[5]</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sz w:val="22"/>
          <w:szCs w:val="22"/>
        </w:rPr>
        <w:t xml:space="preserve">The analysis concluded that the acquisition was not likely to harm competition in the relevant markets, suggesting a favorable competitive environment post-acquisition </w:t>
      </w:r>
      <w:hyperlink w:history="1" r:id="rIdrqwjacaxcxu6l5gd7e6g5">
        <w:r>
          <w:rPr>
            <w:rStyle w:val="Hyperlink"/>
            <w:rFonts w:ascii="Calibri" w:cs="Calibri" w:eastAsia="Calibri" w:hAnsi="Calibri"/>
            <w:sz w:val="22"/>
            <w:szCs w:val="22"/>
          </w:rPr>
          <w:t xml:space="preserve">[5]</w:t>
        </w:r>
      </w:hyperlink>
      <w:r>
        <w:rPr>
          <w:rFonts w:ascii="Calibri" w:cs="Calibri" w:eastAsia="Calibri" w:hAnsi="Calibri"/>
          <w:sz w:val="22"/>
          <w:szCs w:val="22"/>
        </w:rPr>
        <w:t xml:space="preserve">.</w:t>
      </w:r>
    </w:p>
    <w:p>
      <w:pPr>
        <w:pStyle w:val="ListParagraph"/>
        <w:numPr>
          <w:ilvl w:val="0"/>
          <w:numId w:val="1"/>
        </w:numPr>
        <w:spacing w:after="120"/>
      </w:pPr>
      <w:r>
        <w:rPr>
          <w:rFonts w:ascii="Calibri" w:cs="Calibri" w:eastAsia="Calibri" w:hAnsi="Calibri"/>
          <w:sz w:val="22"/>
          <w:szCs w:val="22"/>
        </w:rPr>
        <w:t xml:space="preserve">No remedies or fines were imposed as part of the decision, reflecting a straightforward approval of the transaction </w:t>
      </w:r>
      <w:hyperlink w:history="1" r:id="rIdpphxmqvgx4ua81s-6uxa2">
        <w:r>
          <w:rPr>
            <w:rStyle w:val="Hyperlink"/>
            <w:rFonts w:ascii="Calibri" w:cs="Calibri" w:eastAsia="Calibri" w:hAnsi="Calibri"/>
            <w:sz w:val="22"/>
            <w:szCs w:val="22"/>
          </w:rPr>
          <w:t xml:space="preserve">[5]</w:t>
        </w:r>
      </w:hyperlink>
      <w:r>
        <w:rPr>
          <w:rFonts w:ascii="Calibri" w:cs="Calibri" w:eastAsia="Calibri" w:hAnsi="Calibri"/>
          <w:sz w:val="22"/>
          <w:szCs w:val="22"/>
        </w:rPr>
        <w:t xml:space="preserve">.</w:t>
      </w:r>
    </w:p>
    <w:p>
      <w:pPr>
        <w:spacing w:after="120" w:before="280"/>
      </w:pPr>
      <w:r>
        <w:rPr>
          <w:rFonts w:ascii="Calibri" w:cs="Calibri" w:eastAsia="Calibri" w:hAnsi="Calibri"/>
          <w:b/>
          <w:bCs/>
          <w:color w:val="1F4E5F"/>
          <w:sz w:val="22"/>
          <w:szCs w:val="22"/>
        </w:rPr>
        <w:t xml:space="preserve">Cited Sources</w:t>
      </w:r>
    </w:p>
    <w:p>
      <w:pPr>
        <w:pStyle w:val="ListParagraph"/>
        <w:numPr>
          <w:ilvl w:val="0"/>
          <w:numId w:val="2"/>
        </w:numPr>
        <w:spacing w:after="100"/>
      </w:pPr>
      <w:hyperlink w:history="1" r:id="rIdyv8c3ehnzgfevqnkahx3c">
        <w:r>
          <w:rPr>
            <w:rStyle w:val="Hyperlink"/>
            <w:rFonts w:ascii="Calibri" w:cs="Calibri" w:eastAsia="Calibri" w:hAnsi="Calibri"/>
            <w:sz w:val="22"/>
            <w:szCs w:val="22"/>
          </w:rPr>
          <w:t xml:space="preserve">Decision No. 25-DCC-280 regarding the joint control acquisition of the company VPM Distribution by the Carrefour group and the Vacher and Vidal consortium</w:t>
        </w:r>
      </w:hyperlink>
    </w:p>
    <w:p>
      <w:pPr>
        <w:pStyle w:val="ListParagraph"/>
        <w:numPr>
          <w:ilvl w:val="0"/>
          <w:numId w:val="2"/>
        </w:numPr>
        <w:spacing w:after="100"/>
      </w:pPr>
      <w:hyperlink w:history="1" r:id="rIdz2o-pgei-g009mzsvjrdq">
        <w:r>
          <w:rPr>
            <w:rStyle w:val="Hyperlink"/>
            <w:rFonts w:ascii="Calibri" w:cs="Calibri" w:eastAsia="Calibri" w:hAnsi="Calibri"/>
            <w:sz w:val="22"/>
            <w:szCs w:val="22"/>
          </w:rPr>
          <w:t xml:space="preserve">Decision No. 25-DCC-300 regarding the exclusive control acquisition of the company La Crau Dis by the Carrefour group</w:t>
        </w:r>
      </w:hyperlink>
    </w:p>
    <w:p>
      <w:pPr>
        <w:pStyle w:val="ListParagraph"/>
        <w:numPr>
          <w:ilvl w:val="0"/>
          <w:numId w:val="2"/>
        </w:numPr>
        <w:spacing w:after="100"/>
      </w:pPr>
      <w:hyperlink w:history="1" r:id="rIdhfpbqjrkjwmpkop-zuqdw">
        <w:r>
          <w:rPr>
            <w:rStyle w:val="Hyperlink"/>
            <w:rFonts w:ascii="Calibri" w:cs="Calibri" w:eastAsia="Calibri" w:hAnsi="Calibri"/>
            <w:sz w:val="22"/>
            <w:szCs w:val="22"/>
          </w:rPr>
          <w:t xml:space="preserve">Decision No. 26-DCC-20 regarding the exclusive control acquisition of five business assets of the Auchan group by the Carrefour group</w:t>
        </w:r>
      </w:hyperlink>
    </w:p>
    <w:p>
      <w:pPr>
        <w:pStyle w:val="ListParagraph"/>
        <w:numPr>
          <w:ilvl w:val="0"/>
          <w:numId w:val="2"/>
        </w:numPr>
        <w:spacing w:after="100"/>
      </w:pPr>
      <w:hyperlink w:history="1" r:id="rIdudrrf4gsgvy4qajtgf0iu">
        <w:r>
          <w:rPr>
            <w:rStyle w:val="Hyperlink"/>
            <w:rFonts w:ascii="Calibri" w:cs="Calibri" w:eastAsia="Calibri" w:hAnsi="Calibri"/>
            <w:sz w:val="22"/>
            <w:szCs w:val="22"/>
          </w:rPr>
          <w:t xml:space="preserve">Decision No. 24-DCC-158 regarding the exclusive control acquisition of three business assets under the Intermarché brand by the Carrefour group</w:t>
        </w:r>
      </w:hyperlink>
    </w:p>
    <w:p>
      <w:pPr>
        <w:pStyle w:val="ListParagraph"/>
        <w:numPr>
          <w:ilvl w:val="0"/>
          <w:numId w:val="2"/>
        </w:numPr>
        <w:spacing w:after="100"/>
      </w:pPr>
      <w:hyperlink w:history="1" r:id="rIdz8fr89oc58caqkur4ljdc">
        <w:r>
          <w:rPr>
            <w:rStyle w:val="Hyperlink"/>
            <w:rFonts w:ascii="Calibri" w:cs="Calibri" w:eastAsia="Calibri" w:hAnsi="Calibri"/>
            <w:sz w:val="22"/>
            <w:szCs w:val="22"/>
          </w:rPr>
          <w:t xml:space="preserve">Decision No. 24-DCC-169 regarding the exclusive control acquisition of the company Vezere Distribution by the Carrefour group</w:t>
        </w:r>
      </w:hyperlink>
    </w:p>
    <w:sectPr>
      <w:headerReference w:type="default" r:id="rId7"/>
      <w:footerReference w:type="default" r:id="rId8"/>
      <w:pgSz w:w="12240" w:h="15840" w:orient="portrait"/>
      <w:pgMar w:top="1350" w:right="1080" w:bottom="135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t xml:space="preserve">Page </w:t>
    </w: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8"/>
        <w:szCs w:val="18"/>
      </w:rPr>
      <w:t xml:space="preserve">Competition-Law Assistant Evaluation — Blinded Transcript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yty7ris7hlj-m_uvajnm" Type="http://schemas.openxmlformats.org/officeDocument/2006/relationships/hyperlink" Target="https://www.autoritedelaconcurrence.fr/fr/decision-de-controle-des-concentrations/relative-la-prise-de-controle-conjoint-de-la-societe-vpm" TargetMode="External"/><Relationship Id="rIdmticpdarxihzze4mjk-af" Type="http://schemas.openxmlformats.org/officeDocument/2006/relationships/hyperlink" Target="https://www.autoritedelaconcurrence.fr/fr/decision-de-controle-des-concentrations/relative-la-prise-de-controle-conjoint-de-la-societe-vpm" TargetMode="External"/><Relationship Id="rId4owz9tbwwssh-dz41pl96" Type="http://schemas.openxmlformats.org/officeDocument/2006/relationships/hyperlink" Target="https://www.autoritedelaconcurrence.fr/fr/decision-de-controle-des-concentrations/relative-la-prise-de-controle-conjoint-de-la-societe-vpm" TargetMode="External"/><Relationship Id="rIddniblxvm02irpxkekbwss" Type="http://schemas.openxmlformats.org/officeDocument/2006/relationships/hyperlink" Target="https://www.autoritedelaconcurrence.fr/fr/decision-de-controle-des-concentrations/relative-la-prise-de-controle-conjoint-de-la-societe-vpm" TargetMode="External"/><Relationship Id="rIdwzjwfq6xequjetc8h8bfp" Type="http://schemas.openxmlformats.org/officeDocument/2006/relationships/hyperlink" Target="https://www.autoritedelaconcurrence.fr/fr/decision-de-controle-des-concentrations/relative-la-prise-de-controle-conjoint-de-la-societe-vpm" TargetMode="External"/><Relationship Id="rIdspxhbnkspnltzeb8til4r" Type="http://schemas.openxmlformats.org/officeDocument/2006/relationships/hyperlink" Target="https://www.autoritedelaconcurrence.fr/fr/decision-de-controle-des-concentrations/relative-la-prise-de-controle-conjoint-de-la-societe-vpm" TargetMode="External"/><Relationship Id="rIdj2bm3v9ytur4yuvkacimz" Type="http://schemas.openxmlformats.org/officeDocument/2006/relationships/hyperlink" Target="https://www.autoritedelaconcurrence.fr/fr/decision-de-controle-des-concentrations/relative-la-prise-de-controle-conjoint-de-la-societe-vpm" TargetMode="External"/><Relationship Id="rIdcuubs1juhonhzgwlzwq6h" Type="http://schemas.openxmlformats.org/officeDocument/2006/relationships/hyperlink" Target="https://www.autoritedelaconcurrence.fr/fr/decision-de-controle-des-concentrations/relative-la-prise-de-controle-conjoint-de-la-societe-vpm" TargetMode="External"/><Relationship Id="rId8hcpsxf-tcaenbekimbqb" Type="http://schemas.openxmlformats.org/officeDocument/2006/relationships/hyperlink" Target="https://www.autoritedelaconcurrence.fr/fr/decision-de-controle-des-concentrations/relative-la-prise-de-controle-conjoint-de-la-societe-vpm" TargetMode="External"/><Relationship Id="rIdk02b2gl8spva4nhze-htd" Type="http://schemas.openxmlformats.org/officeDocument/2006/relationships/hyperlink" Target="https://www.autoritedelaconcurrence.fr/fr/decision-de-controle-des-concentrations/relative-la-prise-de-controle-conjoint-de-la-societe-vpm" TargetMode="External"/><Relationship Id="rIdfevaxfiplx13gux4b0ci7" Type="http://schemas.openxmlformats.org/officeDocument/2006/relationships/hyperlink" Target="https://www.autoritedelaconcurrence.fr/fr/decision-de-controle-des-concentrations/relative-la-prise-de-controle-conjoint-de-la-societe-vpm" TargetMode="External"/><Relationship Id="rIdjljbgey0zeflhd-mucald" Type="http://schemas.openxmlformats.org/officeDocument/2006/relationships/hyperlink" Target="https://www.autoritedelaconcurrence.fr/fr/decision-de-controle-des-concentrations/relative-la-prise-de-controle-conjoint-de-la-societe-vpm" TargetMode="External"/><Relationship Id="rIdrnhpcvl6c27suwrsdwpww" Type="http://schemas.openxmlformats.org/officeDocument/2006/relationships/hyperlink" Target="https://www.autoritedelaconcurrence.fr/fr/decision-de-controle-des-concentrations/relative-la-prise-de-controle-conjoint-de-la-societe-vpm" TargetMode="External"/><Relationship Id="rId7qmtoy7yl2txob2gsj8pr" Type="http://schemas.openxmlformats.org/officeDocument/2006/relationships/hyperlink" Target="https://www.autoritedelaconcurrence.fr/fr/decision-de-controle-des-concentrations/relative-la-prise-de-controle-conjoint-de-la-societe-vpm" TargetMode="External"/><Relationship Id="rIdwve6rsvmkdzfqaii4weaz" Type="http://schemas.openxmlformats.org/officeDocument/2006/relationships/hyperlink" Target="https://www.autoritedelaconcurrence.fr/fr/decision-de-controle-des-concentrations/relative-la-prise-de-controle-conjoint-de-la-societe-vpm" TargetMode="External"/><Relationship Id="rIdury-ebnjuqybatsyn7wrn" Type="http://schemas.openxmlformats.org/officeDocument/2006/relationships/hyperlink" Target="https://www.autoritedelaconcurrence.fr/fr/decision-de-controle-des-concentrations/relative-la-prise-de-controle-conjoint-de-la-societe-vpm" TargetMode="External"/><Relationship Id="rIdigrc1ij0biocn0qdk-fdz" Type="http://schemas.openxmlformats.org/officeDocument/2006/relationships/hyperlink" Target="https://www.autoritedelaconcurrence.fr/fr/decision-de-controle-des-concentrations/relative-la-prise-de-controle-conjoint-de-la-societe-vpm" TargetMode="External"/><Relationship Id="rId5rvbnxjmupj5opmk_v7vc" Type="http://schemas.openxmlformats.org/officeDocument/2006/relationships/hyperlink" Target="https://www.autoritedelaconcurrence.fr/fr/decision-de-controle-des-concentrations/relative-la-prise-de-controle-conjoint-de-la-societe-vpm" TargetMode="External"/><Relationship Id="rIdixsz8uzbgbvmbt0-mnitd" Type="http://schemas.openxmlformats.org/officeDocument/2006/relationships/hyperlink" Target="https://www.autoritedelaconcurrence.fr/fr/decision-de-controle-des-concentrations/relative-la-prise-de-controle-conjoint-de-la-societe-vpm" TargetMode="External"/><Relationship Id="rIdou2iorwmqxnlgwmyhhtkp" Type="http://schemas.openxmlformats.org/officeDocument/2006/relationships/hyperlink" Target="https://www.autoritedelaconcurrence.fr/fr/decision-de-controle-des-concentrations/relative-la-prise-de-controle-conjoint-de-la-societe-vpm" TargetMode="External"/><Relationship Id="rIdawz6hceeuqn1_jvftxhxu" Type="http://schemas.openxmlformats.org/officeDocument/2006/relationships/hyperlink" Target="https://www.autoritedelaconcurrence.fr/fr/decision-de-controle-des-concentrations/relative-la-prise-de-controle-conjoint-de-la-societe-vpm" TargetMode="External"/><Relationship Id="rId9n3ajiudqlvubq1odiipj" Type="http://schemas.openxmlformats.org/officeDocument/2006/relationships/hyperlink" Target="https://www.autoritedelaconcurrence.fr/fr/decision-de-controle-des-concentrations/relative-la-prise-de-controle-conjoint-de-la-societe-vpm" TargetMode="External"/><Relationship Id="rIdpykj1rukrmdqgl7gpnlt0" Type="http://schemas.openxmlformats.org/officeDocument/2006/relationships/hyperlink" Target="https://www.autoritedelaconcurrence.fr/fr/decision-de-controle-des-concentrations/relative-la-prise-de-controle-conjoint-de-la-societe-vpm" TargetMode="External"/><Relationship Id="rIdlx8goicitkmtowcjb-icn" Type="http://schemas.openxmlformats.org/officeDocument/2006/relationships/hyperlink" Target="https://www.autoritedelaconcurrence.fr/fr/decision-de-controle-des-concentrations/relative-la-prise-de-controle-conjoint-de-la-societe-vpm" TargetMode="External"/><Relationship Id="rIdp4_jtfewuvxzeecr61f-f" Type="http://schemas.openxmlformats.org/officeDocument/2006/relationships/hyperlink" Target="https://www.autoritedelaconcurrence.fr/fr/decision-de-controle-des-concentrations/relative-la-prise-de-controle-conjoint-de-la-societe-vpm" TargetMode="External"/><Relationship Id="rIdjxartfnyndkkksimbotbe" Type="http://schemas.openxmlformats.org/officeDocument/2006/relationships/hyperlink" Target="https://www.autoritedelaconcurrence.fr/fr/decision-de-controle-des-concentrations/relative-la-prise-de-controle-conjoint-de-la-societe-vpm" TargetMode="External"/><Relationship Id="rIdsgahhcynybcejvmu0k8-7" Type="http://schemas.openxmlformats.org/officeDocument/2006/relationships/hyperlink" Target="https://www.autoritedelaconcurrence.fr/fr/decision-de-controle-des-concentrations/relative-la-prise-de-controle-conjoint-de-la-societe-vpm" TargetMode="External"/><Relationship Id="rIdufwfy6_uykfmoq1kprk1h" Type="http://schemas.openxmlformats.org/officeDocument/2006/relationships/hyperlink" Target="https://www.autoritedelaconcurrence.fr/fr/decision-de-controle-des-concentrations/relative-la-prise-de-controle-exclusif-de-la-societe-la-4" TargetMode="External"/><Relationship Id="rIdxlyf5leenx2b32fvxrvzd" Type="http://schemas.openxmlformats.org/officeDocument/2006/relationships/hyperlink" Target="https://www.autoritedelaconcurrence.fr/fr/decision-de-controle-des-concentrations/relative-la-prise-de-controle-exclusif-de-la-societe-la-4" TargetMode="External"/><Relationship Id="rIduh6s0p3vmhji24lk82ubb" Type="http://schemas.openxmlformats.org/officeDocument/2006/relationships/hyperlink" Target="https://www.autoritedelaconcurrence.fr/fr/decision-de-controle-des-concentrations/relative-la-prise-de-controle-exclusif-de-la-societe-la-4" TargetMode="External"/><Relationship Id="rIdkq7hgahcjsl3cga2fpjz3" Type="http://schemas.openxmlformats.org/officeDocument/2006/relationships/hyperlink" Target="https://www.autoritedelaconcurrence.fr/fr/decision-de-controle-des-concentrations/relative-la-prise-de-controle-exclusif-de-la-societe-la-4" TargetMode="External"/><Relationship Id="rIdgnqrsh4fktxmsbtyr4svg" Type="http://schemas.openxmlformats.org/officeDocument/2006/relationships/hyperlink" Target="https://www.autoritedelaconcurrence.fr/fr/decision-de-controle-des-concentrations/relative-la-prise-de-controle-exclusif-de-la-societe-la-4" TargetMode="External"/><Relationship Id="rIdsho9hrdm8xqhtgrb2hxqh" Type="http://schemas.openxmlformats.org/officeDocument/2006/relationships/hyperlink" Target="https://www.autoritedelaconcurrence.fr/fr/decision-de-controle-des-concentrations/relative-la-prise-de-controle-exclusif-de-la-societe-la-4" TargetMode="External"/><Relationship Id="rIddzrjchfm8gwplq3zuyyg1" Type="http://schemas.openxmlformats.org/officeDocument/2006/relationships/hyperlink" Target="https://www.autoritedelaconcurrence.fr/fr/decision-de-controle-des-concentrations/relative-la-prise-de-controle-exclusif-de-la-societe-la-4" TargetMode="External"/><Relationship Id="rIdtyeqalxwytc9c-yg3mi9x" Type="http://schemas.openxmlformats.org/officeDocument/2006/relationships/hyperlink" Target="https://www.autoritedelaconcurrence.fr/fr/decision-de-controle-des-concentrations/relative-la-prise-de-controle-exclusif-de-la-societe-la-4" TargetMode="External"/><Relationship Id="rIdfkpnps50r3wwfw3mgfh4d" Type="http://schemas.openxmlformats.org/officeDocument/2006/relationships/hyperlink" Target="https://www.autoritedelaconcurrence.fr/fr/decision-de-controle-des-concentrations/relative-la-prise-de-controle-exclusif-de-la-societe-la-4" TargetMode="External"/><Relationship Id="rIdfdnzf4mylxq_z7vx_2cxd" Type="http://schemas.openxmlformats.org/officeDocument/2006/relationships/hyperlink" Target="https://www.autoritedelaconcurrence.fr/fr/decision-de-controle-des-concentrations/relative-la-prise-de-controle-exclusif-de-la-societe-la-4" TargetMode="External"/><Relationship Id="rIdp5zqgp1fruo093y8hmufo" Type="http://schemas.openxmlformats.org/officeDocument/2006/relationships/hyperlink" Target="https://www.autoritedelaconcurrence.fr/fr/decision-de-controle-des-concentrations/relative-la-prise-de-controle-exclusif-de-la-societe-la-4" TargetMode="External"/><Relationship Id="rIdc-dehq7louoxiqw176ipi" Type="http://schemas.openxmlformats.org/officeDocument/2006/relationships/hyperlink" Target="https://www.autoritedelaconcurrence.fr/fr/decision-de-controle-des-concentrations/relative-la-prise-de-controle-exclusif-de-la-societe-la-4" TargetMode="External"/><Relationship Id="rIdimmth2ozjf6w6dahwlaw6" Type="http://schemas.openxmlformats.org/officeDocument/2006/relationships/hyperlink" Target="https://www.autoritedelaconcurrence.fr/fr/decision-de-controle-des-concentrations/relative-la-prise-de-controle-exclusif-de-la-societe-la-4" TargetMode="External"/><Relationship Id="rIdwkc_hipvqoe6bp91_3a0z" Type="http://schemas.openxmlformats.org/officeDocument/2006/relationships/hyperlink" Target="https://www.autoritedelaconcurrence.fr/fr/decision-de-controle-des-concentrations/relative-la-prise-de-controle-exclusif-de-la-societe-la-4" TargetMode="External"/><Relationship Id="rId4yqd48euewpav7oup270_" Type="http://schemas.openxmlformats.org/officeDocument/2006/relationships/hyperlink" Target="https://www.autoritedelaconcurrence.fr/fr/decision-de-controle-des-concentrations/relative-la-prise-de-controle-exclusif-de-la-societe-la-4" TargetMode="External"/><Relationship Id="rIdlzmxn0lytkuztdfomoi-k" Type="http://schemas.openxmlformats.org/officeDocument/2006/relationships/hyperlink" Target="https://www.autoritedelaconcurrence.fr/fr/decision-de-controle-des-concentrations/relative-la-prise-de-controle-exclusif-de-la-societe-la-4" TargetMode="External"/><Relationship Id="rId-cgnaki5nhtpuomc3xii_" Type="http://schemas.openxmlformats.org/officeDocument/2006/relationships/hyperlink" Target="https://www.autoritedelaconcurrence.fr/fr/decision-de-controle-des-concentrations/relative-la-prise-de-controle-exclusif-de-la-societe-la-4" TargetMode="External"/><Relationship Id="rIdjwdil9e7nvapqctep-_vd" Type="http://schemas.openxmlformats.org/officeDocument/2006/relationships/hyperlink" Target="https://www.autoritedelaconcurrence.fr/fr/decision-de-controle-des-concentrations/relative-la-prise-de-controle-exclusif-de-la-societe-la-4" TargetMode="External"/><Relationship Id="rIdvdi66nfahbas1ohrgjvog" Type="http://schemas.openxmlformats.org/officeDocument/2006/relationships/hyperlink" Target="https://www.autoritedelaconcurrence.fr/fr/decision-de-controle-des-concentrations/relative-la-prise-de-controle-exclusif-de-la-societe-la-4" TargetMode="External"/><Relationship Id="rId_b9b3qzktoredfuyuvlgi" Type="http://schemas.openxmlformats.org/officeDocument/2006/relationships/hyperlink" Target="https://www.autoritedelaconcurrence.fr/fr/decision-de-controle-des-concentrations/relative-la-prise-de-controle-exclusif-de-la-societe-la-4" TargetMode="External"/><Relationship Id="rIdtm4zp0qo3mwbbk08qapub" Type="http://schemas.openxmlformats.org/officeDocument/2006/relationships/hyperlink" Target="https://www.autoritedelaconcurrence.fr/fr/decision-de-controle-des-concentrations/relative-la-prise-de-controle-exclusif-de-la-societe-la-4" TargetMode="External"/><Relationship Id="rIdzdyz829j1r7xl23-6rsew" Type="http://schemas.openxmlformats.org/officeDocument/2006/relationships/hyperlink" Target="https://www.autoritedelaconcurrence.fr/fr/decision-de-controle-des-concentrations/relative-la-prise-de-controle-exclusif-de-la-societe-la-4" TargetMode="External"/><Relationship Id="rIdpcdtgwnqsbj68h-gonphj" Type="http://schemas.openxmlformats.org/officeDocument/2006/relationships/hyperlink" Target="https://www.autoritedelaconcurrence.fr/fr/decision-de-controle-des-concentrations/relative-la-prise-de-controle-exclusif-de-la-societe-la-4" TargetMode="External"/><Relationship Id="rIdsjic14tyg_tnusc1o2zps" Type="http://schemas.openxmlformats.org/officeDocument/2006/relationships/hyperlink" Target="https://www.autoritedelaconcurrence.fr/fr/decision-de-controle-des-concentrations/relative-la-prise-de-controle-exclusif-de-la-societe-la-4" TargetMode="External"/><Relationship Id="rIdmvgdkok3rsiax1kl3i76e" Type="http://schemas.openxmlformats.org/officeDocument/2006/relationships/hyperlink" Target="https://www.autoritedelaconcurrence.fr/fr/decision-de-controle-des-concentrations/relative-la-prise-de-controle-exclusif-de-la-societe-la-4" TargetMode="External"/><Relationship Id="rId5wqq7b-n4i6ljvn_juphl" Type="http://schemas.openxmlformats.org/officeDocument/2006/relationships/hyperlink" Target="https://www.autoritedelaconcurrence.fr/fr/decision-de-controle-des-concentrations/relative-la-prise-de-controle-exclusif-de-la-societe-la-4" TargetMode="External"/><Relationship Id="rIdqkqsc-q5zdqrk0sug1uau" Type="http://schemas.openxmlformats.org/officeDocument/2006/relationships/hyperlink" Target="https://www.autoritedelaconcurrence.fr/fr/decision-de-controle-des-concentrations/relative-la-prise-de-controle-exclusif-de-la-societe-la-4" TargetMode="External"/><Relationship Id="rIdzun75bdc7hufmpfu_u4_p" Type="http://schemas.openxmlformats.org/officeDocument/2006/relationships/hyperlink" Target="https://www.autoritedelaconcurrence.fr/fr/decision-de-controle-des-concentrations/relative-la-prise-de-controle-exclusif-de-cinq-fonds-de-4" TargetMode="External"/><Relationship Id="rIdj1hu7dcmug82zuxs6yrtg" Type="http://schemas.openxmlformats.org/officeDocument/2006/relationships/hyperlink" Target="https://www.autoritedelaconcurrence.fr/fr/decision-de-controle-des-concentrations/relative-la-prise-de-controle-exclusif-de-cinq-fonds-de-4" TargetMode="External"/><Relationship Id="rId-umsytab5_gugjayb-umw" Type="http://schemas.openxmlformats.org/officeDocument/2006/relationships/hyperlink" Target="https://www.autoritedelaconcurrence.fr/fr/decision-de-controle-des-concentrations/relative-la-prise-de-controle-exclusif-de-cinq-fonds-de-4" TargetMode="External"/><Relationship Id="rIdjbmisomk0eimj48znigku" Type="http://schemas.openxmlformats.org/officeDocument/2006/relationships/hyperlink" Target="https://www.autoritedelaconcurrence.fr/fr/decision-de-controle-des-concentrations/relative-la-prise-de-controle-exclusif-de-cinq-fonds-de-4" TargetMode="External"/><Relationship Id="rIdwngx9pajqgti2luktywe3" Type="http://schemas.openxmlformats.org/officeDocument/2006/relationships/hyperlink" Target="https://www.autoritedelaconcurrence.fr/fr/decision-de-controle-des-concentrations/relative-la-prise-de-controle-exclusif-de-cinq-fonds-de-4" TargetMode="External"/><Relationship Id="rIdltsefduzxzrm3njuyxqui" Type="http://schemas.openxmlformats.org/officeDocument/2006/relationships/hyperlink" Target="https://www.autoritedelaconcurrence.fr/fr/decision-de-controle-des-concentrations/relative-la-prise-de-controle-exclusif-de-cinq-fonds-de-4" TargetMode="External"/><Relationship Id="rIdun4kad-x2rfoc-egim_4e" Type="http://schemas.openxmlformats.org/officeDocument/2006/relationships/hyperlink" Target="https://www.autoritedelaconcurrence.fr/fr/decision-de-controle-des-concentrations/relative-la-prise-de-controle-exclusif-de-cinq-fonds-de-4" TargetMode="External"/><Relationship Id="rIdg1tfcyj-2lrsk0wgvfinu" Type="http://schemas.openxmlformats.org/officeDocument/2006/relationships/hyperlink" Target="https://www.autoritedelaconcurrence.fr/fr/decision-de-controle-des-concentrations/relative-la-prise-de-controle-exclusif-de-cinq-fonds-de-4" TargetMode="External"/><Relationship Id="rId1fd93wobmuvcf7fqmrhcd" Type="http://schemas.openxmlformats.org/officeDocument/2006/relationships/hyperlink" Target="https://www.autoritedelaconcurrence.fr/fr/decision-de-controle-des-concentrations/relative-la-prise-de-controle-exclusif-de-cinq-fonds-de-4" TargetMode="External"/><Relationship Id="rIdf2enzkxple3y1xqmdqkup" Type="http://schemas.openxmlformats.org/officeDocument/2006/relationships/hyperlink" Target="https://www.autoritedelaconcurrence.fr/fr/decision-de-controle-des-concentrations/relative-la-prise-de-controle-exclusif-de-cinq-fonds-de-4" TargetMode="External"/><Relationship Id="rIdos6-zrkumgczcdk4tu_ad" Type="http://schemas.openxmlformats.org/officeDocument/2006/relationships/hyperlink" Target="https://www.autoritedelaconcurrence.fr/fr/decision-de-controle-des-concentrations/relative-la-prise-de-controle-exclusif-de-cinq-fonds-de-4" TargetMode="External"/><Relationship Id="rIdmirddtgmatuo_m3lqkmkl" Type="http://schemas.openxmlformats.org/officeDocument/2006/relationships/hyperlink" Target="https://www.autoritedelaconcurrence.fr/fr/decision-de-controle-des-concentrations/relative-la-prise-de-controle-exclusif-de-cinq-fonds-de-4" TargetMode="External"/><Relationship Id="rIdft1z8yjrvoro-ruoa4-ih" Type="http://schemas.openxmlformats.org/officeDocument/2006/relationships/hyperlink" Target="https://www.autoritedelaconcurrence.fr/fr/decision-de-controle-des-concentrations/relative-la-prise-de-controle-exclusif-de-cinq-fonds-de-4" TargetMode="External"/><Relationship Id="rIdlng7gtto52bm7kby26akr" Type="http://schemas.openxmlformats.org/officeDocument/2006/relationships/hyperlink" Target="https://www.autoritedelaconcurrence.fr/fr/decision-de-controle-des-concentrations/relative-la-prise-de-controle-exclusif-de-cinq-fonds-de-4" TargetMode="External"/><Relationship Id="rIdz73gvo5reh7bihajras7o" Type="http://schemas.openxmlformats.org/officeDocument/2006/relationships/hyperlink" Target="https://www.autoritedelaconcurrence.fr/fr/decision-de-controle-des-concentrations/relative-la-prise-de-controle-exclusif-de-cinq-fonds-de-4" TargetMode="External"/><Relationship Id="rIdzgxevo4_vaytkgpctkply" Type="http://schemas.openxmlformats.org/officeDocument/2006/relationships/hyperlink" Target="https://www.autoritedelaconcurrence.fr/fr/decision-de-controle-des-concentrations/relative-la-prise-de-controle-exclusif-de-cinq-fonds-de-4" TargetMode="External"/><Relationship Id="rIdby8u0xinpqtvgdx4twf2h" Type="http://schemas.openxmlformats.org/officeDocument/2006/relationships/hyperlink" Target="https://www.autoritedelaconcurrence.fr/fr/decision-de-controle-des-concentrations/relative-la-prise-de-controle-exclusif-de-cinq-fonds-de-4" TargetMode="External"/><Relationship Id="rIdikajbtlasjqumaasswfa8" Type="http://schemas.openxmlformats.org/officeDocument/2006/relationships/hyperlink" Target="https://www.autoritedelaconcurrence.fr/fr/decision-de-controle-des-concentrations/relative-la-prise-de-controle-exclusif-de-cinq-fonds-de-4" TargetMode="External"/><Relationship Id="rIdxjlvqs9ckokemocvssavc" Type="http://schemas.openxmlformats.org/officeDocument/2006/relationships/hyperlink" Target="https://www.autoritedelaconcurrence.fr/fr/decision-de-controle-des-concentrations/relative-la-prise-de-controle-exclusif-de-cinq-fonds-de-4" TargetMode="External"/><Relationship Id="rIdxbjy_o1pjsrlclab_brue" Type="http://schemas.openxmlformats.org/officeDocument/2006/relationships/hyperlink" Target="https://www.autoritedelaconcurrence.fr/fr/decision-de-controle-des-concentrations/relative-la-prise-de-controle-exclusif-de-cinq-fonds-de-4" TargetMode="External"/><Relationship Id="rIdtrb4v-vet4bms55w64xp8" Type="http://schemas.openxmlformats.org/officeDocument/2006/relationships/hyperlink" Target="https://www.autoritedelaconcurrence.fr/fr/decision-de-controle-des-concentrations/relative-la-prise-de-controle-exclusif-de-cinq-fonds-de-4" TargetMode="External"/><Relationship Id="rIdhdfclhvrnir_g56rdqevp" Type="http://schemas.openxmlformats.org/officeDocument/2006/relationships/hyperlink" Target="https://www.autoritedelaconcurrence.fr/fr/decision-de-controle-des-concentrations/relative-la-prise-de-controle-exclusif-de-cinq-fonds-de-4" TargetMode="External"/><Relationship Id="rIdn5nlqc4f56skxjxlemt6_" Type="http://schemas.openxmlformats.org/officeDocument/2006/relationships/hyperlink" Target="https://www.autoritedelaconcurrence.fr/fr/decision-de-controle-des-concentrations/relative-la-prise-de-controle-exclusif-de-cinq-fonds-de-4" TargetMode="External"/><Relationship Id="rIdjwkeu2cizgs1btakbahqz" Type="http://schemas.openxmlformats.org/officeDocument/2006/relationships/hyperlink" Target="https://www.autoritedelaconcurrence.fr/fr/decision-de-controle-des-concentrations/relative-la-prise-de-controle-exclusif-de-cinq-fonds-de-4" TargetMode="External"/><Relationship Id="rIdyf6zrte7bvot_-wauuedc" Type="http://schemas.openxmlformats.org/officeDocument/2006/relationships/hyperlink" Target="https://www.autoritedelaconcurrence.fr/fr/decision-de-controle-des-concentrations/relative-la-prise-de-controle-exclusif-de-cinq-fonds-de-4" TargetMode="External"/><Relationship Id="rIdhwekiznhstvm_h9e6ocrh" Type="http://schemas.openxmlformats.org/officeDocument/2006/relationships/hyperlink" Target="https://www.autoritedelaconcurrence.fr/fr/decision-de-controle-des-concentrations/relative-la-prise-de-controle-exclusif-de-cinq-fonds-de-4" TargetMode="External"/><Relationship Id="rIdpfusili5beuuwvg-fjga0" Type="http://schemas.openxmlformats.org/officeDocument/2006/relationships/hyperlink" Target="https://www.autoritedelaconcurrence.fr/fr/decision-de-controle-des-concentrations/relative-la-prise-de-controle-exclusif-de-cinq-fonds-de-4" TargetMode="External"/><Relationship Id="rIdgitiqyjhn1o61vlptqhmt" Type="http://schemas.openxmlformats.org/officeDocument/2006/relationships/hyperlink" Target="https://www.autoritedelaconcurrence.fr/fr/decision-de-controle-des-concentrations/relative-la-prise-de-controle-exclusif-de-trois-fonds-de-8" TargetMode="External"/><Relationship Id="rIdx9rwikggq9fha6tmdhqbn" Type="http://schemas.openxmlformats.org/officeDocument/2006/relationships/hyperlink" Target="https://www.autoritedelaconcurrence.fr/fr/decision-de-controle-des-concentrations/relative-la-prise-de-controle-exclusif-de-trois-fonds-de-8" TargetMode="External"/><Relationship Id="rId7icm_cbm5i1wre9iav-wy" Type="http://schemas.openxmlformats.org/officeDocument/2006/relationships/hyperlink" Target="https://www.autoritedelaconcurrence.fr/fr/decision-de-controle-des-concentrations/relative-la-prise-de-controle-exclusif-de-trois-fonds-de-8" TargetMode="External"/><Relationship Id="rIdskjumcfn23s2mkkboudpb" Type="http://schemas.openxmlformats.org/officeDocument/2006/relationships/hyperlink" Target="https://www.autoritedelaconcurrence.fr/fr/decision-de-controle-des-concentrations/relative-la-prise-de-controle-exclusif-de-trois-fonds-de-8" TargetMode="External"/><Relationship Id="rIdo10wdznprg7ibhshsrbii" Type="http://schemas.openxmlformats.org/officeDocument/2006/relationships/hyperlink" Target="https://www.autoritedelaconcurrence.fr/fr/decision-de-controle-des-concentrations/relative-la-prise-de-controle-exclusif-de-trois-fonds-de-8" TargetMode="External"/><Relationship Id="rIdzcwowilxaygitypk5kpok" Type="http://schemas.openxmlformats.org/officeDocument/2006/relationships/hyperlink" Target="https://www.autoritedelaconcurrence.fr/fr/decision-de-controle-des-concentrations/relative-la-prise-de-controle-exclusif-de-trois-fonds-de-8" TargetMode="External"/><Relationship Id="rIde4qlzasmdc1c4iwhhdj1d" Type="http://schemas.openxmlformats.org/officeDocument/2006/relationships/hyperlink" Target="https://www.autoritedelaconcurrence.fr/fr/decision-de-controle-des-concentrations/relative-la-prise-de-controle-exclusif-de-trois-fonds-de-8" TargetMode="External"/><Relationship Id="rIdz58acof9c6u0cycqyqdd5" Type="http://schemas.openxmlformats.org/officeDocument/2006/relationships/hyperlink" Target="https://www.autoritedelaconcurrence.fr/fr/decision-de-controle-des-concentrations/relative-la-prise-de-controle-exclusif-de-trois-fonds-de-8" TargetMode="External"/><Relationship Id="rIdvg9kkf0xpgqdzi7lpx9za" Type="http://schemas.openxmlformats.org/officeDocument/2006/relationships/hyperlink" Target="https://www.autoritedelaconcurrence.fr/fr/decision-de-controle-des-concentrations/relative-la-prise-de-controle-exclusif-de-trois-fonds-de-8" TargetMode="External"/><Relationship Id="rIds3ozq9loxobabtx4_o6ur" Type="http://schemas.openxmlformats.org/officeDocument/2006/relationships/hyperlink" Target="https://www.autoritedelaconcurrence.fr/fr/decision-de-controle-des-concentrations/relative-la-prise-de-controle-exclusif-de-trois-fonds-de-8" TargetMode="External"/><Relationship Id="rIdw5yixg8tp49zuzxgq9_r-" Type="http://schemas.openxmlformats.org/officeDocument/2006/relationships/hyperlink" Target="https://www.autoritedelaconcurrence.fr/fr/decision-de-controle-des-concentrations/relative-la-prise-de-controle-exclusif-de-trois-fonds-de-8" TargetMode="External"/><Relationship Id="rIdhmeshdjqfojguh30hlljx" Type="http://schemas.openxmlformats.org/officeDocument/2006/relationships/hyperlink" Target="https://www.autoritedelaconcurrence.fr/fr/decision-de-controle-des-concentrations/relative-la-prise-de-controle-exclusif-de-trois-fonds-de-8" TargetMode="External"/><Relationship Id="rId3usdcqlk5mtwqx1fivsnj" Type="http://schemas.openxmlformats.org/officeDocument/2006/relationships/hyperlink" Target="https://www.autoritedelaconcurrence.fr/fr/decision-de-controle-des-concentrations/relative-la-prise-de-controle-exclusif-de-trois-fonds-de-8" TargetMode="External"/><Relationship Id="rIdd1jyw13eaxhh21rdrl_je" Type="http://schemas.openxmlformats.org/officeDocument/2006/relationships/hyperlink" Target="https://www.autoritedelaconcurrence.fr/fr/decision-de-controle-des-concentrations/relative-la-prise-de-controle-exclusif-de-trois-fonds-de-8" TargetMode="External"/><Relationship Id="rIdlcfxg2yccj_a7nbk_-zdz" Type="http://schemas.openxmlformats.org/officeDocument/2006/relationships/hyperlink" Target="https://www.autoritedelaconcurrence.fr/fr/decision-de-controle-des-concentrations/relative-la-prise-de-controle-exclusif-de-trois-fonds-de-8" TargetMode="External"/><Relationship Id="rIdvggsi_hnz7ud8lh4vietk" Type="http://schemas.openxmlformats.org/officeDocument/2006/relationships/hyperlink" Target="https://www.autoritedelaconcurrence.fr/fr/decision-de-controle-des-concentrations/relative-la-prise-de-controle-exclusif-de-trois-fonds-de-8" TargetMode="External"/><Relationship Id="rIdnucveuktranq9nxl2udp3" Type="http://schemas.openxmlformats.org/officeDocument/2006/relationships/hyperlink" Target="https://www.autoritedelaconcurrence.fr/fr/decision-de-controle-des-concentrations/relative-la-prise-de-controle-exclusif-de-trois-fonds-de-8" TargetMode="External"/><Relationship Id="rIdyncguatk6982db9c9ylta" Type="http://schemas.openxmlformats.org/officeDocument/2006/relationships/hyperlink" Target="https://www.autoritedelaconcurrence.fr/fr/decision-de-controle-des-concentrations/relative-la-prise-de-controle-exclusif-de-trois-fonds-de-8" TargetMode="External"/><Relationship Id="rIdlcimeevrgir9ttghbv8ci" Type="http://schemas.openxmlformats.org/officeDocument/2006/relationships/hyperlink" Target="https://www.autoritedelaconcurrence.fr/fr/decision-de-controle-des-concentrations/relative-la-prise-de-controle-exclusif-de-trois-fonds-de-8" TargetMode="External"/><Relationship Id="rIdtbowfokp-fa_7ihzpxxhf" Type="http://schemas.openxmlformats.org/officeDocument/2006/relationships/hyperlink" Target="https://www.autoritedelaconcurrence.fr/fr/decision-de-controle-des-concentrations/relative-la-prise-de-controle-exclusif-de-trois-fonds-de-8" TargetMode="External"/><Relationship Id="rIddjcvgevoxlhwvcid0r_am" Type="http://schemas.openxmlformats.org/officeDocument/2006/relationships/hyperlink" Target="https://www.autoritedelaconcurrence.fr/fr/decision-de-controle-des-concentrations/relative-la-prise-de-controle-exclusif-de-trois-fonds-de-8" TargetMode="External"/><Relationship Id="rIdpiajqdeorin4zrqulzop-" Type="http://schemas.openxmlformats.org/officeDocument/2006/relationships/hyperlink" Target="https://www.autoritedelaconcurrence.fr/fr/decision-de-controle-des-concentrations/relative-la-prise-de-controle-exclusif-de-trois-fonds-de-8" TargetMode="External"/><Relationship Id="rId5g_johcrfha3hk_jgzf3w" Type="http://schemas.openxmlformats.org/officeDocument/2006/relationships/hyperlink" Target="https://www.autoritedelaconcurrence.fr/fr/decision-de-controle-des-concentrations/relative-la-prise-de-controle-exclusif-de-trois-fonds-de-8" TargetMode="External"/><Relationship Id="rIdjlfhhqribesrzoovpdfjk" Type="http://schemas.openxmlformats.org/officeDocument/2006/relationships/hyperlink" Target="https://www.autoritedelaconcurrence.fr/fr/decision-de-controle-des-concentrations/relative-la-prise-de-controle-exclusif-de-trois-fonds-de-8" TargetMode="External"/><Relationship Id="rIdpn3g8fvns7yss77ux2r-5" Type="http://schemas.openxmlformats.org/officeDocument/2006/relationships/hyperlink" Target="https://www.autoritedelaconcurrence.fr/fr/decision-de-controle-des-concentrations/relative-la-prise-de-controle-exclusif-de-trois-fonds-de-8" TargetMode="External"/><Relationship Id="rIdwq2vycziwqlpxqzizg9nh" Type="http://schemas.openxmlformats.org/officeDocument/2006/relationships/hyperlink" Target="https://www.autoritedelaconcurrence.fr/fr/decision-de-controle-des-concentrations/relative-la-prise-de-controle-exclusif-de-trois-fonds-de-8" TargetMode="External"/><Relationship Id="rId7dpn_ebb36vrbsokllmo_" Type="http://schemas.openxmlformats.org/officeDocument/2006/relationships/hyperlink" Target="https://www.autoritedelaconcurrence.fr/fr/decision-de-controle-des-concentrations/relative-la-prise-de-controle-exclusif-de-trois-fonds-de-8" TargetMode="External"/><Relationship Id="rIdi2fe-1ykyopry2svrvnyj" Type="http://schemas.openxmlformats.org/officeDocument/2006/relationships/hyperlink" Target="https://www.autoritedelaconcurrence.fr/fr/decision-de-controle-des-concentrations/relative-la-prise-de-controle-exclusif-de-la-societe-vezere" TargetMode="External"/><Relationship Id="rIdyfh75i5nmyqmvpuwkguqd" Type="http://schemas.openxmlformats.org/officeDocument/2006/relationships/hyperlink" Target="https://www.autoritedelaconcurrence.fr/fr/decision-de-controle-des-concentrations/relative-la-prise-de-controle-exclusif-de-la-societe-vezere" TargetMode="External"/><Relationship Id="rIdxybealcsfh-6glwvvop-i" Type="http://schemas.openxmlformats.org/officeDocument/2006/relationships/hyperlink" Target="https://www.autoritedelaconcurrence.fr/fr/decision-de-controle-des-concentrations/relative-la-prise-de-controle-exclusif-de-la-societe-vezere" TargetMode="External"/><Relationship Id="rIdusw9xuqut38mb7_iytl60" Type="http://schemas.openxmlformats.org/officeDocument/2006/relationships/hyperlink" Target="https://www.autoritedelaconcurrence.fr/fr/decision-de-controle-des-concentrations/relative-la-prise-de-controle-exclusif-de-la-societe-vezere" TargetMode="External"/><Relationship Id="rIdjg-qemtl7r_6neqw1argq" Type="http://schemas.openxmlformats.org/officeDocument/2006/relationships/hyperlink" Target="https://www.autoritedelaconcurrence.fr/fr/decision-de-controle-des-concentrations/relative-la-prise-de-controle-exclusif-de-la-societe-vezere" TargetMode="External"/><Relationship Id="rIdhhjn7yjvhh0w4g-dfwiak" Type="http://schemas.openxmlformats.org/officeDocument/2006/relationships/hyperlink" Target="https://www.autoritedelaconcurrence.fr/fr/decision-de-controle-des-concentrations/relative-la-prise-de-controle-exclusif-de-la-societe-vezere" TargetMode="External"/><Relationship Id="rId_mvxrdgwewp0yotezob9a" Type="http://schemas.openxmlformats.org/officeDocument/2006/relationships/hyperlink" Target="https://www.autoritedelaconcurrence.fr/fr/decision-de-controle-des-concentrations/relative-la-prise-de-controle-exclusif-de-la-societe-vezere" TargetMode="External"/><Relationship Id="rIdwketnxsugofmi9cfhfwyo" Type="http://schemas.openxmlformats.org/officeDocument/2006/relationships/hyperlink" Target="https://www.autoritedelaconcurrence.fr/fr/decision-de-controle-des-concentrations/relative-la-prise-de-controle-exclusif-de-la-societe-vezere" TargetMode="External"/><Relationship Id="rIdeimnstfd2pyd2t-2_wmgo" Type="http://schemas.openxmlformats.org/officeDocument/2006/relationships/hyperlink" Target="https://www.autoritedelaconcurrence.fr/fr/decision-de-controle-des-concentrations/relative-la-prise-de-controle-exclusif-de-la-societe-vezere" TargetMode="External"/><Relationship Id="rIdwjnqfjqzjugg4w4ffbfmz" Type="http://schemas.openxmlformats.org/officeDocument/2006/relationships/hyperlink" Target="https://www.autoritedelaconcurrence.fr/fr/decision-de-controle-des-concentrations/relative-la-prise-de-controle-exclusif-de-la-societe-vezere" TargetMode="External"/><Relationship Id="rIdo4s7c9nqaw2yxjtylmhoc" Type="http://schemas.openxmlformats.org/officeDocument/2006/relationships/hyperlink" Target="https://www.autoritedelaconcurrence.fr/fr/decision-de-controle-des-concentrations/relative-la-prise-de-controle-exclusif-de-la-societe-vezere" TargetMode="External"/><Relationship Id="rId40xndkls7_ngkeype9vuk" Type="http://schemas.openxmlformats.org/officeDocument/2006/relationships/hyperlink" Target="https://www.autoritedelaconcurrence.fr/fr/decision-de-controle-des-concentrations/relative-la-prise-de-controle-exclusif-de-la-societe-vezere" TargetMode="External"/><Relationship Id="rIdwthmmmtcxenhvduqkiwdl" Type="http://schemas.openxmlformats.org/officeDocument/2006/relationships/hyperlink" Target="https://www.autoritedelaconcurrence.fr/fr/decision-de-controle-des-concentrations/relative-la-prise-de-controle-exclusif-de-la-societe-vezere" TargetMode="External"/><Relationship Id="rIdai-kwezbicopacyqlhblb" Type="http://schemas.openxmlformats.org/officeDocument/2006/relationships/hyperlink" Target="https://www.autoritedelaconcurrence.fr/fr/decision-de-controle-des-concentrations/relative-la-prise-de-controle-exclusif-de-la-societe-vezere" TargetMode="External"/><Relationship Id="rIdxb4rkjc7blsqhj6vljwq9" Type="http://schemas.openxmlformats.org/officeDocument/2006/relationships/hyperlink" Target="https://www.autoritedelaconcurrence.fr/fr/decision-de-controle-des-concentrations/relative-la-prise-de-controle-exclusif-de-la-societe-vezere" TargetMode="External"/><Relationship Id="rIdjjiuzhotofbwfikg02g-k" Type="http://schemas.openxmlformats.org/officeDocument/2006/relationships/hyperlink" Target="https://www.autoritedelaconcurrence.fr/fr/decision-de-controle-des-concentrations/relative-la-prise-de-controle-exclusif-de-la-societe-vezere" TargetMode="External"/><Relationship Id="rIdufg5mies7hf_-mds152nn" Type="http://schemas.openxmlformats.org/officeDocument/2006/relationships/hyperlink" Target="https://www.autoritedelaconcurrence.fr/fr/decision-de-controle-des-concentrations/relative-la-prise-de-controle-exclusif-de-la-societe-vezere" TargetMode="External"/><Relationship Id="rIdwckhxywmlfyhlwcpg6hm3" Type="http://schemas.openxmlformats.org/officeDocument/2006/relationships/hyperlink" Target="https://www.autoritedelaconcurrence.fr/fr/decision-de-controle-des-concentrations/relative-la-prise-de-controle-exclusif-de-la-societe-vezere" TargetMode="External"/><Relationship Id="rIdz5xtfwlydgdcoxdat-ctg" Type="http://schemas.openxmlformats.org/officeDocument/2006/relationships/hyperlink" Target="https://www.autoritedelaconcurrence.fr/fr/decision-de-controle-des-concentrations/relative-la-prise-de-controle-exclusif-de-la-societe-vezere" TargetMode="External"/><Relationship Id="rIdbbdnfrh2xvtubeavp_jsr" Type="http://schemas.openxmlformats.org/officeDocument/2006/relationships/hyperlink" Target="https://www.autoritedelaconcurrence.fr/fr/decision-de-controle-des-concentrations/relative-la-prise-de-controle-exclusif-de-la-societe-vezere" TargetMode="External"/><Relationship Id="rIdrm3yhlb8mfbxiqsjjgstg" Type="http://schemas.openxmlformats.org/officeDocument/2006/relationships/hyperlink" Target="https://www.autoritedelaconcurrence.fr/fr/decision-de-controle-des-concentrations/relative-la-prise-de-controle-exclusif-de-la-societe-vezere" TargetMode="External"/><Relationship Id="rId-i8wgppave6hjbkzdxgsl" Type="http://schemas.openxmlformats.org/officeDocument/2006/relationships/hyperlink" Target="https://www.autoritedelaconcurrence.fr/fr/decision-de-controle-des-concentrations/relative-la-prise-de-controle-exclusif-de-la-societe-vezere" TargetMode="External"/><Relationship Id="rIdqstlnaje_w4xvjankwx6r" Type="http://schemas.openxmlformats.org/officeDocument/2006/relationships/hyperlink" Target="https://www.autoritedelaconcurrence.fr/fr/decision-de-controle-des-concentrations/relative-la-prise-de-controle-exclusif-de-la-societe-vezere" TargetMode="External"/><Relationship Id="rId07npou08wgusjyvs0kxsi" Type="http://schemas.openxmlformats.org/officeDocument/2006/relationships/hyperlink" Target="https://www.autoritedelaconcurrence.fr/fr/decision-de-controle-des-concentrations/relative-la-prise-de-controle-exclusif-de-la-societe-vezere" TargetMode="External"/><Relationship Id="rIdrqwjacaxcxu6l5gd7e6g5" Type="http://schemas.openxmlformats.org/officeDocument/2006/relationships/hyperlink" Target="https://www.autoritedelaconcurrence.fr/fr/decision-de-controle-des-concentrations/relative-la-prise-de-controle-exclusif-de-la-societe-vezere" TargetMode="External"/><Relationship Id="rIdpphxmqvgx4ua81s-6uxa2" Type="http://schemas.openxmlformats.org/officeDocument/2006/relationships/hyperlink" Target="https://www.autoritedelaconcurrence.fr/fr/decision-de-controle-des-concentrations/relative-la-prise-de-controle-exclusif-de-la-societe-vezere" TargetMode="External"/><Relationship Id="rIdyv8c3ehnzgfevqnkahx3c" Type="http://schemas.openxmlformats.org/officeDocument/2006/relationships/hyperlink" Target="https://www.autoritedelaconcurrence.fr/fr/decision-de-controle-des-concentrations/relative-la-prise-de-controle-conjoint-de-la-societe-vpm" TargetMode="External"/><Relationship Id="rIdz2o-pgei-g009mzsvjrdq" Type="http://schemas.openxmlformats.org/officeDocument/2006/relationships/hyperlink" Target="https://www.autoritedelaconcurrence.fr/fr/decision-de-controle-des-concentrations/relative-la-prise-de-controle-exclusif-de-la-societe-la-4" TargetMode="External"/><Relationship Id="rIdhfpbqjrkjwmpkop-zuqdw" Type="http://schemas.openxmlformats.org/officeDocument/2006/relationships/hyperlink" Target="https://www.autoritedelaconcurrence.fr/fr/decision-de-controle-des-concentrations/relative-la-prise-de-controle-exclusif-de-cinq-fonds-de-4" TargetMode="External"/><Relationship Id="rIdudrrf4gsgvy4qajtgf0iu" Type="http://schemas.openxmlformats.org/officeDocument/2006/relationships/hyperlink" Target="https://www.autoritedelaconcurrence.fr/fr/decision-de-controle-des-concentrations/relative-la-prise-de-controle-exclusif-de-trois-fonds-de-8" TargetMode="External"/><Relationship Id="rIdz8fr89oc58caqkur4ljdc" Type="http://schemas.openxmlformats.org/officeDocument/2006/relationships/hyperlink" Target="https://www.autoritedelaconcurrence.fr/fr/decision-de-controle-des-concentrations/relative-la-prise-de-controle-exclusif-de-la-societe-vezere" TargetMode="External"/><Relationship Id="rId1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2026-09-02T11:17:17.948Z</dcterms:created>
  <dcterms:modified xsi:type="dcterms:W3CDTF">2026-09-02T11:17:17.957Z</dcterms:modified>
</cp:coreProperties>
</file>

<file path=docProps/custom.xml><?xml version="1.0" encoding="utf-8"?>
<Properties xmlns="http://schemas.openxmlformats.org/officeDocument/2006/custom-properties" xmlns:vt="http://schemas.openxmlformats.org/officeDocument/2006/docPropsVTypes"/>
</file>