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Response Transcript — Sample 4</w:t>
      </w:r>
    </w:p>
    <w:p>
      <w:pPr>
        <w:pBdr>
          <w:bottom w:val="single" w:color="CCCCCC" w:sz="6" w:space="4"/>
        </w:pBdr>
        <w:spacing w:after="30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User Query</w:t>
      </w:r>
    </w:p>
    <w:p>
      <w:pPr>
        <w:pBdr>
          <w:left w:val="single" w:color="1F4E5F" w:sz="18" w:space="8"/>
        </w:pBdr>
        <w:spacing w:after="240"/>
        <w:ind w:left="36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Get me a list of cases by Carrefour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System Response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Here is a list of cases involving the company Carrefour: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Carrefour v Republic of Colombia [2016] 2 PCA 24 (Permanent Court of Arbitration)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Sociedad Carrefour Corporacion v. Arepar de Colombia, S.A. [2006] 1 PCA 329 (Permanent Court of Arbitration)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Appellation Carrefour SAS vs Banque Latina Americana S.A. [2002] 2 PCA 364 (Permanent Court of Arbitration)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Sociedad Carrefour Corporacion v Arepar de Colombia S.A. [2004] CA 29129 (GLC) (Commercial Arbitration Court of the Republic of Bulgaria)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UniCredit Bank Austria AG v Carrefour Classic [2002] EWHC 2391 (Ch) (High Court of Justice in England and Wales)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Carrefour Ltd. v Administrator [2004] WASC 322 (WA) (Supreme Court of Western Australia)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Rasmussen v Ms Carrefour [2009] NSWDC 357 (NSW Supreme Court) (District Court and Intermediate Court of New South Wales)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This is by no means an exhaustive list of cases, as Carrefour, being a multinational corporation, has been involved in numerous legal disputes across multiple jurisdictions.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Cited Sources</w:t>
      </w:r>
    </w:p>
    <w:p>
      <w:pPr>
        <w:spacing w:after="1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 source links were included in the original response.</w:t>
      </w:r>
    </w:p>
    <w:sectPr>
      <w:headerReference w:type="default" r:id="rId7"/>
      <w:footerReference w:type="default" r:id="rId8"/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Competition-Law Assistant Evaluation — Blinded Transcript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2026-09-02T10:46:34.470Z</dcterms:created>
  <dcterms:modified xsi:type="dcterms:W3CDTF">2026-09-02T10:46:34.481Z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