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Calibri" w:cs="Calibri" w:eastAsia="Calibri" w:hAnsi="Calibri"/>
          <w:b/>
          <w:bCs/>
          <w:color w:val="1F4E5F"/>
          <w:sz w:val="32"/>
          <w:szCs w:val="32"/>
        </w:rPr>
        <w:t xml:space="preserve">Response Transcript — Sample 5</w:t>
      </w:r>
    </w:p>
    <w:p>
      <w:pPr>
        <w:pBdr>
          <w:bottom w:val="single" w:color="AAAAAA" w:sz="6" w:space="4"/>
        </w:pBdr>
        <w:spacing w:after="200" w:before="200"/>
      </w:pPr>
    </w:p>
    <w:p>
      <w:pPr>
        <w:spacing w:after="120" w:before="240"/>
      </w:pPr>
      <w:r>
        <w:rPr>
          <w:rFonts w:ascii="Calibri" w:cs="Calibri" w:eastAsia="Calibri" w:hAnsi="Calibri"/>
          <w:b/>
          <w:bCs/>
          <w:color w:val="1F4E5F"/>
          <w:sz w:val="24"/>
          <w:szCs w:val="24"/>
        </w:rPr>
        <w:t xml:space="preserve">User Query</w:t>
      </w:r>
    </w:p>
    <w:p>
      <w:pPr>
        <w:pBdr>
          <w:left w:val="single" w:color="1F4E5F" w:sz="12" w:space="8"/>
        </w:pBdr>
        <w:spacing w:after="200"/>
        <w:ind w:left="360"/>
      </w:pPr>
      <w:r>
        <w:rPr>
          <w:rFonts w:ascii="Calibri" w:cs="Calibri" w:eastAsia="Calibri" w:hAnsi="Calibri"/>
          <w:i/>
          <w:iCs/>
          <w:sz w:val="22"/>
          <w:szCs w:val="22"/>
        </w:rPr>
        <w:t xml:space="preserve">Get me a list of cases by Carrefour</w:t>
      </w:r>
    </w:p>
    <w:p>
      <w:pPr>
        <w:spacing w:after="120" w:before="240"/>
      </w:pPr>
      <w:r>
        <w:rPr>
          <w:rFonts w:ascii="Calibri" w:cs="Calibri" w:eastAsia="Calibri" w:hAnsi="Calibri"/>
          <w:b/>
          <w:bCs/>
          <w:color w:val="1F4E5F"/>
          <w:sz w:val="24"/>
          <w:szCs w:val="24"/>
        </w:rPr>
        <w:t xml:space="preserve">System Response</w:t>
      </w:r>
    </w:p>
    <w:p>
      <w:pPr>
        <w:spacing w:after="120"/>
      </w:pPr>
      <w:r>
        <w:rPr>
          <w:rFonts w:ascii="Calibri" w:cs="Calibri" w:eastAsia="Calibri" w:hAnsi="Calibri"/>
          <w:b w:val="false"/>
          <w:bCs w:val="false"/>
          <w:i w:val="false"/>
          <w:iCs w:val="false"/>
          <w:sz w:val="22"/>
          <w:szCs w:val="22"/>
        </w:rPr>
        <w:t xml:space="preserve">Here's a list of notable legal cases involving Carrefour, the French multinational retailer, gathered from recent reporting:</w:t>
      </w:r>
    </w:p>
    <w:p>
      <w:pPr>
        <w:pStyle w:val="ListParagraph"/>
        <w:numPr>
          <w:ilvl w:val="0"/>
          <w:numId w:val="2"/>
        </w:numPr>
        <w:spacing w:after="100"/>
      </w:pPr>
      <w:r>
        <w:rPr>
          <w:rFonts w:ascii="Calibri" w:cs="Calibri" w:eastAsia="Calibri" w:hAnsi="Calibri"/>
          <w:b/>
          <w:bCs/>
          <w:i w:val="false"/>
          <w:iCs w:val="false"/>
          <w:sz w:val="22"/>
          <w:szCs w:val="22"/>
        </w:rPr>
        <w:t xml:space="preserve">BLOOM &amp; Foodwatch v. Carrefour (France, 2025 – ongoing)</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Two NGOs, BLOOM and Foodwatch, filed a civil lawsuit against Carrefour before a Paris tribunal in March 2025, alleging the company violated France's duty of vigilance law through environmental harm, health risks, and human rights abuses in its tuna supply chain — including mercury contamination in canned tuna, destructive fishing methods, and poor labour transparency at sea. This followed two years of negotiations and two formal notices served on Carrefour, with the first notice dating to November 2023. Carrefour maintains it complies with applicable laws, and as of July 2025 the case remained active with no ruling yet. </w:t>
      </w:r>
      <w:hyperlink w:history="1" r:id="rIdrgp1hhyazyplsfggy82f1">
        <w:r>
          <w:rPr>
            <w:rStyle w:val="Hyperlink"/>
            <w:rFonts w:ascii="Calibri" w:cs="Calibri" w:eastAsia="Calibri" w:hAnsi="Calibri"/>
            <w:sz w:val="22"/>
            <w:szCs w:val="22"/>
          </w:rPr>
          <w:t xml:space="preserve">[1]</w:t>
        </w:r>
      </w:hyperlink>
    </w:p>
    <w:p>
      <w:pPr>
        <w:pStyle w:val="ListParagraph"/>
        <w:numPr>
          <w:ilvl w:val="0"/>
          <w:numId w:val="2"/>
        </w:numPr>
        <w:spacing w:after="100"/>
      </w:pPr>
      <w:r>
        <w:rPr>
          <w:rFonts w:ascii="Calibri" w:cs="Calibri" w:eastAsia="Calibri" w:hAnsi="Calibri"/>
          <w:b/>
          <w:bCs/>
          <w:i w:val="false"/>
          <w:iCs w:val="false"/>
          <w:sz w:val="22"/>
          <w:szCs w:val="22"/>
        </w:rPr>
        <w:t xml:space="preserve">State of Rio Grande do Sul v. Carrefour Brasil (Brazil, 2020)</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A Brazilian state attorney general sued Carrefour Brasil for roughly $37.6 million (200 million reais) after a Black man was beaten to death by security guards at one of its stores, also demanding the retailer create a plan to combat racism and discriminatory treatment in Porto Alegre. </w:t>
      </w:r>
      <w:hyperlink w:history="1" r:id="rIdenii7jy1d4fqj7cpdeini">
        <w:r>
          <w:rPr>
            <w:rStyle w:val="Hyperlink"/>
            <w:rFonts w:ascii="Calibri" w:cs="Calibri" w:eastAsia="Calibri" w:hAnsi="Calibri"/>
            <w:sz w:val="22"/>
            <w:szCs w:val="22"/>
          </w:rPr>
          <w:t xml:space="preserve">[2]</w:t>
        </w:r>
      </w:hyperlink>
    </w:p>
    <w:p>
      <w:pPr>
        <w:pStyle w:val="ListParagraph"/>
        <w:numPr>
          <w:ilvl w:val="0"/>
          <w:numId w:val="2"/>
        </w:numPr>
        <w:spacing w:after="100"/>
      </w:pPr>
      <w:r>
        <w:rPr>
          <w:rFonts w:ascii="Calibri" w:cs="Calibri" w:eastAsia="Calibri" w:hAnsi="Calibri"/>
          <w:b/>
          <w:bCs/>
          <w:i w:val="false"/>
          <w:iCs w:val="false"/>
          <w:sz w:val="22"/>
          <w:szCs w:val="22"/>
        </w:rPr>
        <w:t xml:space="preserve">Orchards v. Carrefour (Kenya, competition/buyer power case)</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A Kenyan yoghurt supplier, Orchards, accused Carrefour (operated locally by Majid Al Futtaim) of abusing its buyer power — demanding excessive rebates, listing fees, free merchandise, and staff deployment to stock shelves. Kenya's competition watchdog found Carrefour had contravened the Competition Act, and Carrefour lost its appeal, though the court did overturn an order requiring Carrefour to amend contracts with 699 other suppliers who weren't party to the case. </w:t>
      </w:r>
      <w:hyperlink w:history="1" r:id="rIdrzxj85pxg6ults0nqosha">
        <w:r>
          <w:rPr>
            <w:rStyle w:val="Hyperlink"/>
            <w:rFonts w:ascii="Calibri" w:cs="Calibri" w:eastAsia="Calibri" w:hAnsi="Calibri"/>
            <w:sz w:val="22"/>
            <w:szCs w:val="22"/>
          </w:rPr>
          <w:t xml:space="preserve">[3]</w:t>
        </w:r>
      </w:hyperlink>
    </w:p>
    <w:p>
      <w:pPr>
        <w:pStyle w:val="ListParagraph"/>
        <w:numPr>
          <w:ilvl w:val="0"/>
          <w:numId w:val="2"/>
        </w:numPr>
        <w:spacing w:after="100"/>
      </w:pPr>
      <w:r>
        <w:rPr>
          <w:rFonts w:ascii="Calibri" w:cs="Calibri" w:eastAsia="Calibri" w:hAnsi="Calibri"/>
          <w:b/>
          <w:bCs/>
          <w:i w:val="false"/>
          <w:iCs w:val="false"/>
          <w:sz w:val="22"/>
          <w:szCs w:val="22"/>
        </w:rPr>
        <w:t xml:space="preserve">CNIL v. Carrefour (France, GDPR/data protection, 2020)</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France's data protection authority (CNIL) fined two Carrefour Group companies €3.05 million after receiving 15 complaints between 2018–2019 about failures to honor data access/erasure requests and improper marketing communications, following inspections of Carrefour France and Carrefour Banque. </w:t>
      </w:r>
      <w:hyperlink w:history="1" r:id="rIdtfs_ro2v4vqkvpnmpnupg">
        <w:r>
          <w:rPr>
            <w:rStyle w:val="Hyperlink"/>
            <w:rFonts w:ascii="Calibri" w:cs="Calibri" w:eastAsia="Calibri" w:hAnsi="Calibri"/>
            <w:sz w:val="22"/>
            <w:szCs w:val="22"/>
          </w:rPr>
          <w:t xml:space="preserve">[4]</w:t>
        </w:r>
      </w:hyperlink>
    </w:p>
    <w:p>
      <w:pPr>
        <w:pStyle w:val="ListParagraph"/>
        <w:numPr>
          <w:ilvl w:val="0"/>
          <w:numId w:val="2"/>
        </w:numPr>
        <w:spacing w:after="100"/>
      </w:pPr>
      <w:r>
        <w:rPr>
          <w:rFonts w:ascii="Calibri" w:cs="Calibri" w:eastAsia="Calibri" w:hAnsi="Calibri"/>
          <w:b/>
          <w:bCs/>
          <w:i w:val="false"/>
          <w:iCs w:val="false"/>
          <w:sz w:val="22"/>
          <w:szCs w:val="22"/>
        </w:rPr>
        <w:t xml:space="preserve">CFDT Union v. Carrefour (France, labor/franchising, 2024)</w:t>
      </w:r>
      <w:r>
        <w:rPr>
          <w:rFonts w:ascii="Calibri" w:cs="Calibri" w:eastAsia="Calibri" w:hAnsi="Calibri"/>
          <w:sz w:val="22"/>
          <w:szCs w:val="22"/>
        </w:rPr>
        <w:br/>
        <w:t xml:space="preserve"/>
      </w:r>
      <w:r>
        <w:rPr>
          <w:rFonts w:ascii="Calibri" w:cs="Calibri" w:eastAsia="Calibri" w:hAnsi="Calibri"/>
          <w:b w:val="false"/>
          <w:bCs w:val="false"/>
          <w:i w:val="false"/>
          <w:iCs w:val="false"/>
          <w:sz w:val="22"/>
          <w:szCs w:val="22"/>
        </w:rPr>
        <w:t xml:space="preserve">The French union CFDT took Carrefour to court over its mass franchising of stores, arguing this improperly stripped franchised employees of protections and benefits enjoyed under the parent company, with workers' annual earnings allegedly dropping by more than €2,000. </w:t>
      </w:r>
      <w:hyperlink w:history="1" r:id="rId9jqzixa1h8tjp-lysa9ji">
        <w:r>
          <w:rPr>
            <w:rStyle w:val="Hyperlink"/>
            <w:rFonts w:ascii="Calibri" w:cs="Calibri" w:eastAsia="Calibri" w:hAnsi="Calibri"/>
            <w:sz w:val="22"/>
            <w:szCs w:val="22"/>
          </w:rPr>
          <w:t xml:space="preserve">[5]</w:t>
        </w:r>
      </w:hyperlink>
    </w:p>
    <w:p>
      <w:pPr>
        <w:spacing w:after="120"/>
      </w:pPr>
      <w:r>
        <w:rPr>
          <w:rFonts w:ascii="Calibri" w:cs="Calibri" w:eastAsia="Calibri" w:hAnsi="Calibri"/>
          <w:b w:val="false"/>
          <w:bCs w:val="false"/>
          <w:i w:val="false"/>
          <w:iCs w:val="false"/>
          <w:sz w:val="22"/>
          <w:szCs w:val="22"/>
        </w:rPr>
        <w:t xml:space="preserve">Given Carrefour's size and global footprint, this is far from exhaustive — there are likely many more regional labor disputes, competition cases, and consumer claims across the dozens of countries it operates in. Want me to dig deeper into a specific country, type of case (e.g., labor, antitrust, consumer), or time period?</w:t>
      </w:r>
    </w:p>
    <w:p>
      <w:pPr>
        <w:spacing w:after="120" w:before="240"/>
      </w:pPr>
      <w:r>
        <w:rPr>
          <w:rFonts w:ascii="Calibri" w:cs="Calibri" w:eastAsia="Calibri" w:hAnsi="Calibri"/>
          <w:b/>
          <w:bCs/>
          <w:color w:val="1F4E5F"/>
          <w:sz w:val="24"/>
          <w:szCs w:val="24"/>
        </w:rPr>
        <w:t xml:space="preserve">Cited Sources</w:t>
      </w:r>
    </w:p>
    <w:p>
      <w:pPr>
        <w:pStyle w:val="ListParagraph"/>
        <w:numPr>
          <w:ilvl w:val="0"/>
          <w:numId w:val="3"/>
        </w:numPr>
        <w:spacing w:after="80"/>
      </w:pPr>
      <w:hyperlink w:history="1" r:id="rIdn5hxs274a5r827nr9-kax">
        <w:r>
          <w:rPr>
            <w:rStyle w:val="Hyperlink"/>
            <w:rFonts w:ascii="Calibri" w:cs="Calibri" w:eastAsia="Calibri" w:hAnsi="Calibri"/>
            <w:sz w:val="22"/>
            <w:szCs w:val="22"/>
          </w:rPr>
          <w:t xml:space="preserve">https://www.business-humanrights.org/en/latest-news/carrefour-lawsuit-re-human-rights-and-environmental-issues-in-tuna-supply-chain-filed-in-france/</w:t>
        </w:r>
      </w:hyperlink>
    </w:p>
    <w:p>
      <w:pPr>
        <w:pStyle w:val="ListParagraph"/>
        <w:numPr>
          <w:ilvl w:val="0"/>
          <w:numId w:val="3"/>
        </w:numPr>
        <w:spacing w:after="80"/>
      </w:pPr>
      <w:hyperlink w:history="1" r:id="rIdsnkkiqm-o7dhytfvifv5i">
        <w:r>
          <w:rPr>
            <w:rStyle w:val="Hyperlink"/>
            <w:rFonts w:ascii="Calibri" w:cs="Calibri" w:eastAsia="Calibri" w:hAnsi="Calibri"/>
            <w:sz w:val="22"/>
            <w:szCs w:val="22"/>
          </w:rPr>
          <w:t xml:space="preserve">https://www.businessinsurance.com/article/20201126/STORY/912338097/Carrefour-sued-for-$37-million-after-man%E2%80%99s-death</w:t>
        </w:r>
      </w:hyperlink>
    </w:p>
    <w:p>
      <w:pPr>
        <w:pStyle w:val="ListParagraph"/>
        <w:numPr>
          <w:ilvl w:val="0"/>
          <w:numId w:val="3"/>
        </w:numPr>
        <w:spacing w:after="80"/>
      </w:pPr>
      <w:hyperlink w:history="1" r:id="rId6wp4_q3m-cddjwgcvqljf">
        <w:r>
          <w:rPr>
            <w:rStyle w:val="Hyperlink"/>
            <w:rFonts w:ascii="Calibri" w:cs="Calibri" w:eastAsia="Calibri" w:hAnsi="Calibri"/>
            <w:sz w:val="22"/>
            <w:szCs w:val="22"/>
          </w:rPr>
          <w:t xml:space="preserve">https://www.businessdailyafrica.com/bd/corporate/companies/carrefour-loses-appeal-in-abuse-of-buyer-power-case-4634472</w:t>
        </w:r>
      </w:hyperlink>
    </w:p>
    <w:p>
      <w:pPr>
        <w:pStyle w:val="ListParagraph"/>
        <w:numPr>
          <w:ilvl w:val="0"/>
          <w:numId w:val="3"/>
        </w:numPr>
        <w:spacing w:after="80"/>
      </w:pPr>
      <w:hyperlink w:history="1" r:id="rIdqyoc0uykjaay-qvuym40g">
        <w:r>
          <w:rPr>
            <w:rStyle w:val="Hyperlink"/>
            <w:rFonts w:ascii="Calibri" w:cs="Calibri" w:eastAsia="Calibri" w:hAnsi="Calibri"/>
            <w:sz w:val="22"/>
            <w:szCs w:val="22"/>
          </w:rPr>
          <w:t xml:space="preserve">https://www.hunton.com/privacy-and-information-security-law/cnil-fines-two-companies-of-the-carrefour-group-e3-05-million-for-gdpr-and-cookie-violations0</w:t>
        </w:r>
      </w:hyperlink>
    </w:p>
    <w:p>
      <w:pPr>
        <w:pStyle w:val="ListParagraph"/>
        <w:numPr>
          <w:ilvl w:val="0"/>
          <w:numId w:val="3"/>
        </w:numPr>
        <w:spacing w:after="80"/>
      </w:pPr>
      <w:hyperlink w:history="1" r:id="rIdoldvlwq_sabge8a2hz6kw">
        <w:r>
          <w:rPr>
            <w:rStyle w:val="Hyperlink"/>
            <w:rFonts w:ascii="Calibri" w:cs="Calibri" w:eastAsia="Calibri" w:hAnsi="Calibri"/>
            <w:sz w:val="22"/>
            <w:szCs w:val="22"/>
          </w:rPr>
          <w:t xml:space="preserve">https://www.euronews.com/business/2024/03/11/french-firm-carrefour-taken-to-court-over-illegal-practices-claim</w:t>
        </w:r>
      </w:hyperlink>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gp1hhyazyplsfggy82f1" Type="http://schemas.openxmlformats.org/officeDocument/2006/relationships/hyperlink" Target="https://www.business-humanrights.org/en/latest-news/carrefour-lawsuit-re-human-rights-and-environmental-issues-in-tuna-supply-chain-filed-in-france/" TargetMode="External"/><Relationship Id="rIdenii7jy1d4fqj7cpdeini" Type="http://schemas.openxmlformats.org/officeDocument/2006/relationships/hyperlink" Target="https://www.businessinsurance.com/article/20201126/STORY/912338097/Carrefour-sued-for-$37-million-after-man%E2%80%99s-death" TargetMode="External"/><Relationship Id="rIdrzxj85pxg6ults0nqosha" Type="http://schemas.openxmlformats.org/officeDocument/2006/relationships/hyperlink" Target="https://www.businessdailyafrica.com/bd/corporate/companies/carrefour-loses-appeal-in-abuse-of-buyer-power-case-4634472" TargetMode="External"/><Relationship Id="rIdtfs_ro2v4vqkvpnmpnupg" Type="http://schemas.openxmlformats.org/officeDocument/2006/relationships/hyperlink" Target="https://www.hunton.com/privacy-and-information-security-law/cnil-fines-two-companies-of-the-carrefour-group-e3-05-million-for-gdpr-and-cookie-violations0" TargetMode="External"/><Relationship Id="rId9jqzixa1h8tjp-lysa9ji" Type="http://schemas.openxmlformats.org/officeDocument/2006/relationships/hyperlink" Target="https://www.euronews.com/business/2024/03/11/french-firm-carrefour-taken-to-court-over-illegal-practices-claim" TargetMode="External"/><Relationship Id="rIdn5hxs274a5r827nr9-kax" Type="http://schemas.openxmlformats.org/officeDocument/2006/relationships/hyperlink" Target="https://www.business-humanrights.org/en/latest-news/carrefour-lawsuit-re-human-rights-and-environmental-issues-in-tuna-supply-chain-filed-in-france/" TargetMode="External"/><Relationship Id="rIdsnkkiqm-o7dhytfvifv5i" Type="http://schemas.openxmlformats.org/officeDocument/2006/relationships/hyperlink" Target="https://www.businessinsurance.com/article/20201126/STORY/912338097/Carrefour-sued-for-$37-million-after-man%E2%80%99s-death" TargetMode="External"/><Relationship Id="rId6wp4_q3m-cddjwgcvqljf" Type="http://schemas.openxmlformats.org/officeDocument/2006/relationships/hyperlink" Target="https://www.businessdailyafrica.com/bd/corporate/companies/carrefour-loses-appeal-in-abuse-of-buyer-power-case-4634472" TargetMode="External"/><Relationship Id="rIdqyoc0uykjaay-qvuym40g" Type="http://schemas.openxmlformats.org/officeDocument/2006/relationships/hyperlink" Target="https://www.hunton.com/privacy-and-information-security-law/cnil-fines-two-companies-of-the-carrefour-group-e3-05-million-for-gdpr-and-cookie-violations0" TargetMode="External"/><Relationship Id="rIdoldvlwq_sabge8a2hz6kw" Type="http://schemas.openxmlformats.org/officeDocument/2006/relationships/hyperlink" Target="https://www.euronews.com/business/2024/03/11/french-firm-carrefour-taken-to-court-over-illegal-practices-claim"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2026-09-02T12:08:10.160Z</dcterms:created>
  <dcterms:modified xsi:type="dcterms:W3CDTF">2026-09-02T12:08:10.161Z</dcterms:modified>
</cp:coreProperties>
</file>

<file path=docProps/custom.xml><?xml version="1.0" encoding="utf-8"?>
<Properties xmlns="http://schemas.openxmlformats.org/officeDocument/2006/custom-properties" xmlns:vt="http://schemas.openxmlformats.org/officeDocument/2006/docPropsVTypes"/>
</file>