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5F"/>
          <w:sz w:val="36"/>
          <w:szCs w:val="36"/>
        </w:rPr>
        <w:t xml:space="preserve">Response Transcript — Sample 1</w:t>
      </w:r>
    </w:p>
    <w:p>
      <w:pPr>
        <w:pBdr>
          <w:bottom w:val="single" w:color="1F4E5F" w:sz="8" w:space="1"/>
        </w:pBdr>
        <w:spacing w:after="300"/>
      </w:pPr>
    </w:p>
    <w:p>
      <w:pPr>
        <w:spacing w:after="120" w:before="200"/>
      </w:pPr>
      <w:r>
        <w:rPr>
          <w:rFonts w:ascii="Calibri" w:cs="Calibri" w:eastAsia="Calibri" w:hAnsi="Calibri"/>
          <w:b/>
          <w:bCs/>
          <w:color w:val="1F4E5F"/>
          <w:sz w:val="24"/>
          <w:szCs w:val="24"/>
        </w:rPr>
        <w:t xml:space="preserve">User Query</w:t>
      </w:r>
    </w:p>
    <w:p>
      <w:pPr>
        <w:pBdr>
          <w:left w:val="single" w:color="1F4E5F" w:sz="12" w:space="8"/>
        </w:pBdr>
        <w:spacing w:after="240"/>
        <w:ind w:left="431"/>
      </w:pPr>
      <w:r>
        <w:rPr>
          <w:rFonts w:ascii="Calibri" w:cs="Calibri" w:eastAsia="Calibri" w:hAnsi="Calibri"/>
          <w:i/>
          <w:iCs/>
          <w:sz w:val="22"/>
          <w:szCs w:val="22"/>
        </w:rPr>
        <w:t xml:space="preserve">Get me Spanish abuse of dominance cases</w:t>
      </w:r>
    </w:p>
    <w:p>
      <w:pPr>
        <w:spacing w:after="120" w:before="200"/>
      </w:pPr>
      <w:r>
        <w:rPr>
          <w:rFonts w:ascii="Calibri" w:cs="Calibri" w:eastAsia="Calibri" w:hAnsi="Calibri"/>
          <w:b/>
          <w:bCs/>
          <w:color w:val="1F4E5F"/>
          <w:sz w:val="24"/>
          <w:szCs w:val="24"/>
        </w:rPr>
        <w:t xml:space="preserve">System Response</w:t>
      </w:r>
    </w:p>
    <w:p>
      <w:pPr>
        <w:spacing w:after="160"/>
      </w:pPr>
      <w:r>
        <w:rPr>
          <w:rFonts w:ascii="Calibri" w:cs="Calibri" w:eastAsia="Calibri" w:hAnsi="Calibri"/>
          <w:b w:val="false"/>
          <w:bCs w:val="false"/>
          <w:i w:val="false"/>
          <w:iCs w:val="false"/>
          <w:sz w:val="22"/>
          <w:szCs w:val="22"/>
        </w:rPr>
        <w:t xml:space="preserve">Abuse of dominance, also known as monopoly abuse or exclusionary conduct, refers to a situation where a company with a dominant market position uses its power to restrict competition or stifle innovation. In the context of European Union law, abuse of dominance is prohibited under Article 102 TFEU.</w:t>
      </w:r>
    </w:p>
    <w:p>
      <w:pPr>
        <w:spacing w:after="160"/>
      </w:pPr>
      <w:r>
        <w:rPr>
          <w:rFonts w:ascii="Calibri" w:cs="Calibri" w:eastAsia="Calibri" w:hAnsi="Calibri"/>
          <w:b w:val="false"/>
          <w:bCs w:val="false"/>
          <w:i w:val="false"/>
          <w:iCs w:val="false"/>
          <w:sz w:val="22"/>
          <w:szCs w:val="22"/>
        </w:rPr>
        <w:t xml:space="preserve">In Spain, the competition authority responsible for enforcing Article 102 TFEU is the National Markets and Competition Commission (CNMC). The CNMC has investigated and imposed fines on several companies for abuse of dominance in various sectors, including telecommunications, energy, and consumer goods.</w:t>
      </w:r>
    </w:p>
    <w:p>
      <w:pPr>
        <w:spacing w:after="160"/>
      </w:pPr>
      <w:r>
        <w:rPr>
          <w:rFonts w:ascii="Calibri" w:cs="Calibri" w:eastAsia="Calibri" w:hAnsi="Calibri"/>
          <w:b w:val="false"/>
          <w:bCs w:val="false"/>
          <w:i w:val="false"/>
          <w:iCs w:val="false"/>
          <w:sz w:val="22"/>
          <w:szCs w:val="22"/>
        </w:rPr>
        <w:t xml:space="preserve">Here are some examples of Spanish abuse of dominance cases:</w:t>
      </w:r>
    </w:p>
    <w:p>
      <w:pPr>
        <w:pStyle w:val="ListParagraph"/>
        <w:numPr>
          <w:ilvl w:val="0"/>
          <w:numId w:val="1"/>
        </w:numPr>
        <w:spacing w:after="120"/>
      </w:pPr>
      <w:r>
        <w:rPr>
          <w:rFonts w:ascii="Calibri" w:cs="Calibri" w:eastAsia="Calibri" w:hAnsi="Calibri"/>
          <w:b/>
          <w:bCs/>
          <w:sz w:val="22"/>
          <w:szCs w:val="22"/>
        </w:rPr>
        <w:t xml:space="preserve">Telefónica: </w:t>
      </w:r>
      <w:r>
        <w:rPr>
          <w:rFonts w:ascii="Calibri" w:cs="Calibri" w:eastAsia="Calibri" w:hAnsi="Calibri"/>
          <w:sz w:val="22"/>
          <w:szCs w:val="22"/>
        </w:rPr>
        <w:t xml:space="preserve">In 2017, the CNMC imposed a fine of €1.3 million on Telefónica for abusing its dominant position in the telecommunications market by imposing unfair conditions on its competitors. Telefónica had allegedly refused to provide interconnection services to other operators at reasonable prices, thereby hindering competition.</w:t>
      </w:r>
    </w:p>
    <w:p>
      <w:pPr>
        <w:pStyle w:val="ListParagraph"/>
        <w:numPr>
          <w:ilvl w:val="0"/>
          <w:numId w:val="1"/>
        </w:numPr>
        <w:spacing w:after="120"/>
      </w:pPr>
      <w:r>
        <w:rPr>
          <w:rFonts w:ascii="Calibri" w:cs="Calibri" w:eastAsia="Calibri" w:hAnsi="Calibri"/>
          <w:b/>
          <w:bCs/>
          <w:sz w:val="22"/>
          <w:szCs w:val="22"/>
        </w:rPr>
        <w:t xml:space="preserve">Endesa: </w:t>
      </w:r>
      <w:r>
        <w:rPr>
          <w:rFonts w:ascii="Calibri" w:cs="Calibri" w:eastAsia="Calibri" w:hAnsi="Calibri"/>
          <w:sz w:val="22"/>
          <w:szCs w:val="22"/>
        </w:rPr>
        <w:t xml:space="preserve">In 2016, the CNMC imposed a fine of €30 million on Endesa, the largest electricity company in Spain, for abusing its dominant position in the electricity market. Endesa had allegedly engaged in unfair business practices by refusing to provide electricity to customers who had switched to other suppliers, thereby disrupting their service.</w:t>
      </w:r>
    </w:p>
    <w:p>
      <w:pPr>
        <w:pStyle w:val="ListParagraph"/>
        <w:numPr>
          <w:ilvl w:val="0"/>
          <w:numId w:val="1"/>
        </w:numPr>
        <w:spacing w:after="120"/>
      </w:pPr>
      <w:r>
        <w:rPr>
          <w:rFonts w:ascii="Calibri" w:cs="Calibri" w:eastAsia="Calibri" w:hAnsi="Calibri"/>
          <w:b/>
          <w:bCs/>
          <w:sz w:val="22"/>
          <w:szCs w:val="22"/>
        </w:rPr>
        <w:t xml:space="preserve">Repsol: </w:t>
      </w:r>
      <w:r>
        <w:rPr>
          <w:rFonts w:ascii="Calibri" w:cs="Calibri" w:eastAsia="Calibri" w:hAnsi="Calibri"/>
          <w:sz w:val="22"/>
          <w:szCs w:val="22"/>
        </w:rPr>
        <w:t xml:space="preserve">In 2014, the CNMC imposed a fine of €38 million on Repsol, the largest oil company in Spain, for abusing its dominant position in the fuel market. Repsol had allegedly engaged in unfair practices by restricting the distribution of its fuel products to certain retailers, thereby limiting competition.</w:t>
      </w:r>
    </w:p>
    <w:p>
      <w:pPr>
        <w:pStyle w:val="ListParagraph"/>
        <w:numPr>
          <w:ilvl w:val="0"/>
          <w:numId w:val="1"/>
        </w:numPr>
        <w:spacing w:after="120"/>
      </w:pPr>
      <w:r>
        <w:rPr>
          <w:rFonts w:ascii="Calibri" w:cs="Calibri" w:eastAsia="Calibri" w:hAnsi="Calibri"/>
          <w:b/>
          <w:bCs/>
          <w:sz w:val="22"/>
          <w:szCs w:val="22"/>
        </w:rPr>
        <w:t xml:space="preserve">Inditex: </w:t>
      </w:r>
      <w:r>
        <w:rPr>
          <w:rFonts w:ascii="Calibri" w:cs="Calibri" w:eastAsia="Calibri" w:hAnsi="Calibri"/>
          <w:sz w:val="22"/>
          <w:szCs w:val="22"/>
        </w:rPr>
        <w:t xml:space="preserve">In 2013, the CNMC imposed a fine of €2.6 million on Inditex, the owner of Zara and other clothing brands, for abusing its dominant position in the textile market. Inditex had allegedly engaged in unfair practices by refusing to supply its products to certain retailers, thereby limiting competition.</w:t>
      </w:r>
    </w:p>
    <w:p>
      <w:pPr>
        <w:spacing w:after="160"/>
      </w:pPr>
      <w:r>
        <w:rPr>
          <w:rFonts w:ascii="Calibri" w:cs="Calibri" w:eastAsia="Calibri" w:hAnsi="Calibri"/>
          <w:b w:val="false"/>
          <w:bCs w:val="false"/>
          <w:i w:val="false"/>
          <w:iCs w:val="false"/>
          <w:sz w:val="22"/>
          <w:szCs w:val="22"/>
        </w:rPr>
        <w:t xml:space="preserve">These cases demonstrate that the CNMC takes allegations of abuse of dominance seriously and is willing to impose significant fines on companies that engage in exclusionary conduct.</w:t>
      </w:r>
    </w:p>
    <w:p>
      <w:pPr>
        <w:spacing w:after="120" w:before="200"/>
      </w:pPr>
      <w:r>
        <w:rPr>
          <w:rFonts w:ascii="Calibri" w:cs="Calibri" w:eastAsia="Calibri" w:hAnsi="Calibri"/>
          <w:b/>
          <w:bCs/>
          <w:color w:val="1F4E5F"/>
          <w:sz w:val="24"/>
          <w:szCs w:val="24"/>
        </w:rPr>
        <w:t xml:space="preserve">Cited Sources</w:t>
      </w:r>
    </w:p>
    <w:p>
      <w:pPr>
        <w:spacing w:after="120"/>
      </w:pPr>
      <w:r>
        <w:rPr>
          <w:rFonts w:ascii="Calibri" w:cs="Calibri" w:eastAsia="Calibri" w:hAnsi="Calibri"/>
          <w:i/>
          <w:iCs/>
          <w:sz w:val="22"/>
          <w:szCs w:val="22"/>
        </w:rPr>
        <w:t xml:space="preserve">No source links were included in the original response.</w:t>
      </w:r>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2026-09-02T11:42:07.249Z</dcterms:created>
  <dcterms:modified xsi:type="dcterms:W3CDTF">2026-09-02T11:42:07.249Z</dcterms:modified>
</cp:coreProperties>
</file>

<file path=docProps/custom.xml><?xml version="1.0" encoding="utf-8"?>
<Properties xmlns="http://schemas.openxmlformats.org/officeDocument/2006/custom-properties" xmlns:vt="http://schemas.openxmlformats.org/officeDocument/2006/docPropsVTypes"/>
</file>