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2</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Get me Spanish abuse of dominance cases</w:t>
      </w:r>
    </w:p>
    <w:p>
      <w:pPr>
        <w:spacing w:after="120"/>
      </w:pPr>
      <w:r>
        <w:rPr>
          <w:rFonts w:ascii="Calibri" w:cs="Calibri" w:eastAsia="Calibri" w:hAnsi="Calibri"/>
          <w:b/>
          <w:bCs/>
          <w:color w:val="1F4E5F"/>
          <w:sz w:val="22"/>
          <w:szCs w:val="22"/>
        </w:rPr>
        <w:t xml:space="preserve">System Response</w:t>
      </w:r>
    </w:p>
    <w:p>
      <w:pPr>
        <w:spacing w:after="160" w:before="300"/>
      </w:pPr>
      <w:r>
        <w:rPr>
          <w:rFonts w:ascii="Calibri" w:cs="Calibri" w:eastAsia="Calibri" w:hAnsi="Calibri"/>
          <w:b/>
          <w:bCs/>
          <w:color w:val="1F4E5F"/>
          <w:sz w:val="22"/>
          <w:szCs w:val="22"/>
        </w:rPr>
        <w:t xml:space="preserve">S/DC/0502/14 ORONA/EXCELSIOR</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related to certain anticompetitive practices in the market for maintenance and spare parts for elevators. </w:t>
      </w:r>
      <w:hyperlink w:history="1" r:id="rIdxfyip65-jlzzd3_0l15kp">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complaint was filed against the companies ORONA, SOCIEDAD COOPERATIVA, and GUILLERMO FABIAN, S.L. (EXCELSIOR). </w:t>
      </w:r>
      <w:hyperlink w:history="1" r:id="rIdkci0vsg06ki_0x9eckbuu">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year of case initiation was 2013, specifically on September 24. </w:t>
      </w:r>
      <w:hyperlink w:history="1" r:id="rIde-hscnu3at6phska8amba">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violation pertains to the refusal to supply elevator spare parts to companies that exclusively supply spare parts and do not perform maintenance tasks, which is considered a restrictive practice of competition. </w:t>
      </w:r>
      <w:hyperlink w:history="1" r:id="rIdkptlg5ckziqsqmexgthpi">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This conduct was identified as being contrary to Article 2 of Law 15/2007, which governs the Defense of Competition, indicating that the companies engaged in practices that could harm competition by denying access to essential spare parts for competitors in the market. </w:t>
      </w:r>
      <w:hyperlink w:history="1" r:id="rId6rnfd0vkvt7augrhp8qzw">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sz w:val="22"/>
          <w:szCs w:val="22"/>
        </w:rPr>
        <w:t xml:space="preserve">Case Initiation → [CASE_ID]: The case was initiated following a complaint filed by ELEVATOR PARTS, S.L. on September 24, 2013, against ORONA and EXCELSIOR for alleged restrictive competition practices in the elevator spare parts market </w:t>
      </w:r>
      <w:hyperlink w:history="1" r:id="rIdp91j14xr_xy_rfshbc96p">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Directorate of Investigation conducted a reserved inquiry to gather evidence regarding the alleged refusal to supply spare parts. This involved requesting documentation from ELEVATOR PARTS and responses from ORONA and EXCELSIOR about their supply policies </w:t>
      </w:r>
      <w:hyperlink w:history="1" r:id="rIdpo2g7qp8furmausuemlub">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On February 25, 2014, the Directorate of Competition initiated a sanctioning procedure based on reasonable indications of prohibited conduct, specifically the refusal to supply spare parts to certain companies </w:t>
      </w:r>
      <w:hyperlink w:history="1" r:id="rIducaj1ublf9uvxlnr6gxqf">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During this phase, ORONA and EXCELSIOR proposed commitments to resolve the competition issues. ELEVATOR PARTS was given the opportunity to respond to these commitments, which they did, requesting further expansions </w:t>
      </w:r>
      <w:hyperlink w:history="1" r:id="rIdyrwdfxeorror-icmrcook">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Competition Chamber assessed the proposed commitments and determined they were adequate to resolve the competition issues, allowing for a conventional termination of the case without declaring an infringement </w:t>
      </w:r>
      <w:hyperlink w:history="1" r:id="rIddcsf0asc0rqe01jp3ofcb">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Final Resolution: </w:t>
      </w:r>
      <w:r>
        <w:rPr>
          <w:rFonts w:ascii="Calibri" w:cs="Calibri" w:eastAsia="Calibri" w:hAnsi="Calibri"/>
          <w:sz w:val="22"/>
          <w:szCs w:val="22"/>
        </w:rPr>
        <w:t xml:space="preserve">The Competition Chamber deliberated and issued a resolution on October 30, 2014, concluding that the commitments proposed by ORONA and EXCELSIOR were suitable to restore competitive conditions in the market </w:t>
      </w:r>
      <w:hyperlink w:history="1" r:id="rIdzncz58dhqn7uoh8_dgkbp">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was the maintenance and spare parts market for elevators, specifically focusing on the wholesale supply of original elevator spare parts. </w:t>
      </w:r>
      <w:hyperlink w:history="1" r:id="rIdt2uenybwu1vwg2i3ty7fr">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process to define the market involved analyzing the complaint filed by ELEVATOR PARTS, S.L., which highlighted alleged anticompetitive practices by ORONA and EXCELSIOR. </w:t>
      </w:r>
      <w:hyperlink w:history="1" r:id="rIdsvsfw9ku_bcdti53ykijy">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Directorate of Competition (DC) initiated a reserved inquiry to gather evidence and assess the existence of indications of infringement, which included requests for information from both the complainant and the accused parties. </w:t>
      </w:r>
      <w:hyperlink w:history="1" r:id="rIdnjszlgjheizaadrp-tzlc">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Techniques used included requesting documentary proof from ELEVATOR PARTS regarding supply refusals and gathering information from ORONA and EXCELSIOR about their wholesale supply policies and conditions applied to multi-brand distributors. </w:t>
      </w:r>
      <w:hyperlink w:history="1" r:id="rId7ddir08gapooxjumg-mnr">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DC also sought input from other companies in the elevator sector to understand their wholesale supply policies and conditions, which helped in assessing the competitive landscape. </w:t>
      </w:r>
      <w:hyperlink w:history="1" r:id="rIdo5bpx0llq3otdjwoyzo0i">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assessment of the commitments proposed by ORONA and EXCELSIOR was based on whether they adequately resolved the identified competition problems and ensured compliance with fair and non-discriminatory supply conditions. </w:t>
      </w:r>
      <w:hyperlink w:history="1" r:id="rIdpossbxzyg07tfw8igytli">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analysis concluded that the commitments would restore competitive conditions in the market, allowing for effective monitoring and compliance by the involved parties. </w:t>
      </w:r>
      <w:hyperlink w:history="1" r:id="rIdeevgffecnzpxfo0yrvp6b">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Assessment of Competition Problems: </w:t>
      </w:r>
      <w:r>
        <w:rPr>
          <w:rFonts w:ascii="Calibri" w:cs="Calibri" w:eastAsia="Calibri" w:hAnsi="Calibri"/>
          <w:sz w:val="22"/>
          <w:szCs w:val="22"/>
        </w:rPr>
        <w:t xml:space="preserve">The case involved an evaluation of whether the conduct of ORONA and EXCELSIOR constituted a refusal to supply elevator spare parts, which could be contrary to Article 2 of the LDC. This assessment aimed to identify indications of infringement that justified the initiation of a sanctioning procedure. The process included gathering evidence from the complainant, ELEVATOR PARTS, and responses from the accused parties regarding their wholesale supply policies </w:t>
      </w:r>
      <w:hyperlink w:history="1" r:id="rIds-uvdl-nkoh40cvsfhuum">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Proposed Commitments for Conventional Termination: </w:t>
      </w:r>
      <w:r>
        <w:rPr>
          <w:rFonts w:ascii="Calibri" w:cs="Calibri" w:eastAsia="Calibri" w:hAnsi="Calibri"/>
          <w:sz w:val="22"/>
          <w:szCs w:val="22"/>
        </w:rPr>
        <w:t xml:space="preserve">The legal framework allowed for a conventional termination of the sanctioning procedure if the alleged offenders proposed commitments that resolved the competition effects arising from their conduct. The Competition Chamber evaluated whether the commitments proposed by ORONA and EXCELSIOR adequately addressed the identified competition issues and ensured public interest protection </w:t>
      </w:r>
      <w:hyperlink w:history="1" r:id="rIdgu35ykkvdg8f3u72vnqwx">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Monitoring and Compliance Mechanisms: </w:t>
      </w:r>
      <w:r>
        <w:rPr>
          <w:rFonts w:ascii="Calibri" w:cs="Calibri" w:eastAsia="Calibri" w:hAnsi="Calibri"/>
          <w:sz w:val="22"/>
          <w:szCs w:val="22"/>
        </w:rPr>
        <w:t xml:space="preserve">The commitments included provisions for periodic reporting to the Competition Directorate, ensuring compliance with the agreed terms. This monitoring process was crucial for assessing the effectiveness of the commitments in restoring competitive conditions in the market. Non-compliance with these commitments could lead to serious legal repercussions, including fines and further sanctioning procedures </w:t>
      </w:r>
      <w:hyperlink w:history="1" r:id="rIdf1clkbm62r2dukojdxqk5">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Competition Chamber of the CNMC concluded that the proposed commitments by ORONA and EXCELSIOR were suitable and adequate to resolve the competition issues raised by the investigated conduct, specifically regarding the refusal to supply elevator spare parts to companies that do not perform maintenance tasks </w:t>
      </w:r>
      <w:hyperlink w:history="1" r:id="rIdf9veaxltaunite7yzt5h3">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commitments included a provision for ORONA to supply spare parts without requiring customer identification, except in cases where specific identification of the elevator is indispensable </w:t>
      </w:r>
      <w:hyperlink w:history="1" r:id="rId4ioy3g3ctdncz0hzriwvl">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parties committed to communicate to all resellers who had submitted requests for elevator spare parts in the last two years that they would accept orders under fair and non- discriminatory conditions regarding delivery times and prices </w:t>
      </w:r>
      <w:hyperlink w:history="1" r:id="rIdj24hap1bflacy_d6sb-18">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CNMC did not impose any fines or sanctions as the case was resolved through conventional termination, which allows for commitments to replace potential penalties, thus facilitating a quicker resolution without a formal declaration of infringement </w:t>
      </w:r>
      <w:hyperlink w:history="1" r:id="rIdsizowkbrgshxqwzxwcsph">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resolution emphasized the importance of restoring competitive conditions and safeguarding consumer welfare, aligning with the principle of administrative efficiency </w:t>
      </w:r>
      <w:hyperlink w:history="1" r:id="rIdmkomypruuslr3rb09ys42">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commitments proposed by the parties were monitored through semi-annual reports to the CNMC for two years, detailing supplies of elevator spare parts, including requester identification and average supply times </w:t>
      </w:r>
      <w:hyperlink w:history="1" r:id="rIdccfw8ntsednvraym6ztgh">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S/DC/0557/15 NOKIA SOLUTIONS AND NETWORKS SPAIN, S.L.</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NOKIA engaged in prohibited conduct by abusing its dominant position through margin squeezing, which involved imposing excessive and discriminatory wholesale prices for telecommunications network support services. </w:t>
      </w:r>
      <w:hyperlink w:history="1" r:id="rIdfk3qg4v9gtiq9tk20ljkj">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complaint was specifically made against NOKIA, with KAPSCH being the entity that filed the complaint regarding NOKIA's conduct. </w:t>
      </w:r>
      <w:hyperlink w:history="1" r:id="rIdglpkddicg6hvgoinv_nsx">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case was initiated on November 19, 2015, when the Director of Competition agreed to initiate a sanctioning file against NOKIA. </w:t>
      </w:r>
      <w:hyperlink w:history="1" r:id="rIdbcldi2pci4o-phyhvezv4">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violation consists of NOKIA's abuse of its dominant position in the markets for the supply of technical information and spare parts for its GSM-R equipment. This was conducted by applying inequitable and discriminatory prices and unjustifiably refusing to supply essential resources, which prevented competitors from submitting competitive offers. </w:t>
      </w:r>
      <w:hyperlink w:history="1" r:id="rIdehiyftof8mu1tk-lj49xe">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Competition Directorate determined that NOKIA's actions constituted a very serious infringement of competition law, specifically Article 2 of Law 15/2007 and Article 102 of the Treaty on the Functioning of the European Union (TFEU). </w:t>
      </w:r>
      <w:hyperlink w:history="1" r:id="rIdlsu0k9mrlxpnfr4-plqn1">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following a complaint regarding NOKIA's conduct in the bidding process for maintenance services for GSM-R technology. The Competition Directorate began gathering evidence related to the alleged abuse of dominant position by NOKIA </w:t>
      </w:r>
      <w:hyperlink w:history="1" r:id="rId9flxm1xhebxrxht7rciw3">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Competition Directorate conducted a thorough investigation, which included requests for information from both ADIF and NOKIA to clarify aspects of the bidding process and the pricing strategies employed. Evidence was gathered through documentation and correspondence exchanged between the parties involved </w:t>
      </w:r>
      <w:hyperlink w:history="1" r:id="rIdneczsgsfilmli5oo1xugz">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A Statement of Facts was adopted, focusing on the analysis of margin squeezing as a potential violation of competition law. This document outlined the findings and allegations against NOKIA, indicating that the investigation would not pursue additional abusive conducts due to insufficient evidence </w:t>
      </w:r>
      <w:hyperlink w:history="1" r:id="rIdzy8xyvoyyj27-t28wtu6i">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NOKIA submitted written allegations in response to the Statement of Facts, arguing that their pricing was justified due to maximum price limits set by ADIF. The Competition Chamber decided not to hold an oral hearing, indicating that the written submissions were sufficient for their assessment </w:t>
      </w:r>
      <w:hyperlink w:history="1" r:id="rIdcs9t2ugp3jmliuv-vlg2i">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Competition Directorate proposed a resolution to sanction NOKIA for abusing its dominant position through margin squeezing, which was deemed a very serious infringement of competition law. This proposal was communicated to the parties for further allegations </w:t>
      </w:r>
      <w:hyperlink w:history="1" r:id="rId1hgc-7qpzwxgh16bhbftz">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Company Decision: </w:t>
      </w:r>
      <w:r>
        <w:rPr>
          <w:rFonts w:ascii="Calibri" w:cs="Calibri" w:eastAsia="Calibri" w:hAnsi="Calibri"/>
          <w:sz w:val="22"/>
          <w:szCs w:val="22"/>
        </w:rPr>
        <w:t xml:space="preserve">Following the proposed resolution, NOKIA had the option to accept the findings and pay the sanction or to appeal the decision. The timeline for this decision- making process was not specified, but it would follow the standard procedures outlined in EU competition law </w:t>
      </w:r>
      <w:hyperlink w:history="1" r:id="rIdpxyd5fhtcuepyo69hr94s">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involves the maintenance of GSM-R core equipment and GSM-R radio equipment in Spain, which is a significant part of the European Union market. </w:t>
      </w:r>
      <w:hyperlink w:history="1" r:id="rIdyaubxb2slllmfzkxn0vlb">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process to define the market included analyzing the vertical relationship between the wholesale and retail markets, where the same company operates as both supplier and competitor. </w:t>
      </w:r>
      <w:hyperlink w:history="1" r:id="rIdzghmbojsdt7qrefgj5nat">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assessment focused on the existence of two vertically related markets, confirming that to operate in the retail market, access to the wholesale market is necessary. </w:t>
      </w:r>
      <w:hyperlink w:history="1" r:id="rIdckt0qd_gh-s44kxhezwvx">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investigation examined NOKIA's dominant position in the wholesale market for support services, maintenance, and supply of spare parts for GSM-R equipment. </w:t>
      </w:r>
      <w:hyperlink w:history="1" r:id="rIdmhd4pvenq5zw3qoacrizq">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Techniques used included evaluating pricing practices and their effects on competitors, specifically looking for evidence of margin squeezing that could restrict competition. </w:t>
      </w:r>
      <w:hyperlink w:history="1" r:id="rIdrtanw9d7t0q97tgna1jog">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analysis required demonstrating that NOKIA's pricing practices could potentially lead to a competitive disadvantage for other operators, without needing to prove actual exclusion from the market. </w:t>
      </w:r>
      <w:hyperlink w:history="1" r:id="rIdzg0_zj26owhf2ga9cthub">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Competition Directorate proposed to sanction NOKIA based on the findings that its conduct constituted a violation of Articles 2 of the LDC and 102 of the TFEU, focusing on the margin tightening resulting from its pricing strategies. </w:t>
      </w:r>
      <w:hyperlink w:history="1" r:id="rId_b-dkq-hqgo2yfevkthb2">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Abuse of Dominant Position Test: </w:t>
      </w:r>
      <w:r>
        <w:rPr>
          <w:rFonts w:ascii="Calibri" w:cs="Calibri" w:eastAsia="Calibri" w:hAnsi="Calibri"/>
          <w:sz w:val="22"/>
          <w:szCs w:val="22"/>
        </w:rPr>
        <w:t xml:space="preserve">This test assesses whether a company is exploiting its dominant market position in a manner that restricts competition. The legal framework outlines specific behaviors that may constitute abuse, such as imposing unfair prices or limiting production. In this case, the Competition Directorate analyzed NOKIA's conduct to determine if it engaged in margin squeezing, which could potentially restrict competitors' ability to operate profitably in the retail market. This analysis is based on Articles 2 of the LDC and 102 of the TFEU, which prohibit such abusive practices </w:t>
      </w:r>
      <w:hyperlink w:history="1" r:id="rIddqrcburzxo6xf9dpzladw">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Margin Squeeze Test: </w:t>
      </w:r>
      <w:r>
        <w:rPr>
          <w:rFonts w:ascii="Calibri" w:cs="Calibri" w:eastAsia="Calibri" w:hAnsi="Calibri"/>
          <w:sz w:val="22"/>
          <w:szCs w:val="22"/>
        </w:rPr>
        <w:t xml:space="preserve">This economic test evaluates whether the pricing practices of a dominant company lead to a situation where competitors cannot cover their costs when selling in the retail market. The assessment involves comparing the wholesale prices charged by the dominant company with the retail prices that competitors can charge. If the difference does not allow competitors to operate profitably, it indicates a potential margin squeeze. The Competition Directorate focused on this aspect to establish whether NOKIA's pricing practices resulted in insufficient margins for competitors </w:t>
      </w:r>
      <w:hyperlink w:history="1" r:id="rIdhrtubl0vwwbwczen9s5pf">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Potential Effect on Competition Test: </w:t>
      </w:r>
      <w:r>
        <w:rPr>
          <w:rFonts w:ascii="Calibri" w:cs="Calibri" w:eastAsia="Calibri" w:hAnsi="Calibri"/>
          <w:sz w:val="22"/>
          <w:szCs w:val="22"/>
        </w:rPr>
        <w:t xml:space="preserve">This test examines whether the conduct in question has the potential to restrict competition, even if no actual harm has been demonstrated. The legal precedent indicates that it is sufficient to show that the behavior could have an exclusionary effect on competitors. In this case, the Competition Directorate did not need to prove actual market effects but rather that NOKIA's practices were likely to restrict competition in the retail market, which was supported by the analysis of the bidding process and the responses from competitors </w:t>
      </w:r>
      <w:hyperlink w:history="1" r:id="rIdytnkbntbrbj6kzcc5icij">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Competition Directorate proposed to sanction NOKIA for abusing its dominant position through margin squeezing, which constitutes a violation of Article 2 of the LDC and Article 102 of the TFEU </w:t>
      </w:r>
      <w:hyperlink w:history="1" r:id="rIdov-ikjrvfeirkbmb7-cwg">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investigation concluded that NOKIA's conduct involved unjustifiably tightening margins, which potentially excluded KAPSCH, the only competitor capable of providing maintenance services for GSM-R equipment in Spain, from a significant tender by ADIF </w:t>
      </w:r>
      <w:hyperlink w:history="1" r:id="rIdf1lgoypud3vft8-dwkenj">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Competition Directorate classified the infringement as a very serious violation under Article 62.4.b) of the LDC, requesting that a substantial sanction be imposed on NOKIA as per Article 63 of the LDC </w:t>
      </w:r>
      <w:hyperlink w:history="1" r:id="rIdzfdpvtbt6rt5jdycibtvo">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Competition Chamber assessed that NOKIA's actions affected effective competition in the market for GSM-R maintenance services, which is significant for intra-community trade, thus justifying the application of Article 102 TFEU </w:t>
      </w:r>
      <w:hyperlink w:history="1" r:id="rId9mhbmd2-h-snyhrbei-ix">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NOKIA's argument that its pricing was justified due to maximum prices set by ADIF was dismissed, as this did not guarantee that the prices offered were objective or fair </w:t>
      </w:r>
      <w:hyperlink w:history="1" r:id="rIdbvtrtwbjia-f5g5dptlsx">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Competition Chamber did not find NOKIA's compliance program to be a mitigating factor for the sanction, as it was established after the infringement occurred and did not demonstrate a genuine commitment to compliance prior to the violation </w:t>
      </w:r>
      <w:hyperlink w:history="1" r:id="rId49f8108n-_yt2cxvph8-f">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request for an oral hearing by NOKIA was denied by the Competition Chamber, which deemed it unnecessary for the assessment of the case </w:t>
      </w:r>
      <w:hyperlink w:history="1" r:id="rIdmt4fajljecjhmgzd89ng6">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HEALTH MARKET RESEARCH S.L. vs. NATIONAL COMMISSION OF MARKETS AND COMPETITION, Case Number: 664/2017</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IMS HEALTH, S.A. engaged in prohibited conduct consisting of an abuse of dominant position in relation to the activity of supplying sales information to the pharmaceutical industry. </w:t>
      </w:r>
      <w:hyperlink w:history="1" r:id="rIdq6ngypjuusu7ufgjcxosk">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complaint was filed against IMS HEALTH, S.A. and involved other entities such as HEALTH MARKET RESEARCH ESPAÑA, S.L. (HMR), and several pharmaceutical cooperatives. </w:t>
      </w:r>
      <w:hyperlink w:history="1" r:id="rIdjtqypeqbeldixbowz23ck">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case was initiated in the year 2015, specifically on April 27, 2015, when HMR filed the complaint. </w:t>
      </w:r>
      <w:hyperlink w:history="1" r:id="rIdzl0gvypvyormln2z36uqb">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violation pertains to IMS's imposition of prohibitions or significant limitations on pharmaceutical distributors regarding the supply of data to other operators, which aimed to reserve exclusive access to its sales data. This conduct was classified as an abuse of dominant position under Article 2 of the LDC and Article 102 of the TFEU. </w:t>
      </w:r>
      <w:hyperlink w:history="1" r:id="rIdmxmbo0-loa1ebov_ly3ws">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investigation revealed that IMS had implemented clauses that restricted distributors from sharing sales data with competitors, thereby limiting competition and hindering market entry for new players like HMR. </w:t>
      </w:r>
      <w:hyperlink w:history="1" r:id="rIddmaappjx8vy6joghxqwox">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when HEALTH MARKET RESEARCH S.L. filed a complaint against IMS HEALTH, S.A. on April 27, 2015, alleging abuse of dominant position in the market for supplying sales information to the pharmaceutical industry </w:t>
      </w:r>
      <w:hyperlink w:history="1" r:id="rIdjhg_hgs4tlgxng9jhy4kk">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Directorate of Competition (DC) conducted a preliminary inquiry to determine if there were grounds for a sanctioning file. This involved gathering information from various pharmaceutical distributors about their contractual relationships with IMS and the market dynamics </w:t>
      </w:r>
      <w:hyperlink w:history="1" r:id="rIdv-byvwstpqfardr5etfkm">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On September 1, 2016, the DC issued a Statement of Facts charging IMS with an infringement classified as abuse of dominant position under Article 2 of the LDC and Article 102 of the TFEU </w:t>
      </w:r>
      <w:hyperlink w:history="1" r:id="rIdajoh3aszu0dwwtkcex5jh">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IMS submitted written responses to the Statement of Objections, and HMR also provided allegations regarding IMS's commitments. The DC then initiated proceedings for conventional termination, requiring IMS to propose commitments to resolve the competition issues </w:t>
      </w:r>
      <w:hyperlink w:history="1" r:id="rIdjci32pejuyn7alp5lunss">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On July 13, 2017, the Competition Chamber of the CNMC approved the resolution for conventional termination, declaring the commitments proposed by IMS as adequate and binding, which were aimed at resolving the identified competition problems </w:t>
      </w:r>
      <w:hyperlink w:history="1" r:id="rIdcnucf9fyybtvqs_iympin">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Outcome: </w:t>
      </w:r>
      <w:r>
        <w:rPr>
          <w:rFonts w:ascii="Calibri" w:cs="Calibri" w:eastAsia="Calibri" w:hAnsi="Calibri"/>
          <w:sz w:val="22"/>
          <w:szCs w:val="22"/>
        </w:rPr>
        <w:t xml:space="preserve">HEALTH MARKET RESEARCH S.L. appealed the decision, but the appeal was dismissed by the National Court on June 28, 2023, with costs imposed on the appellant, affirming that the commitments were sufficient to address the competition concerns </w:t>
      </w:r>
      <w:hyperlink w:history="1" r:id="rIdhiti5ndqwqwiohzxulmes">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was the supply of sales information to the pharmaceutical industry, specifically focusing on the provision of data by wholesale distributors and pharmacies. </w:t>
      </w:r>
      <w:hyperlink w:history="1" r:id="rId-81a1fgphzhca4b-5f75_">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process to define the market involved an inquiry initiated by the Directorate of Competition (DC) to preliminarily determine the existence of circumstances justifying the initiation of a sanctioning file. </w:t>
      </w:r>
      <w:hyperlink w:history="1" r:id="rIdpbc-m6t8zsnygqkhmtggl">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Information was requested from various stakeholders, including pharmaceutical distributors and cooperatives, to assess their contractual relationships with IMS and the market dynamics. </w:t>
      </w:r>
      <w:hyperlink w:history="1" r:id="rIdc03lh_ixfqmtca1pq7mgp">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DC analyzed the responses from companies regarding their market shares and contractual situations with IMS to understand the competitive landscape. </w:t>
      </w:r>
      <w:hyperlink w:history="1" r:id="rIdpal45ofxy_qui6lbgdnif">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assessment included evaluating the impact of IMS's contractual clauses, such as the "Multiple Supply" clause, which restricted distributors from sharing data with competitors, indicating a potential abuse of dominant position. </w:t>
      </w:r>
      <w:hyperlink w:history="1" r:id="rIdhfzjkvgtlruumdek0cbkd">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DC also considered the historical context of IMS's market share, which was around 90% between 2013 and 2016, compared to HMR's approximate 10% share during the same period. </w:t>
      </w:r>
      <w:hyperlink w:history="1" r:id="rId5gugikwjqjqg8rz2ikt3v">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CNMC concluded that the commitments proposed by IMS were adequate to resolve the identified competition issues, indicating a thorough evaluation of the competitive effects of IMS's practices. </w:t>
      </w:r>
      <w:hyperlink w:history="1" r:id="rId5qsqencm5z4sycilztbjp">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Abuse of Dominant Position Test: </w:t>
      </w:r>
      <w:r>
        <w:rPr>
          <w:rFonts w:ascii="Calibri" w:cs="Calibri" w:eastAsia="Calibri" w:hAnsi="Calibri"/>
          <w:sz w:val="22"/>
          <w:szCs w:val="22"/>
        </w:rPr>
        <w:t xml:space="preserve">This test assesses whether a company is abusing its dominant market position, which can harm competition and consumers. In this case, the Directorate of Competition (DC) charged IMS HEALTH, S.A. with an infringement classified as abuse of dominant position under Article 2 of the LDC and Article 102 of the TFEU. The process involved gathering information from various pharmaceutical distributors and analyzing IMS's contractual practices that restricted data supply to competitors. </w:t>
      </w:r>
      <w:hyperlink w:history="1" r:id="rIdnlw4oxqqxwhrxmgcnqn8l">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Conventional Termination Procedure: </w:t>
      </w:r>
      <w:r>
        <w:rPr>
          <w:rFonts w:ascii="Calibri" w:cs="Calibri" w:eastAsia="Calibri" w:hAnsi="Calibri"/>
          <w:sz w:val="22"/>
          <w:szCs w:val="22"/>
        </w:rPr>
        <w:t xml:space="preserve">This procedure allows for the resolution of competition issues through commitments proposed by the company under investigation. IMS submitted commitments to resolve the competition concerns identified by the DC, which were evaluated for their adequacy and binding nature. The CNMC approved these commitments, determining they were sufficient to address the competition problems without proceeding to sanctions. </w:t>
      </w:r>
      <w:hyperlink w:history="1" r:id="rId4qydd352lfwagrsl3blbf">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Legality Control: </w:t>
      </w:r>
      <w:r>
        <w:rPr>
          <w:rFonts w:ascii="Calibri" w:cs="Calibri" w:eastAsia="Calibri" w:hAnsi="Calibri"/>
          <w:sz w:val="22"/>
          <w:szCs w:val="22"/>
        </w:rPr>
        <w:t xml:space="preserve">This test involves reviewing the legality of the administrative actions taken by the CNMC, ensuring that decisions are well-motivated and justified. The court examined whether the CNMC's decision to terminate the investigation was arbitrary or lacked foundation. The court found that the CNMC's resolution was adequately reasoned and that the commitments offered by IMS effectively addressed the anticompetitive practices identified. </w:t>
      </w:r>
      <w:hyperlink w:history="1" r:id="rIdf5z2xbet_haxu2wx7anfb">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National Court dismissed the contentious-administrative appeal filed by HEALTH MARKET RESEARCH S.L. against the resolution of the Competition Chamber of the CNMC dated November 13, 2017, which concluded the conventional termination procedure initiated at the request of IMS HEALTH, S.A. </w:t>
      </w:r>
      <w:hyperlink w:history="1" r:id="rIdij-pgtpht4xt0c9bb2mfv">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found that the commitments proposed by IMS were adequate and sufficient to resolve the competition issues identified, particularly regarding the price reduction clause and notification obligations imposed on wholesale distributors </w:t>
      </w:r>
      <w:hyperlink w:history="1" r:id="rIdyhbei--qa6elqdokhu7ja">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noted that the restrictive effects of IMS's conduct were only relevant from HMR's entry into the market in 2014, indicating that the alleged anticompetitive practices did not have lasting effects prior to this date </w:t>
      </w:r>
      <w:hyperlink w:history="1" r:id="rIdktmb1dovkr5owphepjglu">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There were no fines imposed on IMS as the resolution concluded that the conventional termination procedure was appropriate and that the commitments offered by IMS effectively addressed the competition concerns </w:t>
      </w:r>
      <w:hyperlink w:history="1" r:id="rIdsmxi3bqdmk5ww9kbfbcye">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emphasized that the monitoring and control system established for compliance with IMS's commitments had not reported any incidents or breaches, further supporting the decision to dismiss the appeal </w:t>
      </w:r>
      <w:hyperlink w:history="1" r:id="rIdbb-qsqhvjivdetsxw6bkb">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plaintiff's request for the CNMC to resume processing the administrative file to investigate the price reduction clause was also denied, as the court upheld the CNMC's decision not to sanction IMS </w:t>
      </w:r>
      <w:hyperlink w:history="1" r:id="rIdrpl5tuujecntotwxkhclb">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C-322/81 ANCCE vs. MELPI</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ANCCE engaged in abusive conduct of a dominant position, executing behaviors detrimental to MELPI and other potential competitors in the PRE promotion market. </w:t>
      </w:r>
      <w:hyperlink w:history="1" r:id="rId4pkkvmlalvbsraaf1l8sx">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company against which the allegation is made is ANCCE, specifically targeting its actions towards MELPI and any related entities. </w:t>
      </w:r>
      <w:hyperlink w:history="1" r:id="rIdeibgv2lwdtpkamdjyoebx">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year of case initiation is not explicitly stated in the provided context; however, references to actions and documents suggest that the investigation began around 2011, with significant events occurring in subsequent years. </w:t>
      </w:r>
      <w:hyperlink w:history="1" r:id="rId-6obcn7p2tkloe8h1jf7b">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violation consists of ANCCE's abuse of its dominant position, which included executing practices aimed at excluding MELPI from the Technical Secretariat services market. This was evidenced by a Circular issued by ANCCE on February 7, 2011, which explicitly stated the objective of excluding MELPI and anyone associated with it from its activities. The conduct was characterized by methods that deviated from fair competition, leading to the exclusion of a competitor through means not expected from a dominant market player. </w:t>
      </w:r>
      <w:hyperlink w:history="1" r:id="rIdtvgobdnaww3x1md8mpwqf">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following a complaint by MELPI against ANCCE regarding alleged anti-competitive practices in the promotion of the PRE and the management of Technical Secretariat services. This initiation involved requests for information from both parties, with specific inquiries about market activities and competition since 2011 </w:t>
      </w:r>
      <w:hyperlink w:history="1" r:id="rIdhhygipqjr5zu92jqnydlp">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investigation phase involved gathering evidence from both ANCCE and MELPI, including documentation from their websites and regulations from previous years. The responses from ANCCE and MELPI were received on June 24 and June 30, 2016, respectively, providing insights into their market activities and the emergence of competitors </w:t>
      </w:r>
      <w:hyperlink w:history="1" r:id="rIdoqyxxnumthlvspjvxdemk">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On November 8, 2016, the Directorate of Competition formulated the Statement of Facts, which outlined the findings of the investigation and was notified to both parties, marking a critical step in formalizing the allegations against ANCCE </w:t>
      </w:r>
      <w:hyperlink w:history="1" r:id="rIdisplxyagswzkakpv9jedj">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ANCCE submitted a written statement of allegations in response to the Statement of Facts on December 19, 2016, and later provided additional allegations regarding the Proposal for Resolution on April 24, 2017. This phase included requests for evidence and clarifications on various points, indicating the complexity of the defense </w:t>
      </w:r>
      <w:hyperlink w:history="1" r:id="rId4pm-suvssuu8viuk6dlaw">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Competition Chamber of the CNMC determined that ANCCE had engaged in anti-competitive practices, leading to a proposed fine based on its turnover. The decision was influenced by the evidence gathered during the investigation, which demonstrated ANCCE's abuse of its dominant position </w:t>
      </w:r>
      <w:hyperlink w:history="1" r:id="rIdju_wuvt55cnxuug1a6yl8">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General Court and CJEU: </w:t>
      </w:r>
      <w:r>
        <w:rPr>
          <w:rFonts w:ascii="Calibri" w:cs="Calibri" w:eastAsia="Calibri" w:hAnsi="Calibri"/>
          <w:sz w:val="22"/>
          <w:szCs w:val="22"/>
        </w:rPr>
        <w:t xml:space="preserve">Should ANCCE choose to appeal the decision, the case would progress to the General Court, where it could take 3-5 years, followed by a potential appeal to the CJEU, which could take an additional 1.5-3 years. The legal review would focus on the adherence to competition law principles rather than the factual findings of the case (not explicitly detailed in the provided pages).</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markets considered in this case include the management of the Spanish Purebred Horse Genealogical Book (LGPRE), the regulation and organization of the Morphological Competitions (CMF), Technical Secretariat services in the CMF, and the promotion of the PRE. </w:t>
      </w:r>
      <w:hyperlink w:history="1" r:id="rId1vejzqz6jur84kezxuyct">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definition of the market required specifying the scope of activity and geography in which ANCCE operates, allowing for the assessment of its dominant position. </w:t>
      </w:r>
      <w:hyperlink w:history="1" r:id="rIdfdxil5ylnbobsialx30so">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determination of ANCCE's dominant position involved analyzing its economic power and independence of behavior, which allows it to act without considering competitors' reactions. </w:t>
      </w:r>
      <w:hyperlink w:history="1" r:id="rIdbqfipfwgvzmfznj1kbl7h">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Market share was considered a starting point, but additional factors such as market structure, number of competitors, barriers to entry, and bargaining power were also evaluated to corroborate the presumption of dominance. </w:t>
      </w:r>
      <w:hyperlink w:history="1" r:id="rIdydi-jnlqertao_d19hum9">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ANCCE was identified as the only officially recognized entity for managing the LGPRE, which provided it with exclusive access to critical data and regulatory authority, reinforcing its dominant position. </w:t>
      </w:r>
      <w:hyperlink w:history="1" r:id="rIdrbbyapup5b9su6esptaoc">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Competition Directorate concluded that ANCCE holds a de facto monopoly in the relevant markets, as it is the sole provider of management and regulatory services for the LGPRE and CMF. </w:t>
      </w:r>
      <w:hyperlink w:history="1" r:id="rId4rw39ztejn50cbtwji-fp">
        <w:r>
          <w:rPr>
            <w:rStyle w:val="Hyperlink"/>
            <w:rFonts w:ascii="Calibri" w:cs="Calibri" w:eastAsia="Calibri" w:hAnsi="Calibri"/>
            <w:sz w:val="22"/>
            <w:szCs w:val="22"/>
          </w:rPr>
          <w:t xml:space="preserve">[4]</w:t>
        </w:r>
      </w:hyperlink>
    </w:p>
    <w:p>
      <w:pPr>
        <w:spacing w:after="160"/>
      </w:pPr>
      <w:r>
        <w:rPr>
          <w:rFonts w:ascii="Calibri" w:cs="Calibri" w:eastAsia="Calibri" w:hAnsi="Calibri"/>
          <w:sz w:val="22"/>
          <w:szCs w:val="22"/>
        </w:rPr>
        <w:t xml:space="preserve">The analysis of ANCCE's conduct included assessing whether its actions prevented the maintenance or development of competition, which is essential for establishing an infringement of competition law. </w:t>
      </w:r>
      <w:hyperlink w:history="1" r:id="rIdcmx0218qavblivuenqncv">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Dominant Position Assessment: </w:t>
      </w:r>
      <w:r>
        <w:rPr>
          <w:rFonts w:ascii="Calibri" w:cs="Calibri" w:eastAsia="Calibri" w:hAnsi="Calibri"/>
          <w:sz w:val="22"/>
          <w:szCs w:val="22"/>
        </w:rPr>
        <w:t xml:space="preserve">The analysis of ANCCE's dominant position involved evaluating its economic power in the relevant markets, specifically the management of the Spanish Purebred Horse Genealogical Book (LGPRE) and the regulation of morphological competitions (CMF). This assessment considered factors such as market share, barriers to entry, and the number of competitors. The conclusion was that ANCCE holds a de facto monopoly in these markets, allowing it to act independently of competitive pressures. This test is crucial for determining whether ANCCE's conduct could be classified as abusive under competition law. </w:t>
      </w:r>
      <w:hyperlink w:history="1" r:id="rIdqu0ho1hdbgym_-s0hs33s">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Abusive Conduct Evaluation: </w:t>
      </w:r>
      <w:r>
        <w:rPr>
          <w:rFonts w:ascii="Calibri" w:cs="Calibri" w:eastAsia="Calibri" w:hAnsi="Calibri"/>
          <w:sz w:val="22"/>
          <w:szCs w:val="22"/>
        </w:rPr>
        <w:t xml:space="preserve">The investigation focused on whether ANCCE's actions constituted an abuse of its dominant position. This involved examining specific behaviors that could restrict competition, such as imposing obligations on Organizing Committees and excluding competitors like MELPI from the market. The legal framework established that it is sufficient to demonstrate that the conduct may have an exclusionary effect, rather than requiring proof of actual harm to competition. This test is essential for establishing liability under Articles 2 of the LDC and 102 of the TFEU. </w:t>
      </w:r>
      <w:hyperlink w:history="1" r:id="rId4vrbfycv0ynk2foqhw4hf">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Single and Continuous Infringement Analysis: </w:t>
      </w:r>
      <w:r>
        <w:rPr>
          <w:rFonts w:ascii="Calibri" w:cs="Calibri" w:eastAsia="Calibri" w:hAnsi="Calibri"/>
          <w:sz w:val="22"/>
          <w:szCs w:val="22"/>
        </w:rPr>
        <w:t xml:space="preserve">The Competition Directorate evaluated whether ANCCE's various actions constituted a single and continuous infringement of competition law. This involved identifying a series of related actions that collectively aimed to distort competition in the relevant markets. The criteria for this assessment included the plurality of actions, the infringement of similar legal provisions, and the execution of a preconceived plan. This test is significant for determining the scope of ANCCE's liability and the severity of the infringement. </w:t>
      </w:r>
      <w:hyperlink w:history="1" r:id="rIde2hmn_nlfizpfv8yxprj-">
        <w:r>
          <w:rPr>
            <w:rStyle w:val="Hyperlink"/>
            <w:rFonts w:ascii="Calibri" w:cs="Calibri" w:eastAsia="Calibri" w:hAnsi="Calibri"/>
            <w:sz w:val="22"/>
            <w:szCs w:val="22"/>
          </w:rPr>
          <w:t xml:space="preserve">[4]</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conclusion reached in this case was that ANCCE engaged in abusive conduct of a dominant position, which restricted competition in the markets for the management of the LGPRE and the regulation and organization of the CMF, as evidenced by arbitrary and discriminatory provisions in the Morphological Competition Regulations from 2011 to 2015 </w:t>
      </w:r>
      <w:hyperlink w:history="1" r:id="rIddweqfprksh6ceyypfnbex">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investigation established that ANCCE's behavior had exclusionary effects, notably preventing MELPI from participating in the Technical Secretariat services market until changes were made to the RCM in 2013 </w:t>
      </w:r>
      <w:hyperlink w:history="1" r:id="rIdjpubja-ajbhcjmrg1aibr">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conduct of ANCCE was classified as a very serious infringement under Article 2 of the LDC and Article 102 of the TFEU, warranting significant penalties due to the continuous nature of the infringement from 2011 to 2017 </w:t>
      </w:r>
      <w:hyperlink w:history="1" r:id="rIdt75flxrv75ania0hkplbg">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total turnover of ANCCE in 2016, the year prior to the imposition of the sanction, was reported as €3,127,951.53, which is relevant for calculating the fine </w:t>
      </w:r>
      <w:hyperlink w:history="1" r:id="rIdjjjh6qqthrnc0elm-upge">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sanction imposed on ANCCE was a fine of up to 10% of its total turnover, reflecting the severity of the infringement and the monopolistic position held by ANCCE in two of the affected markets </w:t>
      </w:r>
      <w:hyperlink w:history="1" r:id="rIdqosyhkje0_bpf0m_7zuxv">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case highlighted that the legal good protected by Competition Law includes the freedom of enterprise within a market economy, emphasizing that the actions taken were to ensure a competitive environment rather than to defend MELPI's private interests </w:t>
      </w:r>
      <w:hyperlink w:history="1" r:id="rId0-jcwwbx8wnln4m1qfzme">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findings indicated that there were no mitigating or aggravating circumstances regarding the infringement, reinforcing the decision to impose a significant fine on ANCCE </w:t>
      </w:r>
      <w:hyperlink w:history="1" r:id="rIdzio8gzugf8eidctveiwlr">
        <w:r>
          <w:rPr>
            <w:rStyle w:val="Hyperlink"/>
            <w:rFonts w:ascii="Calibri" w:cs="Calibri" w:eastAsia="Calibri" w:hAnsi="Calibri"/>
            <w:sz w:val="22"/>
            <w:szCs w:val="22"/>
          </w:rPr>
          <w:t xml:space="preserve">[4]</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Sociedad General de Autores y Editores (SGAE) v. National Commission of Markets and Competition (CNMC), Cassation Appeal No. 899/2021.</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 Sociedad General de Autores y Editores (SGAE) engaged in behaviors constituting abuse of dominant position, which are considered violations of competition law. </w:t>
      </w:r>
      <w:hyperlink w:history="1" r:id="rIdgeymo-iwwlv4kwlde3gud">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allegations were made against the Sociedad General de Autores y Editores (SGAE), as well as in relation to complaints filed by the entities "Audiovisual Copyright Management Entity (DAMA)" and "Ime Licensing Services, S.L. (Unison Rights, S.L.)." </w:t>
      </w:r>
      <w:hyperlink w:history="1" r:id="rIdki7nrc_08antllpgpvnwu">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year of case initiation was 2016, when the complaints were filed before the National Commission of Markets and Competition (CNMC). </w:t>
      </w:r>
      <w:hyperlink w:history="1" r:id="rIdmytjp2pffdmyslpvliggb">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violation pertains to the abuse of dominant position under Articles 2 of the Law on Competition Defense (LDC) and 102 of the Treaty on the Functioning of the European Union (TFEU). This was conducted through the CNMC's investigation, which initially processed the complaints separately but later decided to unify them into a single file due to a direct connection between the reported behaviors. However, the CNMC later separated certain documentation from this unified file to create a new file for further investigation, which raised concerns about the legality of restarting the investigation on the same facts. </w:t>
      </w:r>
      <w:hyperlink w:history="1" r:id="rIdgzvpkfsa07pikcr_tk3jt">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sz w:val="22"/>
          <w:szCs w:val="22"/>
        </w:rPr>
        <w:t xml:space="preserve">Case Initiation → [CASE_ID]: The case began with complaints filed by "Audiovisual Copyright Management Entity (DAMA)" and "Ime Licensing Services, S.L." against the Sociedad General de Autores y Editores (SGAE) in 2016, leading to the initiation of an investigation by the Competition Directorate of the CNMC. </w:t>
      </w:r>
      <w:hyperlink w:history="1" r:id="rId-m03zhueoqpbaqeex4zru">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CNMC processed the complaints separately initially, gathering information through requests directed at SGAE in 2016 and 2017. After analyzing the documentation, the CNMC decided to combine the two investigations into a single file due to a direct connection between the complaints. </w:t>
      </w:r>
      <w:hyperlink w:history="1" r:id="rId-fy42bbxstxgemfxzihlo">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On August 21, 2018, the CNMC issued a Statement of Facts maintaining accusations against SGAE for various behaviors constituting abuse of dominant position, based on the evidence collected during the preliminary investigation. </w:t>
      </w:r>
      <w:hyperlink w:history="1" r:id="rIdepfxbxlm3gwj_r2liu-il">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Following the Statement of Facts, SGAE was expected to prepare its defense, which would include written responses and potentially an oral hearing. However, the CNMC's subsequent decision to separate certain documents from the ongoing investigation into a new file raised concerns about SGAE's ability to adequately defend itself against the accusations. </w:t>
      </w:r>
      <w:hyperlink w:history="1" r:id="rIdcjkfk1q7b2r1ys1z4tvdd">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CNMC's decision on October 15, 2018, to deduce testimony from documents and create a new file for further investigation was contested by SGAE, which argued that this action violated its rights and constituted a restart of the investigation into the same facts. </w:t>
      </w:r>
      <w:hyperlink w:history="1" r:id="rIdko-mvh74j9ex2gyuk0mm-">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General Court (T-xxx/xx): </w:t>
      </w:r>
      <w:r>
        <w:rPr>
          <w:rFonts w:ascii="Calibri" w:cs="Calibri" w:eastAsia="Calibri" w:hAnsi="Calibri"/>
          <w:sz w:val="22"/>
          <w:szCs w:val="22"/>
        </w:rPr>
        <w:t xml:space="preserve">SGAE filed an administrative litigation appeal against the CNMC's decision, which was deemed inadmissible by the court on December 11, 2019, as it was considered a procedural act not subject to challenge. This dismissal led SGAE to argue that the act should be classified as a qualified procedural act due to its implications on their defense rights. </w:t>
      </w:r>
      <w:hyperlink w:history="1" r:id="rIdbgldmocqpajcnx4xcnbvq">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case involved the examination of behaviors constituting abuse of dominant position, specifically under Articles 2 of the Law on Competition Defense and 102 of the Treaty on the Functioning of the European Union (TFEU). </w:t>
      </w:r>
      <w:hyperlink w:history="1" r:id="rIdug6ufsa8sjcu5njdsmxi3">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Competition Directorate initially processed complaints separately but later decided to unify them into a single file, recognizing a "direct connection" between the complaints and the corresponding investigations. </w:t>
      </w:r>
      <w:hyperlink w:history="1" r:id="rIdrww7cy28v2gxdm-usgoht">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process included the accumulation of documentation from two separate complaints into one file, which allowed for a comprehensive analysis of the behaviors alleged against the Sociedad General de Autores y Editores (SGAE). </w:t>
      </w:r>
      <w:hyperlink w:history="1" r:id="rIdnbmyf3e_i88nl_lw-utet">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investigation aimed to determine whether certain behaviors, which had not been included in the initial agreement to initiate the first file, constituted indications of a violation of competition law. </w:t>
      </w:r>
      <w:hyperlink w:history="1" r:id="rIdqbybqfima2er5lfgc3bkh">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Techniques used in the investigation included deducing testimony from documents in the sanctioning file to assess whether new behaviors could constitute an infringement, thereby allowing for a re-evaluation of previously dismissed allegations. </w:t>
      </w:r>
      <w:hyperlink w:history="1" r:id="rIdi2mnvsepjqqpxtikcj-sf">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decision to incorporate documents from one file into another was based on the need to investigate behaviors that were not initially pursued, indicating a procedural approach to defining the market and assessing competition law violations. </w:t>
      </w:r>
      <w:hyperlink w:history="1" r:id="rId5pqb1vagcndshrns5jgpm">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The process emphasized the importance of establishing a triple identity of subject, fact, and grounds to determine if the principle of non bis in idem applied, which would affect the legal proceedings against SGAE. </w:t>
      </w:r>
      <w:hyperlink w:history="1" r:id="rIdbkz3hykixmi1tmkcby6r1">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Triple Identity Test: </w:t>
      </w:r>
      <w:r>
        <w:rPr>
          <w:rFonts w:ascii="Calibri" w:cs="Calibri" w:eastAsia="Calibri" w:hAnsi="Calibri"/>
          <w:sz w:val="22"/>
          <w:szCs w:val="22"/>
        </w:rPr>
        <w:t xml:space="preserve">This test assesses whether there is a concurrence of identity among the subject, facts, and legal grounds in the context of administrative sanctioning law. It determines if the same facts have been pursued in multiple procedures, which would invoke the principle of non bis in idem. In this case, the verification of this triple identity can only occur once the second procedure has been initiated and the relevant facts and infringements are known. This ensures that the accused entity can adequately defend itself against any potential duplicity of sanctions. </w:t>
      </w:r>
      <w:hyperlink w:history="1" r:id="rIdhvbvjzbahd2v4qfzgrgte">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Procedural Act Qualification Test: </w:t>
      </w:r>
      <w:r>
        <w:rPr>
          <w:rFonts w:ascii="Calibri" w:cs="Calibri" w:eastAsia="Calibri" w:hAnsi="Calibri"/>
          <w:sz w:val="22"/>
          <w:szCs w:val="22"/>
        </w:rPr>
        <w:t xml:space="preserve">This test evaluates whether the act of deducing testimony from one file to incorporate it into another can be classified as a "qualified procedural act." The determination hinges on the act's function within the administrative procedure, distinguishing between procedural acts that are preparatory or instrumental and final resolutions that conclude the matter. In this case, the court concluded that the act in question is procedural and instrumental, lacking the characteristics necessary for autonomous appeal. </w:t>
      </w:r>
      <w:hyperlink w:history="1" r:id="rIdqdyc3herbslbh_p910udd">
        <w:r>
          <w:rPr>
            <w:rStyle w:val="Hyperlink"/>
            <w:rFonts w:ascii="Calibri" w:cs="Calibri" w:eastAsia="Calibri" w:hAnsi="Calibri"/>
            <w:sz w:val="22"/>
            <w:szCs w:val="22"/>
          </w:rPr>
          <w:t xml:space="preserve">[5]</w:t>
        </w:r>
      </w:hyperlink>
    </w:p>
    <w:p>
      <w:pPr>
        <w:pStyle w:val="ListParagraph"/>
        <w:numPr>
          <w:ilvl w:val="0"/>
          <w:numId w:val="1"/>
        </w:numPr>
        <w:spacing w:after="120"/>
      </w:pPr>
      <w:r>
        <w:rPr>
          <w:rFonts w:ascii="Calibri" w:cs="Calibri" w:eastAsia="Calibri" w:hAnsi="Calibri"/>
          <w:b/>
          <w:bCs/>
          <w:sz w:val="22"/>
          <w:szCs w:val="22"/>
        </w:rPr>
        <w:t xml:space="preserve">Right to Defense Assessment: </w:t>
      </w:r>
      <w:r>
        <w:rPr>
          <w:rFonts w:ascii="Calibri" w:cs="Calibri" w:eastAsia="Calibri" w:hAnsi="Calibri"/>
          <w:sz w:val="22"/>
          <w:szCs w:val="22"/>
        </w:rPr>
        <w:t xml:space="preserve">This assessment examines whether the actions taken by the Competition Directorate infringe upon the right to defense of the involved parties. It considers if the fragmentation of files and the initiation of parallel investigations impede the ability of the accused to fully understand the accusations against them and to mount an effective defense. The court found that the mere act of deducing testimony does not violate this right, as it does not constitute a formal accusation or prejudice the initiation of a sanctioning procedure. </w:t>
      </w:r>
      <w:hyperlink w:history="1" r:id="rIdzcitve2oxvoljv5awvotf">
        <w:r>
          <w:rPr>
            <w:rStyle w:val="Hyperlink"/>
            <w:rFonts w:ascii="Calibri" w:cs="Calibri" w:eastAsia="Calibri" w:hAnsi="Calibri"/>
            <w:sz w:val="22"/>
            <w:szCs w:val="22"/>
          </w:rPr>
          <w:t xml:space="preserve">[5]</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cassation appeal filed by the Sociedad General de Autores y Editores (SGAE) against the Order of the Administrative Litigation Chamber of the National Court was dismissed, confirming the legality of the administrative agreement made by the Competition Directorate of the CNMC on October 15, 2018 </w:t>
      </w:r>
      <w:hyperlink w:history="1" r:id="rIdrlfwdlnysds6lymtpsaaq">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determined that the act of deducing testimony from documents in a sanctioning file for incorporation into another file is considered a procedural and instrumental act, not qualifying as a "qualified procedural act" for autonomous challenge </w:t>
      </w:r>
      <w:hyperlink w:history="1" r:id="rId3edky2z36gr9msfeqflnk">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principle of non bis in idem, which prohibits double jeopardy, was not violated as the agreement to deduce testimony did not constitute an initiation of a new sanctioning procedure against SGAE, and thus the necessary triple identity of subject, fact, and grounds could not be established at that stage </w:t>
      </w:r>
      <w:hyperlink w:history="1" r:id="rId8v3yzlobsfitcbbzfoqtz">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court emphasized that the alleged defenselessness of SGAE was premature, as the facts and infringements would only be known after the initiation of the second procedure, allowing SGAE to fully assert its defense rights at that time </w:t>
      </w:r>
      <w:hyperlink w:history="1" r:id="rIdxoh9rj8cclmkbda8aak5u">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ruling clarified that the existence of multiple parallel files against the same entity does not inherently cause irreparable harm, provided that the principle of non bis in idem is respected, allowing for separate investigations into different facts and infringements </w:t>
      </w:r>
      <w:hyperlink w:history="1" r:id="rIdn84mwpc82galewia6frwl">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fines or specific penalties were imposed in this ruling, as the decision focused on the procedural aspects of the case rather than the substantive merits of any potential infringement </w:t>
      </w:r>
      <w:hyperlink w:history="1" r:id="rId39_c0lq2-rxlax8n8iuyb">
        <w:r>
          <w:rPr>
            <w:rStyle w:val="Hyperlink"/>
            <w:rFonts w:ascii="Calibri" w:cs="Calibri" w:eastAsia="Calibri" w:hAnsi="Calibri"/>
            <w:sz w:val="22"/>
            <w:szCs w:val="22"/>
          </w:rPr>
          <w:t xml:space="preserve">[5]</w:t>
        </w:r>
      </w:hyperlink>
      <w:r>
        <w:rPr>
          <w:rFonts w:ascii="Calibri" w:cs="Calibri" w:eastAsia="Calibri" w:hAnsi="Calibri"/>
          <w:sz w:val="22"/>
          <w:szCs w:val="22"/>
        </w:rPr>
        <w:t xml:space="preserve">.</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ik2zjg_wfhnb8mgg2jjol">
        <w:r>
          <w:rPr>
            <w:rStyle w:val="Hyperlink"/>
            <w:rFonts w:ascii="Calibri" w:cs="Calibri" w:eastAsia="Calibri" w:hAnsi="Calibri"/>
            <w:sz w:val="22"/>
            <w:szCs w:val="22"/>
          </w:rPr>
          <w:t xml:space="preserve">S/DC/0502/14 ORONA/EXCELSIOR</w:t>
        </w:r>
      </w:hyperlink>
    </w:p>
    <w:p>
      <w:pPr>
        <w:pStyle w:val="ListParagraph"/>
        <w:numPr>
          <w:ilvl w:val="0"/>
          <w:numId w:val="2"/>
        </w:numPr>
        <w:spacing w:after="100"/>
      </w:pPr>
      <w:hyperlink w:history="1" r:id="rIduhdwibormczx74trbfubi">
        <w:r>
          <w:rPr>
            <w:rStyle w:val="Hyperlink"/>
            <w:rFonts w:ascii="Calibri" w:cs="Calibri" w:eastAsia="Calibri" w:hAnsi="Calibri"/>
            <w:sz w:val="22"/>
            <w:szCs w:val="22"/>
          </w:rPr>
          <w:t xml:space="preserve">S/DC/0557/15 NOKIA SOLUTIONS AND NETWORKS SPAIN, S.L.</w:t>
        </w:r>
      </w:hyperlink>
    </w:p>
    <w:p>
      <w:pPr>
        <w:pStyle w:val="ListParagraph"/>
        <w:numPr>
          <w:ilvl w:val="0"/>
          <w:numId w:val="2"/>
        </w:numPr>
        <w:spacing w:after="100"/>
      </w:pPr>
      <w:hyperlink w:history="1" r:id="rIdtlhacwcdah6fqprqwnzqf">
        <w:r>
          <w:rPr>
            <w:rStyle w:val="Hyperlink"/>
            <w:rFonts w:ascii="Calibri" w:cs="Calibri" w:eastAsia="Calibri" w:hAnsi="Calibri"/>
            <w:sz w:val="22"/>
            <w:szCs w:val="22"/>
          </w:rPr>
          <w:t xml:space="preserve">HEALTH MARKET RESEARCH S.L. vs. NATIONAL COMMISSION OF MARKETS AND COMPETITION, Case Number: 664/2017</w:t>
        </w:r>
      </w:hyperlink>
    </w:p>
    <w:p>
      <w:pPr>
        <w:pStyle w:val="ListParagraph"/>
        <w:numPr>
          <w:ilvl w:val="0"/>
          <w:numId w:val="2"/>
        </w:numPr>
        <w:spacing w:after="100"/>
      </w:pPr>
      <w:hyperlink w:history="1" r:id="rId5saac33m3uuxvz1etmytv">
        <w:r>
          <w:rPr>
            <w:rStyle w:val="Hyperlink"/>
            <w:rFonts w:ascii="Calibri" w:cs="Calibri" w:eastAsia="Calibri" w:hAnsi="Calibri"/>
            <w:sz w:val="22"/>
            <w:szCs w:val="22"/>
          </w:rPr>
          <w:t xml:space="preserve">C-322/81 ANCCE vs. MELPI</w:t>
        </w:r>
      </w:hyperlink>
    </w:p>
    <w:p>
      <w:pPr>
        <w:pStyle w:val="ListParagraph"/>
        <w:numPr>
          <w:ilvl w:val="0"/>
          <w:numId w:val="2"/>
        </w:numPr>
        <w:spacing w:after="100"/>
      </w:pPr>
      <w:hyperlink w:history="1" r:id="rIdcpgtkbeubgz5zezhgw8ip">
        <w:r>
          <w:rPr>
            <w:rStyle w:val="Hyperlink"/>
            <w:rFonts w:ascii="Calibri" w:cs="Calibri" w:eastAsia="Calibri" w:hAnsi="Calibri"/>
            <w:sz w:val="22"/>
            <w:szCs w:val="22"/>
          </w:rPr>
          <w:t xml:space="preserve">Sociedad General de Autores y Editores (SGAE) v. National Commission of Markets and Competition (CNMC), Cassation Appeal No. 899/2021.</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fyip65-jlzzd3_0l15kp" Type="http://schemas.openxmlformats.org/officeDocument/2006/relationships/hyperlink" Target="https://www.cnmc.es/expedientes/sdc050214" TargetMode="External"/><Relationship Id="rIdkci0vsg06ki_0x9eckbuu" Type="http://schemas.openxmlformats.org/officeDocument/2006/relationships/hyperlink" Target="https://www.cnmc.es/expedientes/sdc050214" TargetMode="External"/><Relationship Id="rIde-hscnu3at6phska8amba" Type="http://schemas.openxmlformats.org/officeDocument/2006/relationships/hyperlink" Target="https://www.cnmc.es/expedientes/sdc050214" TargetMode="External"/><Relationship Id="rIdkptlg5ckziqsqmexgthpi" Type="http://schemas.openxmlformats.org/officeDocument/2006/relationships/hyperlink" Target="https://www.cnmc.es/expedientes/sdc050214" TargetMode="External"/><Relationship Id="rId6rnfd0vkvt7augrhp8qzw" Type="http://schemas.openxmlformats.org/officeDocument/2006/relationships/hyperlink" Target="https://www.cnmc.es/expedientes/sdc050214" TargetMode="External"/><Relationship Id="rIdp91j14xr_xy_rfshbc96p" Type="http://schemas.openxmlformats.org/officeDocument/2006/relationships/hyperlink" Target="https://www.cnmc.es/expedientes/sdc050214" TargetMode="External"/><Relationship Id="rIdpo2g7qp8furmausuemlub" Type="http://schemas.openxmlformats.org/officeDocument/2006/relationships/hyperlink" Target="https://www.cnmc.es/expedientes/sdc050214" TargetMode="External"/><Relationship Id="rIducaj1ublf9uvxlnr6gxqf" Type="http://schemas.openxmlformats.org/officeDocument/2006/relationships/hyperlink" Target="https://www.cnmc.es/expedientes/sdc050214" TargetMode="External"/><Relationship Id="rIdyrwdfxeorror-icmrcook" Type="http://schemas.openxmlformats.org/officeDocument/2006/relationships/hyperlink" Target="https://www.cnmc.es/expedientes/sdc050214" TargetMode="External"/><Relationship Id="rIddcsf0asc0rqe01jp3ofcb" Type="http://schemas.openxmlformats.org/officeDocument/2006/relationships/hyperlink" Target="https://www.cnmc.es/expedientes/sdc050214" TargetMode="External"/><Relationship Id="rIdzncz58dhqn7uoh8_dgkbp" Type="http://schemas.openxmlformats.org/officeDocument/2006/relationships/hyperlink" Target="https://www.cnmc.es/expedientes/sdc050214" TargetMode="External"/><Relationship Id="rIdt2uenybwu1vwg2i3ty7fr" Type="http://schemas.openxmlformats.org/officeDocument/2006/relationships/hyperlink" Target="https://www.cnmc.es/expedientes/sdc050214" TargetMode="External"/><Relationship Id="rIdsvsfw9ku_bcdti53ykijy" Type="http://schemas.openxmlformats.org/officeDocument/2006/relationships/hyperlink" Target="https://www.cnmc.es/expedientes/sdc050214" TargetMode="External"/><Relationship Id="rIdnjszlgjheizaadrp-tzlc" Type="http://schemas.openxmlformats.org/officeDocument/2006/relationships/hyperlink" Target="https://www.cnmc.es/expedientes/sdc050214" TargetMode="External"/><Relationship Id="rId7ddir08gapooxjumg-mnr" Type="http://schemas.openxmlformats.org/officeDocument/2006/relationships/hyperlink" Target="https://www.cnmc.es/expedientes/sdc050214" TargetMode="External"/><Relationship Id="rIdo5bpx0llq3otdjwoyzo0i" Type="http://schemas.openxmlformats.org/officeDocument/2006/relationships/hyperlink" Target="https://www.cnmc.es/expedientes/sdc050214" TargetMode="External"/><Relationship Id="rIdpossbxzyg07tfw8igytli" Type="http://schemas.openxmlformats.org/officeDocument/2006/relationships/hyperlink" Target="https://www.cnmc.es/expedientes/sdc050214" TargetMode="External"/><Relationship Id="rIdeevgffecnzpxfo0yrvp6b" Type="http://schemas.openxmlformats.org/officeDocument/2006/relationships/hyperlink" Target="https://www.cnmc.es/expedientes/sdc050214" TargetMode="External"/><Relationship Id="rIds-uvdl-nkoh40cvsfhuum" Type="http://schemas.openxmlformats.org/officeDocument/2006/relationships/hyperlink" Target="https://www.cnmc.es/expedientes/sdc050214" TargetMode="External"/><Relationship Id="rIdgu35ykkvdg8f3u72vnqwx" Type="http://schemas.openxmlformats.org/officeDocument/2006/relationships/hyperlink" Target="https://www.cnmc.es/expedientes/sdc050214" TargetMode="External"/><Relationship Id="rIdf1clkbm62r2dukojdxqk5" Type="http://schemas.openxmlformats.org/officeDocument/2006/relationships/hyperlink" Target="https://www.cnmc.es/expedientes/sdc050214" TargetMode="External"/><Relationship Id="rIdf9veaxltaunite7yzt5h3" Type="http://schemas.openxmlformats.org/officeDocument/2006/relationships/hyperlink" Target="https://www.cnmc.es/expedientes/sdc050214" TargetMode="External"/><Relationship Id="rId4ioy3g3ctdncz0hzriwvl" Type="http://schemas.openxmlformats.org/officeDocument/2006/relationships/hyperlink" Target="https://www.cnmc.es/expedientes/sdc050214" TargetMode="External"/><Relationship Id="rIdj24hap1bflacy_d6sb-18" Type="http://schemas.openxmlformats.org/officeDocument/2006/relationships/hyperlink" Target="https://www.cnmc.es/expedientes/sdc050214" TargetMode="External"/><Relationship Id="rIdsizowkbrgshxqwzxwcsph" Type="http://schemas.openxmlformats.org/officeDocument/2006/relationships/hyperlink" Target="https://www.cnmc.es/expedientes/sdc050214" TargetMode="External"/><Relationship Id="rIdmkomypruuslr3rb09ys42" Type="http://schemas.openxmlformats.org/officeDocument/2006/relationships/hyperlink" Target="https://www.cnmc.es/expedientes/sdc050214" TargetMode="External"/><Relationship Id="rIdccfw8ntsednvraym6ztgh" Type="http://schemas.openxmlformats.org/officeDocument/2006/relationships/hyperlink" Target="https://www.cnmc.es/expedientes/sdc050214" TargetMode="External"/><Relationship Id="rIdfk3qg4v9gtiq9tk20ljkj" Type="http://schemas.openxmlformats.org/officeDocument/2006/relationships/hyperlink" Target="https://www.cnmc.es/expedientes/sdc055715" TargetMode="External"/><Relationship Id="rIdglpkddicg6hvgoinv_nsx" Type="http://schemas.openxmlformats.org/officeDocument/2006/relationships/hyperlink" Target="https://www.cnmc.es/expedientes/sdc055715" TargetMode="External"/><Relationship Id="rIdbcldi2pci4o-phyhvezv4" Type="http://schemas.openxmlformats.org/officeDocument/2006/relationships/hyperlink" Target="https://www.cnmc.es/expedientes/sdc055715" TargetMode="External"/><Relationship Id="rIdehiyftof8mu1tk-lj49xe" Type="http://schemas.openxmlformats.org/officeDocument/2006/relationships/hyperlink" Target="https://www.cnmc.es/expedientes/sdc055715" TargetMode="External"/><Relationship Id="rIdlsu0k9mrlxpnfr4-plqn1" Type="http://schemas.openxmlformats.org/officeDocument/2006/relationships/hyperlink" Target="https://www.cnmc.es/expedientes/sdc055715" TargetMode="External"/><Relationship Id="rId9flxm1xhebxrxht7rciw3" Type="http://schemas.openxmlformats.org/officeDocument/2006/relationships/hyperlink" Target="https://www.cnmc.es/expedientes/sdc055715" TargetMode="External"/><Relationship Id="rIdneczsgsfilmli5oo1xugz" Type="http://schemas.openxmlformats.org/officeDocument/2006/relationships/hyperlink" Target="https://www.cnmc.es/expedientes/sdc055715" TargetMode="External"/><Relationship Id="rIdzy8xyvoyyj27-t28wtu6i" Type="http://schemas.openxmlformats.org/officeDocument/2006/relationships/hyperlink" Target="https://www.cnmc.es/expedientes/sdc055715" TargetMode="External"/><Relationship Id="rIdcs9t2ugp3jmliuv-vlg2i" Type="http://schemas.openxmlformats.org/officeDocument/2006/relationships/hyperlink" Target="https://www.cnmc.es/expedientes/sdc055715" TargetMode="External"/><Relationship Id="rId1hgc-7qpzwxgh16bhbftz" Type="http://schemas.openxmlformats.org/officeDocument/2006/relationships/hyperlink" Target="https://www.cnmc.es/expedientes/sdc055715" TargetMode="External"/><Relationship Id="rIdpxyd5fhtcuepyo69hr94s" Type="http://schemas.openxmlformats.org/officeDocument/2006/relationships/hyperlink" Target="https://www.cnmc.es/expedientes/sdc055715" TargetMode="External"/><Relationship Id="rIdyaubxb2slllmfzkxn0vlb" Type="http://schemas.openxmlformats.org/officeDocument/2006/relationships/hyperlink" Target="https://www.cnmc.es/expedientes/sdc055715" TargetMode="External"/><Relationship Id="rIdzghmbojsdt7qrefgj5nat" Type="http://schemas.openxmlformats.org/officeDocument/2006/relationships/hyperlink" Target="https://www.cnmc.es/expedientes/sdc055715" TargetMode="External"/><Relationship Id="rIdckt0qd_gh-s44kxhezwvx" Type="http://schemas.openxmlformats.org/officeDocument/2006/relationships/hyperlink" Target="https://www.cnmc.es/expedientes/sdc055715" TargetMode="External"/><Relationship Id="rIdmhd4pvenq5zw3qoacrizq" Type="http://schemas.openxmlformats.org/officeDocument/2006/relationships/hyperlink" Target="https://www.cnmc.es/expedientes/sdc055715" TargetMode="External"/><Relationship Id="rIdrtanw9d7t0q97tgna1jog" Type="http://schemas.openxmlformats.org/officeDocument/2006/relationships/hyperlink" Target="https://www.cnmc.es/expedientes/sdc055715" TargetMode="External"/><Relationship Id="rIdzg0_zj26owhf2ga9cthub" Type="http://schemas.openxmlformats.org/officeDocument/2006/relationships/hyperlink" Target="https://www.cnmc.es/expedientes/sdc055715" TargetMode="External"/><Relationship Id="rId_b-dkq-hqgo2yfevkthb2" Type="http://schemas.openxmlformats.org/officeDocument/2006/relationships/hyperlink" Target="https://www.cnmc.es/expedientes/sdc055715" TargetMode="External"/><Relationship Id="rIddqrcburzxo6xf9dpzladw" Type="http://schemas.openxmlformats.org/officeDocument/2006/relationships/hyperlink" Target="https://www.cnmc.es/expedientes/sdc055715" TargetMode="External"/><Relationship Id="rIdhrtubl0vwwbwczen9s5pf" Type="http://schemas.openxmlformats.org/officeDocument/2006/relationships/hyperlink" Target="https://www.cnmc.es/expedientes/sdc055715" TargetMode="External"/><Relationship Id="rIdytnkbntbrbj6kzcc5icij" Type="http://schemas.openxmlformats.org/officeDocument/2006/relationships/hyperlink" Target="https://www.cnmc.es/expedientes/sdc055715" TargetMode="External"/><Relationship Id="rIdov-ikjrvfeirkbmb7-cwg" Type="http://schemas.openxmlformats.org/officeDocument/2006/relationships/hyperlink" Target="https://www.cnmc.es/expedientes/sdc055715" TargetMode="External"/><Relationship Id="rIdf1lgoypud3vft8-dwkenj" Type="http://schemas.openxmlformats.org/officeDocument/2006/relationships/hyperlink" Target="https://www.cnmc.es/expedientes/sdc055715" TargetMode="External"/><Relationship Id="rIdzfdpvtbt6rt5jdycibtvo" Type="http://schemas.openxmlformats.org/officeDocument/2006/relationships/hyperlink" Target="https://www.cnmc.es/expedientes/sdc055715" TargetMode="External"/><Relationship Id="rId9mhbmd2-h-snyhrbei-ix" Type="http://schemas.openxmlformats.org/officeDocument/2006/relationships/hyperlink" Target="https://www.cnmc.es/expedientes/sdc055715" TargetMode="External"/><Relationship Id="rIdbvtrtwbjia-f5g5dptlsx" Type="http://schemas.openxmlformats.org/officeDocument/2006/relationships/hyperlink" Target="https://www.cnmc.es/expedientes/sdc055715" TargetMode="External"/><Relationship Id="rId49f8108n-_yt2cxvph8-f" Type="http://schemas.openxmlformats.org/officeDocument/2006/relationships/hyperlink" Target="https://www.cnmc.es/expedientes/sdc055715" TargetMode="External"/><Relationship Id="rIdmt4fajljecjhmgzd89ng6" Type="http://schemas.openxmlformats.org/officeDocument/2006/relationships/hyperlink" Target="https://www.cnmc.es/expedientes/sdc055715" TargetMode="External"/><Relationship Id="rIdq6ngypjuusu7ufgjcxosk" Type="http://schemas.openxmlformats.org/officeDocument/2006/relationships/hyperlink" Target="https://www.cnmc.es/expedientes/sdc056715" TargetMode="External"/><Relationship Id="rIdjtqypeqbeldixbowz23ck" Type="http://schemas.openxmlformats.org/officeDocument/2006/relationships/hyperlink" Target="https://www.cnmc.es/expedientes/sdc056715" TargetMode="External"/><Relationship Id="rIdzl0gvypvyormln2z36uqb" Type="http://schemas.openxmlformats.org/officeDocument/2006/relationships/hyperlink" Target="https://www.cnmc.es/expedientes/sdc056715" TargetMode="External"/><Relationship Id="rIdmxmbo0-loa1ebov_ly3ws" Type="http://schemas.openxmlformats.org/officeDocument/2006/relationships/hyperlink" Target="https://www.cnmc.es/expedientes/sdc056715" TargetMode="External"/><Relationship Id="rIddmaappjx8vy6joghxqwox" Type="http://schemas.openxmlformats.org/officeDocument/2006/relationships/hyperlink" Target="https://www.cnmc.es/expedientes/sdc056715" TargetMode="External"/><Relationship Id="rIdjhg_hgs4tlgxng9jhy4kk" Type="http://schemas.openxmlformats.org/officeDocument/2006/relationships/hyperlink" Target="https://www.cnmc.es/expedientes/sdc056715" TargetMode="External"/><Relationship Id="rIdv-byvwstpqfardr5etfkm" Type="http://schemas.openxmlformats.org/officeDocument/2006/relationships/hyperlink" Target="https://www.cnmc.es/expedientes/sdc056715" TargetMode="External"/><Relationship Id="rIdajoh3aszu0dwwtkcex5jh" Type="http://schemas.openxmlformats.org/officeDocument/2006/relationships/hyperlink" Target="https://www.cnmc.es/expedientes/sdc056715" TargetMode="External"/><Relationship Id="rIdjci32pejuyn7alp5lunss" Type="http://schemas.openxmlformats.org/officeDocument/2006/relationships/hyperlink" Target="https://www.cnmc.es/expedientes/sdc056715" TargetMode="External"/><Relationship Id="rIdcnucf9fyybtvqs_iympin" Type="http://schemas.openxmlformats.org/officeDocument/2006/relationships/hyperlink" Target="https://www.cnmc.es/expedientes/sdc056715" TargetMode="External"/><Relationship Id="rIdhiti5ndqwqwiohzxulmes" Type="http://schemas.openxmlformats.org/officeDocument/2006/relationships/hyperlink" Target="https://www.cnmc.es/expedientes/sdc056715" TargetMode="External"/><Relationship Id="rId-81a1fgphzhca4b-5f75_" Type="http://schemas.openxmlformats.org/officeDocument/2006/relationships/hyperlink" Target="https://www.cnmc.es/expedientes/sdc056715" TargetMode="External"/><Relationship Id="rIdpbc-m6t8zsnygqkhmtggl" Type="http://schemas.openxmlformats.org/officeDocument/2006/relationships/hyperlink" Target="https://www.cnmc.es/expedientes/sdc056715" TargetMode="External"/><Relationship Id="rIdc03lh_ixfqmtca1pq7mgp" Type="http://schemas.openxmlformats.org/officeDocument/2006/relationships/hyperlink" Target="https://www.cnmc.es/expedientes/sdc056715" TargetMode="External"/><Relationship Id="rIdpal45ofxy_qui6lbgdnif" Type="http://schemas.openxmlformats.org/officeDocument/2006/relationships/hyperlink" Target="https://www.cnmc.es/expedientes/sdc056715" TargetMode="External"/><Relationship Id="rIdhfzjkvgtlruumdek0cbkd" Type="http://schemas.openxmlformats.org/officeDocument/2006/relationships/hyperlink" Target="https://www.cnmc.es/expedientes/sdc056715" TargetMode="External"/><Relationship Id="rId5gugikwjqjqg8rz2ikt3v" Type="http://schemas.openxmlformats.org/officeDocument/2006/relationships/hyperlink" Target="https://www.cnmc.es/expedientes/sdc056715" TargetMode="External"/><Relationship Id="rId5qsqencm5z4sycilztbjp" Type="http://schemas.openxmlformats.org/officeDocument/2006/relationships/hyperlink" Target="https://www.cnmc.es/expedientes/sdc056715" TargetMode="External"/><Relationship Id="rIdnlw4oxqqxwhrxmgcnqn8l" Type="http://schemas.openxmlformats.org/officeDocument/2006/relationships/hyperlink" Target="https://www.cnmc.es/expedientes/sdc056715" TargetMode="External"/><Relationship Id="rId4qydd352lfwagrsl3blbf" Type="http://schemas.openxmlformats.org/officeDocument/2006/relationships/hyperlink" Target="https://www.cnmc.es/expedientes/sdc056715" TargetMode="External"/><Relationship Id="rIdf5z2xbet_haxu2wx7anfb" Type="http://schemas.openxmlformats.org/officeDocument/2006/relationships/hyperlink" Target="https://www.cnmc.es/expedientes/sdc056715" TargetMode="External"/><Relationship Id="rIdij-pgtpht4xt0c9bb2mfv" Type="http://schemas.openxmlformats.org/officeDocument/2006/relationships/hyperlink" Target="https://www.cnmc.es/expedientes/sdc056715" TargetMode="External"/><Relationship Id="rIdyhbei--qa6elqdokhu7ja" Type="http://schemas.openxmlformats.org/officeDocument/2006/relationships/hyperlink" Target="https://www.cnmc.es/expedientes/sdc056715" TargetMode="External"/><Relationship Id="rIdktmb1dovkr5owphepjglu" Type="http://schemas.openxmlformats.org/officeDocument/2006/relationships/hyperlink" Target="https://www.cnmc.es/expedientes/sdc056715" TargetMode="External"/><Relationship Id="rIdsmxi3bqdmk5ww9kbfbcye" Type="http://schemas.openxmlformats.org/officeDocument/2006/relationships/hyperlink" Target="https://www.cnmc.es/expedientes/sdc056715" TargetMode="External"/><Relationship Id="rIdbb-qsqhvjivdetsxw6bkb" Type="http://schemas.openxmlformats.org/officeDocument/2006/relationships/hyperlink" Target="https://www.cnmc.es/expedientes/sdc056715" TargetMode="External"/><Relationship Id="rIdrpl5tuujecntotwxkhclb" Type="http://schemas.openxmlformats.org/officeDocument/2006/relationships/hyperlink" Target="https://www.cnmc.es/expedientes/sdc056715" TargetMode="External"/><Relationship Id="rId4pkkvmlalvbsraaf1l8sx" Type="http://schemas.openxmlformats.org/officeDocument/2006/relationships/hyperlink" Target="https://www.cnmc.es/expedientes/sdc058016" TargetMode="External"/><Relationship Id="rIdeibgv2lwdtpkamdjyoebx" Type="http://schemas.openxmlformats.org/officeDocument/2006/relationships/hyperlink" Target="https://www.cnmc.es/expedientes/sdc058016" TargetMode="External"/><Relationship Id="rId-6obcn7p2tkloe8h1jf7b" Type="http://schemas.openxmlformats.org/officeDocument/2006/relationships/hyperlink" Target="https://www.cnmc.es/expedientes/sdc058016" TargetMode="External"/><Relationship Id="rIdtvgobdnaww3x1md8mpwqf" Type="http://schemas.openxmlformats.org/officeDocument/2006/relationships/hyperlink" Target="https://www.cnmc.es/expedientes/sdc058016" TargetMode="External"/><Relationship Id="rIdhhygipqjr5zu92jqnydlp" Type="http://schemas.openxmlformats.org/officeDocument/2006/relationships/hyperlink" Target="https://www.cnmc.es/expedientes/sdc058016" TargetMode="External"/><Relationship Id="rIdoqyxxnumthlvspjvxdemk" Type="http://schemas.openxmlformats.org/officeDocument/2006/relationships/hyperlink" Target="https://www.cnmc.es/expedientes/sdc058016" TargetMode="External"/><Relationship Id="rIdisplxyagswzkakpv9jedj" Type="http://schemas.openxmlformats.org/officeDocument/2006/relationships/hyperlink" Target="https://www.cnmc.es/expedientes/sdc058016" TargetMode="External"/><Relationship Id="rId4pm-suvssuu8viuk6dlaw" Type="http://schemas.openxmlformats.org/officeDocument/2006/relationships/hyperlink" Target="https://www.cnmc.es/expedientes/sdc058016" TargetMode="External"/><Relationship Id="rIdju_wuvt55cnxuug1a6yl8" Type="http://schemas.openxmlformats.org/officeDocument/2006/relationships/hyperlink" Target="https://www.cnmc.es/expedientes/sdc058016" TargetMode="External"/><Relationship Id="rId1vejzqz6jur84kezxuyct" Type="http://schemas.openxmlformats.org/officeDocument/2006/relationships/hyperlink" Target="https://www.cnmc.es/expedientes/sdc058016" TargetMode="External"/><Relationship Id="rIdfdxil5ylnbobsialx30so" Type="http://schemas.openxmlformats.org/officeDocument/2006/relationships/hyperlink" Target="https://www.cnmc.es/expedientes/sdc058016" TargetMode="External"/><Relationship Id="rIdbqfipfwgvzmfznj1kbl7h" Type="http://schemas.openxmlformats.org/officeDocument/2006/relationships/hyperlink" Target="https://www.cnmc.es/expedientes/sdc058016" TargetMode="External"/><Relationship Id="rIdydi-jnlqertao_d19hum9" Type="http://schemas.openxmlformats.org/officeDocument/2006/relationships/hyperlink" Target="https://www.cnmc.es/expedientes/sdc058016" TargetMode="External"/><Relationship Id="rIdrbbyapup5b9su6esptaoc" Type="http://schemas.openxmlformats.org/officeDocument/2006/relationships/hyperlink" Target="https://www.cnmc.es/expedientes/sdc058016" TargetMode="External"/><Relationship Id="rId4rw39ztejn50cbtwji-fp" Type="http://schemas.openxmlformats.org/officeDocument/2006/relationships/hyperlink" Target="https://www.cnmc.es/expedientes/sdc058016" TargetMode="External"/><Relationship Id="rIdcmx0218qavblivuenqncv" Type="http://schemas.openxmlformats.org/officeDocument/2006/relationships/hyperlink" Target="https://www.cnmc.es/expedientes/sdc058016" TargetMode="External"/><Relationship Id="rIdqu0ho1hdbgym_-s0hs33s" Type="http://schemas.openxmlformats.org/officeDocument/2006/relationships/hyperlink" Target="https://www.cnmc.es/expedientes/sdc058016" TargetMode="External"/><Relationship Id="rId4vrbfycv0ynk2foqhw4hf" Type="http://schemas.openxmlformats.org/officeDocument/2006/relationships/hyperlink" Target="https://www.cnmc.es/expedientes/sdc058016" TargetMode="External"/><Relationship Id="rIde2hmn_nlfizpfv8yxprj-" Type="http://schemas.openxmlformats.org/officeDocument/2006/relationships/hyperlink" Target="https://www.cnmc.es/expedientes/sdc058016" TargetMode="External"/><Relationship Id="rIddweqfprksh6ceyypfnbex" Type="http://schemas.openxmlformats.org/officeDocument/2006/relationships/hyperlink" Target="https://www.cnmc.es/expedientes/sdc058016" TargetMode="External"/><Relationship Id="rIdjpubja-ajbhcjmrg1aibr" Type="http://schemas.openxmlformats.org/officeDocument/2006/relationships/hyperlink" Target="https://www.cnmc.es/expedientes/sdc058016" TargetMode="External"/><Relationship Id="rIdt75flxrv75ania0hkplbg" Type="http://schemas.openxmlformats.org/officeDocument/2006/relationships/hyperlink" Target="https://www.cnmc.es/expedientes/sdc058016" TargetMode="External"/><Relationship Id="rIdjjjh6qqthrnc0elm-upge" Type="http://schemas.openxmlformats.org/officeDocument/2006/relationships/hyperlink" Target="https://www.cnmc.es/expedientes/sdc058016" TargetMode="External"/><Relationship Id="rIdqosyhkje0_bpf0m_7zuxv" Type="http://schemas.openxmlformats.org/officeDocument/2006/relationships/hyperlink" Target="https://www.cnmc.es/expedientes/sdc058016" TargetMode="External"/><Relationship Id="rId0-jcwwbx8wnln4m1qfzme" Type="http://schemas.openxmlformats.org/officeDocument/2006/relationships/hyperlink" Target="https://www.cnmc.es/expedientes/sdc058016" TargetMode="External"/><Relationship Id="rIdzio8gzugf8eidctveiwlr" Type="http://schemas.openxmlformats.org/officeDocument/2006/relationships/hyperlink" Target="https://www.cnmc.es/expedientes/sdc058016" TargetMode="External"/><Relationship Id="rIdgeymo-iwwlv4kwlde3gud" Type="http://schemas.openxmlformats.org/officeDocument/2006/relationships/hyperlink" Target="https://www.cnmc.es/expedientes/sdc059016" TargetMode="External"/><Relationship Id="rIdki7nrc_08antllpgpvnwu" Type="http://schemas.openxmlformats.org/officeDocument/2006/relationships/hyperlink" Target="https://www.cnmc.es/expedientes/sdc059016" TargetMode="External"/><Relationship Id="rIdmytjp2pffdmyslpvliggb" Type="http://schemas.openxmlformats.org/officeDocument/2006/relationships/hyperlink" Target="https://www.cnmc.es/expedientes/sdc059016" TargetMode="External"/><Relationship Id="rIdgzvpkfsa07pikcr_tk3jt" Type="http://schemas.openxmlformats.org/officeDocument/2006/relationships/hyperlink" Target="https://www.cnmc.es/expedientes/sdc059016" TargetMode="External"/><Relationship Id="rId-m03zhueoqpbaqeex4zru" Type="http://schemas.openxmlformats.org/officeDocument/2006/relationships/hyperlink" Target="https://www.cnmc.es/expedientes/sdc059016" TargetMode="External"/><Relationship Id="rId-fy42bbxstxgemfxzihlo" Type="http://schemas.openxmlformats.org/officeDocument/2006/relationships/hyperlink" Target="https://www.cnmc.es/expedientes/sdc059016" TargetMode="External"/><Relationship Id="rIdepfxbxlm3gwj_r2liu-il" Type="http://schemas.openxmlformats.org/officeDocument/2006/relationships/hyperlink" Target="https://www.cnmc.es/expedientes/sdc059016" TargetMode="External"/><Relationship Id="rIdcjkfk1q7b2r1ys1z4tvdd" Type="http://schemas.openxmlformats.org/officeDocument/2006/relationships/hyperlink" Target="https://www.cnmc.es/expedientes/sdc059016" TargetMode="External"/><Relationship Id="rIdko-mvh74j9ex2gyuk0mm-" Type="http://schemas.openxmlformats.org/officeDocument/2006/relationships/hyperlink" Target="https://www.cnmc.es/expedientes/sdc059016" TargetMode="External"/><Relationship Id="rIdbgldmocqpajcnx4xcnbvq" Type="http://schemas.openxmlformats.org/officeDocument/2006/relationships/hyperlink" Target="https://www.cnmc.es/expedientes/sdc059016" TargetMode="External"/><Relationship Id="rIdug6ufsa8sjcu5njdsmxi3" Type="http://schemas.openxmlformats.org/officeDocument/2006/relationships/hyperlink" Target="https://www.cnmc.es/expedientes/sdc059016" TargetMode="External"/><Relationship Id="rIdrww7cy28v2gxdm-usgoht" Type="http://schemas.openxmlformats.org/officeDocument/2006/relationships/hyperlink" Target="https://www.cnmc.es/expedientes/sdc059016" TargetMode="External"/><Relationship Id="rIdnbmyf3e_i88nl_lw-utet" Type="http://schemas.openxmlformats.org/officeDocument/2006/relationships/hyperlink" Target="https://www.cnmc.es/expedientes/sdc059016" TargetMode="External"/><Relationship Id="rIdqbybqfima2er5lfgc3bkh" Type="http://schemas.openxmlformats.org/officeDocument/2006/relationships/hyperlink" Target="https://www.cnmc.es/expedientes/sdc059016" TargetMode="External"/><Relationship Id="rIdi2mnvsepjqqpxtikcj-sf" Type="http://schemas.openxmlformats.org/officeDocument/2006/relationships/hyperlink" Target="https://www.cnmc.es/expedientes/sdc059016" TargetMode="External"/><Relationship Id="rId5pqb1vagcndshrns5jgpm" Type="http://schemas.openxmlformats.org/officeDocument/2006/relationships/hyperlink" Target="https://www.cnmc.es/expedientes/sdc059016" TargetMode="External"/><Relationship Id="rIdbkz3hykixmi1tmkcby6r1" Type="http://schemas.openxmlformats.org/officeDocument/2006/relationships/hyperlink" Target="https://www.cnmc.es/expedientes/sdc059016" TargetMode="External"/><Relationship Id="rIdhvbvjzbahd2v4qfzgrgte" Type="http://schemas.openxmlformats.org/officeDocument/2006/relationships/hyperlink" Target="https://www.cnmc.es/expedientes/sdc059016" TargetMode="External"/><Relationship Id="rIdqdyc3herbslbh_p910udd" Type="http://schemas.openxmlformats.org/officeDocument/2006/relationships/hyperlink" Target="https://www.cnmc.es/expedientes/sdc059016" TargetMode="External"/><Relationship Id="rIdzcitve2oxvoljv5awvotf" Type="http://schemas.openxmlformats.org/officeDocument/2006/relationships/hyperlink" Target="https://www.cnmc.es/expedientes/sdc059016" TargetMode="External"/><Relationship Id="rIdrlfwdlnysds6lymtpsaaq" Type="http://schemas.openxmlformats.org/officeDocument/2006/relationships/hyperlink" Target="https://www.cnmc.es/expedientes/sdc059016" TargetMode="External"/><Relationship Id="rId3edky2z36gr9msfeqflnk" Type="http://schemas.openxmlformats.org/officeDocument/2006/relationships/hyperlink" Target="https://www.cnmc.es/expedientes/sdc059016" TargetMode="External"/><Relationship Id="rId8v3yzlobsfitcbbzfoqtz" Type="http://schemas.openxmlformats.org/officeDocument/2006/relationships/hyperlink" Target="https://www.cnmc.es/expedientes/sdc059016" TargetMode="External"/><Relationship Id="rIdxoh9rj8cclmkbda8aak5u" Type="http://schemas.openxmlformats.org/officeDocument/2006/relationships/hyperlink" Target="https://www.cnmc.es/expedientes/sdc059016" TargetMode="External"/><Relationship Id="rIdn84mwpc82galewia6frwl" Type="http://schemas.openxmlformats.org/officeDocument/2006/relationships/hyperlink" Target="https://www.cnmc.es/expedientes/sdc059016" TargetMode="External"/><Relationship Id="rId39_c0lq2-rxlax8n8iuyb" Type="http://schemas.openxmlformats.org/officeDocument/2006/relationships/hyperlink" Target="https://www.cnmc.es/expedientes/sdc059016" TargetMode="External"/><Relationship Id="rIdik2zjg_wfhnb8mgg2jjol" Type="http://schemas.openxmlformats.org/officeDocument/2006/relationships/hyperlink" Target="https://www.cnmc.es/expedientes/sdc050214" TargetMode="External"/><Relationship Id="rIduhdwibormczx74trbfubi" Type="http://schemas.openxmlformats.org/officeDocument/2006/relationships/hyperlink" Target="https://www.cnmc.es/expedientes/sdc055715" TargetMode="External"/><Relationship Id="rIdtlhacwcdah6fqprqwnzqf" Type="http://schemas.openxmlformats.org/officeDocument/2006/relationships/hyperlink" Target="https://www.cnmc.es/expedientes/sdc056715" TargetMode="External"/><Relationship Id="rId5saac33m3uuxvz1etmytv" Type="http://schemas.openxmlformats.org/officeDocument/2006/relationships/hyperlink" Target="https://www.cnmc.es/expedientes/sdc058016" TargetMode="External"/><Relationship Id="rIdcpgtkbeubgz5zezhgw8ip" Type="http://schemas.openxmlformats.org/officeDocument/2006/relationships/hyperlink" Target="https://www.cnmc.es/expedientes/sdc059016" TargetMode="External"/><Relationship Id="rId1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2026-09-02T11:17:18.257Z</dcterms:created>
  <dcterms:modified xsi:type="dcterms:W3CDTF">2026-09-02T11:17:18.257Z</dcterms:modified>
</cp:coreProperties>
</file>

<file path=docProps/custom.xml><?xml version="1.0" encoding="utf-8"?>
<Properties xmlns="http://schemas.openxmlformats.org/officeDocument/2006/custom-properties" xmlns:vt="http://schemas.openxmlformats.org/officeDocument/2006/docPropsVTypes"/>
</file>