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Calibri" w:cs="Calibri" w:eastAsia="Calibri" w:hAnsi="Calibri"/>
          <w:b/>
          <w:bCs/>
          <w:color w:val="1F4E5F"/>
          <w:sz w:val="32"/>
          <w:szCs w:val="32"/>
        </w:rPr>
        <w:t xml:space="preserve">Response Transcript — Sample 3</w:t>
      </w:r>
    </w:p>
    <w:p>
      <w:pPr>
        <w:pBdr>
          <w:bottom w:val="single" w:color="999999" w:sz="6" w:space="1"/>
        </w:pBdr>
        <w:spacing w:after="120" w:before="120"/>
      </w:pP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1F4E5F"/>
          <w:sz w:val="28"/>
          <w:szCs w:val="28"/>
        </w:rPr>
        <w:t xml:space="preserve">User Query</w:t>
      </w:r>
    </w:p>
    <w:p>
      <w:pPr>
        <w:pBdr>
          <w:left w:val="single" w:color="1F4E5F" w:sz="12" w:space="8"/>
        </w:pBdr>
        <w:spacing w:after="240"/>
        <w:ind w:left="36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Get me Spanish abuse of dominance cases</w:t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1F4E5F"/>
          <w:sz w:val="28"/>
          <w:szCs w:val="28"/>
        </w:rPr>
        <w:t xml:space="preserve">System Response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Yes. If by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“Spanish abuse of dominance cases”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you mean cases decided by Spain’s competition authority (CNMC/CNC) under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Article 2 of the Spanish Competition Act (LDC)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and/or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Article 102 TFEU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, here is a useful starting list.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Key Spanish abuse-of-dominance cases</w:t>
      </w:r>
    </w:p>
    <w:tbl>
      <w:tblPr>
        <w:tblW w:type="dxa" w:w="98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52"/>
        <w:gridCol w:w="2452"/>
        <w:gridCol w:w="2452"/>
        <w:gridCol w:w="2452"/>
      </w:tblGrid>
      <w:tr>
        <w:tc>
          <w:tcPr>
            <w:tcW w:type="dxa" w:w="2452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22"/>
                <w:szCs w:val="22"/>
              </w:rPr>
              <w:t xml:space="preserve">Case</w:t>
            </w:r>
          </w:p>
        </w:tc>
        <w:tc>
          <w:tcPr>
            <w:tcW w:type="dxa" w:w="2452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22"/>
                <w:szCs w:val="22"/>
              </w:rPr>
              <w:t xml:space="preserve">Company</w:t>
            </w:r>
          </w:p>
        </w:tc>
        <w:tc>
          <w:tcPr>
            <w:tcW w:type="dxa" w:w="2452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22"/>
                <w:szCs w:val="22"/>
              </w:rPr>
              <w:t xml:space="preserve">Conduct</w:t>
            </w:r>
          </w:p>
        </w:tc>
        <w:tc>
          <w:tcPr>
            <w:tcW w:type="dxa" w:w="2452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22"/>
                <w:szCs w:val="22"/>
              </w:rPr>
              <w:t xml:space="preserve">Outcome</w:t>
            </w:r>
          </w:p>
        </w:tc>
      </w:tr>
      <w:tr>
        <w:tc>
          <w:tcPr>
            <w:tcW w:type="dxa" w:w="2452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22"/>
                <w:szCs w:val="22"/>
              </w:rPr>
              <w:t xml:space="preserve">Booking.com (S/0005/21)</w:t>
            </w:r>
          </w:p>
        </w:tc>
        <w:tc>
          <w:tcPr>
            <w:tcW w:type="dxa" w:w="2452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Booking.com</w:t>
            </w:r>
          </w:p>
        </w:tc>
        <w:tc>
          <w:tcPr>
            <w:tcW w:type="dxa" w:w="2452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Exploitative and exclusionary abuse in online hotel-booking markets</w:t>
            </w:r>
          </w:p>
        </w:tc>
        <w:tc>
          <w:tcPr>
            <w:tcW w:type="dxa" w:w="2452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22"/>
                <w:szCs w:val="22"/>
              </w:rPr>
              <w:t xml:space="preserve">€413.2m fine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(2024)</w:t>
            </w:r>
          </w:p>
        </w:tc>
      </w:tr>
      <w:tr>
        <w:tc>
          <w:tcPr>
            <w:tcW w:type="dxa" w:w="2452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22"/>
                <w:szCs w:val="22"/>
              </w:rPr>
              <w:t xml:space="preserve">Correos</w:t>
            </w:r>
          </w:p>
        </w:tc>
        <w:tc>
          <w:tcPr>
            <w:tcW w:type="dxa" w:w="2452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Correos</w:t>
            </w:r>
          </w:p>
        </w:tc>
        <w:tc>
          <w:tcPr>
            <w:tcW w:type="dxa" w:w="2452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Discount scheme for large customers allegedly capable of excluding competitors</w:t>
            </w:r>
          </w:p>
        </w:tc>
        <w:tc>
          <w:tcPr>
            <w:tcW w:type="dxa" w:w="2452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22"/>
                <w:szCs w:val="22"/>
              </w:rPr>
              <w:t xml:space="preserve">€32.6m fine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(2022)</w:t>
            </w:r>
          </w:p>
        </w:tc>
      </w:tr>
      <w:tr>
        <w:tc>
          <w:tcPr>
            <w:tcW w:type="dxa" w:w="2452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22"/>
                <w:szCs w:val="22"/>
              </w:rPr>
              <w:t xml:space="preserve">Repsol – fuel stations</w:t>
            </w:r>
          </w:p>
        </w:tc>
        <w:tc>
          <w:tcPr>
            <w:tcW w:type="dxa" w:w="2452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Repsol group</w:t>
            </w:r>
          </w:p>
        </w:tc>
        <w:tc>
          <w:tcPr>
            <w:tcW w:type="dxa" w:w="2452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Margin squeeze affecting independent low-cost petrol stations</w:t>
            </w:r>
          </w:p>
        </w:tc>
        <w:tc>
          <w:tcPr>
            <w:tcW w:type="dxa" w:w="2452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22"/>
                <w:szCs w:val="22"/>
              </w:rPr>
              <w:t xml:space="preserve">€20.5m fine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(2026)</w:t>
            </w:r>
          </w:p>
        </w:tc>
      </w:tr>
      <w:tr>
        <w:tc>
          <w:tcPr>
            <w:tcW w:type="dxa" w:w="2452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22"/>
                <w:szCs w:val="22"/>
              </w:rPr>
              <w:t xml:space="preserve">Enel Green Power (S/0022/20)</w:t>
            </w:r>
          </w:p>
        </w:tc>
        <w:tc>
          <w:tcPr>
            <w:tcW w:type="dxa" w:w="2452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Enel Green</w:t>
            </w:r>
          </w:p>
        </w:tc>
        <w:tc>
          <w:tcPr>
            <w:tcW w:type="dxa" w:w="2452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Favoured its own renewable-generation projects in access to electricity-grid capacity</w:t>
            </w:r>
          </w:p>
        </w:tc>
        <w:tc>
          <w:tcPr>
            <w:tcW w:type="dxa" w:w="2452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22"/>
                <w:szCs w:val="22"/>
              </w:rPr>
              <w:t xml:space="preserve">€4.9m fine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(2022)</w:t>
            </w:r>
          </w:p>
        </w:tc>
      </w:tr>
      <w:tr>
        <w:tc>
          <w:tcPr>
            <w:tcW w:type="dxa" w:w="2452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22"/>
                <w:szCs w:val="22"/>
              </w:rPr>
              <w:t xml:space="preserve">Nokia Solutions &amp; Networks Spain</w:t>
            </w:r>
          </w:p>
        </w:tc>
        <w:tc>
          <w:tcPr>
            <w:tcW w:type="dxa" w:w="2452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Nokia</w:t>
            </w:r>
          </w:p>
        </w:tc>
        <w:tc>
          <w:tcPr>
            <w:tcW w:type="dxa" w:w="2452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Margin squeeze in GSM-R railway telecommunications</w:t>
            </w:r>
          </w:p>
        </w:tc>
        <w:tc>
          <w:tcPr>
            <w:tcW w:type="dxa" w:w="2452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22"/>
                <w:szCs w:val="22"/>
              </w:rPr>
              <w:t xml:space="preserve">€1.74m fine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(2017)</w:t>
            </w:r>
          </w:p>
        </w:tc>
      </w:tr>
      <w:tr>
        <w:tc>
          <w:tcPr>
            <w:tcW w:type="dxa" w:w="2452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22"/>
                <w:szCs w:val="22"/>
              </w:rPr>
              <w:t xml:space="preserve">Endesa Distribución</w:t>
            </w:r>
          </w:p>
        </w:tc>
        <w:tc>
          <w:tcPr>
            <w:tcW w:type="dxa" w:w="2452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Endesa</w:t>
            </w:r>
          </w:p>
        </w:tc>
        <w:tc>
          <w:tcPr>
            <w:tcW w:type="dxa" w:w="2452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Improperly charged customers for network-extension installations</w:t>
            </w:r>
          </w:p>
        </w:tc>
        <w:tc>
          <w:tcPr>
            <w:tcW w:type="dxa" w:w="2452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22"/>
                <w:szCs w:val="22"/>
              </w:rPr>
              <w:t xml:space="preserve">€1.18m fine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(2014)</w:t>
            </w:r>
          </w:p>
        </w:tc>
      </w:tr>
      <w:tr>
        <w:tc>
          <w:tcPr>
            <w:tcW w:type="dxa" w:w="2452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22"/>
                <w:szCs w:val="22"/>
              </w:rPr>
              <w:t xml:space="preserve">Centrica cases (641/08–645/08)</w:t>
            </w:r>
          </w:p>
        </w:tc>
        <w:tc>
          <w:tcPr>
            <w:tcW w:type="dxa" w:w="2452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Endesa, Unión Fenosa, Iberdrola, etc.</w:t>
            </w:r>
          </w:p>
        </w:tc>
        <w:tc>
          <w:tcPr>
            <w:tcW w:type="dxa" w:w="2452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Refusal/discriminatory access to electricity-supply information</w:t>
            </w:r>
          </w:p>
        </w:tc>
        <w:tc>
          <w:tcPr>
            <w:tcW w:type="dxa" w:w="2452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22"/>
                <w:szCs w:val="22"/>
              </w:rPr>
              <w:t xml:space="preserve">€35.8m aggregate fines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(2009)</w:t>
            </w:r>
          </w:p>
        </w:tc>
      </w:tr>
      <w:tr>
        <w:tc>
          <w:tcPr>
            <w:tcW w:type="dxa" w:w="2452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22"/>
                <w:szCs w:val="22"/>
              </w:rPr>
              <w:t xml:space="preserve">Real Sociedad Canina de España</w:t>
            </w:r>
          </w:p>
        </w:tc>
        <w:tc>
          <w:tcPr>
            <w:tcW w:type="dxa" w:w="2452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RSCE</w:t>
            </w:r>
          </w:p>
        </w:tc>
        <w:tc>
          <w:tcPr>
            <w:tcW w:type="dxa" w:w="2452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Restrictions affecting rival associations and discriminatory treatment of judges</w:t>
            </w:r>
          </w:p>
        </w:tc>
        <w:tc>
          <w:tcPr>
            <w:tcW w:type="dxa" w:w="2452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22"/>
                <w:szCs w:val="22"/>
              </w:rPr>
              <w:t xml:space="preserve">€142,996 fine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(2022)</w:t>
            </w:r>
          </w:p>
        </w:tc>
      </w:tr>
    </w:tbl>
    <w:p>
      <w:pPr>
        <w:spacing w:after="120"/>
      </w:pP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The CNMC describes abuse of dominance under Article 2 LDC as including unfair prices/conditions, unjustified refusal to supply, and tying unrelated contractual obligations. </w:t>
      </w:r>
      <w:hyperlink w:history="1" r:id="rId63friwup7vk_qvgzk02gj">
        <w:r>
          <w:rPr>
            <w:rStyle w:val="Hyperlink"/>
            <w:rFonts w:ascii="Calibri" w:cs="Calibri" w:eastAsia="Calibri" w:hAnsi="Calibri"/>
            <w:sz w:val="22"/>
            <w:szCs w:val="22"/>
          </w:rPr>
          <w:t xml:space="preserve">[1]</w:t>
        </w:r>
      </w:hyperlink>
      <w:hyperlink w:history="1" r:id="rIddx2oalrfetss2_vi5j7ua">
        <w:r>
          <w:rPr>
            <w:rStyle w:val="Hyperlink"/>
            <w:rFonts w:ascii="Calibri" w:cs="Calibri" w:eastAsia="Calibri" w:hAnsi="Calibri"/>
            <w:sz w:val="22"/>
            <w:szCs w:val="22"/>
          </w:rPr>
          <w:t xml:space="preserve">[2]</w:t>
        </w:r>
      </w:hyperlink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
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Particularly useful cases</w:t>
      </w:r>
    </w:p>
    <w:p>
      <w:pPr>
        <w:spacing w:after="160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1. Booking.com — S/0005/21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
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
Probably one of the most useful recent Spanish cases for an Article 102 analysis. The CNMC found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two continuing infringements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: an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exploitative abuse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and an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exclusionary abuse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, concerning Booking.com's position in online hotel-reservation intermediation and online retail hotel-booking markets in Spain. </w:t>
      </w:r>
      <w:hyperlink w:history="1" r:id="rIdbbv8_kdgih5j8hybqz1ir">
        <w:r>
          <w:rPr>
            <w:rStyle w:val="Hyperlink"/>
            <w:rFonts w:ascii="Calibri" w:cs="Calibri" w:eastAsia="Calibri" w:hAnsi="Calibri"/>
            <w:sz w:val="22"/>
            <w:szCs w:val="22"/>
          </w:rPr>
          <w:t xml:space="preserve">[3]</w:t>
        </w:r>
      </w:hyperlink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
</w:t>
      </w:r>
    </w:p>
    <w:p>
      <w:pPr>
        <w:spacing w:after="160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2. Correos — 2022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
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
A good example of an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exclusionary pricing/discount case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. The CNMC imposed €32.6m over a discount system for large customers that it considered capable of excluding or preventing competitors' entry, at least during 2015–2019. </w:t>
      </w:r>
      <w:hyperlink w:history="1" r:id="rIda2vro3hikhfdtmnbk1_ra">
        <w:r>
          <w:rPr>
            <w:rStyle w:val="Hyperlink"/>
            <w:rFonts w:ascii="Calibri" w:cs="Calibri" w:eastAsia="Calibri" w:hAnsi="Calibri"/>
            <w:sz w:val="22"/>
            <w:szCs w:val="22"/>
          </w:rPr>
          <w:t xml:space="preserve">[4]</w:t>
        </w:r>
      </w:hyperlink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
</w:t>
      </w:r>
    </w:p>
    <w:p>
      <w:pPr>
        <w:spacing w:after="160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3. Repsol — 2026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
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
A very recent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margin-squeeze/pricing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case. The CNMC found that Repsol's pricing policy squeezed the margins of independent low-cost petrol stations and imposed fines totalling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€20.5m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. </w:t>
      </w:r>
      <w:hyperlink w:history="1" r:id="rIde78uqxydis-t1fub1pvgh">
        <w:r>
          <w:rPr>
            <w:rStyle w:val="Hyperlink"/>
            <w:rFonts w:ascii="Calibri" w:cs="Calibri" w:eastAsia="Calibri" w:hAnsi="Calibri"/>
            <w:sz w:val="22"/>
            <w:szCs w:val="22"/>
          </w:rPr>
          <w:t xml:space="preserve">[5]</w:t>
        </w:r>
      </w:hyperlink>
      <w:hyperlink w:history="1" r:id="rId06p0yxv4asn3pgojohli5">
        <w:r>
          <w:rPr>
            <w:rStyle w:val="Hyperlink"/>
            <w:rFonts w:ascii="Calibri" w:cs="Calibri" w:eastAsia="Calibri" w:hAnsi="Calibri"/>
            <w:sz w:val="22"/>
            <w:szCs w:val="22"/>
          </w:rPr>
          <w:t xml:space="preserve">[6]</w:t>
        </w:r>
      </w:hyperlink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
</w:t>
      </w:r>
    </w:p>
    <w:p>
      <w:pPr>
        <w:spacing w:after="160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4. Nokia GSM-R — 2017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
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
A particularly clean example of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margin squeeze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. Nokia was found to have abused its dominant position through its wholesale and retail pricing for GSM-R systems used in railway communications; the conduct was considered capable of causing its principal competitor to withdraw from an Adif tender. </w:t>
      </w:r>
      <w:hyperlink w:history="1" r:id="rIdyktzonoyj1dsmobq6jazi">
        <w:r>
          <w:rPr>
            <w:rStyle w:val="Hyperlink"/>
            <w:rFonts w:ascii="Calibri" w:cs="Calibri" w:eastAsia="Calibri" w:hAnsi="Calibri"/>
            <w:sz w:val="22"/>
            <w:szCs w:val="22"/>
          </w:rPr>
          <w:t xml:space="preserve">[7]</w:t>
        </w:r>
      </w:hyperlink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
</w:t>
      </w:r>
    </w:p>
    <w:p>
      <w:pPr>
        <w:spacing w:after="160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5. Centrica — Cases 641/08–645/08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
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
A classic Spanish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refusal of access / discriminatory access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series. The electricity distributors were fined an aggregate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€35.8m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for denying Centrica Energía access to customer supply information under the applicable conditions, while some distributors gave preferential access to group companies. </w:t>
      </w:r>
      <w:hyperlink w:history="1" r:id="rIdjysh9oawshtpz7je6bpqg">
        <w:r>
          <w:rPr>
            <w:rStyle w:val="Hyperlink"/>
            <w:rFonts w:ascii="Calibri" w:cs="Calibri" w:eastAsia="Calibri" w:hAnsi="Calibri"/>
            <w:sz w:val="22"/>
            <w:szCs w:val="22"/>
          </w:rPr>
          <w:t xml:space="preserve">[8]</w:t>
        </w:r>
      </w:hyperlink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
</w:t>
      </w:r>
    </w:p>
    <w:p>
      <w:pPr>
        <w:spacing w:after="160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6. Enel Green Power — S/0022/20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
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
Useful for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self-preferencing / discriminatory access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analysis. Enel Green, acting as the single point of contact for two grid-access nodes, allegedly used that position to give its own renewable-generation facilities greater access capacity at the expense of competitors. The CNMC imposed €4.9m for two Article 2 infringements. </w:t>
      </w:r>
      <w:hyperlink w:history="1" r:id="rIdt4zkhack5skuobz3losj3">
        <w:r>
          <w:rPr>
            <w:rStyle w:val="Hyperlink"/>
            <w:rFonts w:ascii="Calibri" w:cs="Calibri" w:eastAsia="Calibri" w:hAnsi="Calibri"/>
            <w:sz w:val="22"/>
            <w:szCs w:val="22"/>
          </w:rPr>
          <w:t xml:space="preserve">[9]</w:t>
        </w:r>
      </w:hyperlink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
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If you need cases for legal research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I can also give you a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much larger case table (20–40 Spanish cases)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with: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case number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decision date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dominant undertaking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relevant market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theory of abuse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Article 2 LDC / Article 102 TFEU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fine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CNMC/CNC decision link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Spanish court appeal outcome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EU-law relevance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whether the decision was ultimately upheld, annulled, or modified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That would be particularly useful if you're writing a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competition-law memo, thesis, or Article 102 case comparison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1F4E5F"/>
          <w:sz w:val="28"/>
          <w:szCs w:val="28"/>
        </w:rPr>
        <w:t xml:space="preserve">Cited Sources</w:t>
      </w:r>
    </w:p>
    <w:p>
      <w:pPr>
        <w:pStyle w:val="ListParagraph"/>
        <w:numPr>
          <w:ilvl w:val="0"/>
          <w:numId w:val="2"/>
        </w:numPr>
        <w:spacing w:after="80"/>
      </w:pPr>
      <w:hyperlink w:history="1" r:id="rIdep4pryccv3ybpcvxy15pq">
        <w:r>
          <w:rPr>
            <w:rStyle w:val="Hyperlink"/>
            <w:rFonts w:ascii="Calibri" w:cs="Calibri" w:eastAsia="Calibri" w:hAnsi="Calibri"/>
            <w:sz w:val="22"/>
            <w:szCs w:val="22"/>
          </w:rPr>
          <w:t xml:space="preserve">https://www.cnmc.es/vigilamos-la-competencia/abuso-de-posicion-dominante</w:t>
        </w:r>
      </w:hyperlink>
    </w:p>
    <w:p>
      <w:pPr>
        <w:pStyle w:val="ListParagraph"/>
        <w:numPr>
          <w:ilvl w:val="0"/>
          <w:numId w:val="2"/>
        </w:numPr>
        <w:spacing w:after="80"/>
      </w:pPr>
      <w:hyperlink w:history="1" r:id="rIda8flfpl65fjhext8h_drb">
        <w:r>
          <w:rPr>
            <w:rStyle w:val="Hyperlink"/>
            <w:rFonts w:ascii="Calibri" w:cs="Calibri" w:eastAsia="Calibri" w:hAnsi="Calibri"/>
            <w:sz w:val="22"/>
            <w:szCs w:val="22"/>
          </w:rPr>
          <w:t xml:space="preserve">https://cnmc.es/en/ambitos-de-actuacion/competencia/conductas-anticompetitivas</w:t>
        </w:r>
      </w:hyperlink>
    </w:p>
    <w:p>
      <w:pPr>
        <w:pStyle w:val="ListParagraph"/>
        <w:numPr>
          <w:ilvl w:val="0"/>
          <w:numId w:val="2"/>
        </w:numPr>
        <w:spacing w:after="80"/>
      </w:pPr>
      <w:hyperlink w:history="1" r:id="rId0knrcluy0irsc-meuaalb">
        <w:r>
          <w:rPr>
            <w:rStyle w:val="Hyperlink"/>
            <w:rFonts w:ascii="Calibri" w:cs="Calibri" w:eastAsia="Calibri" w:hAnsi="Calibri"/>
            <w:sz w:val="22"/>
            <w:szCs w:val="22"/>
          </w:rPr>
          <w:t xml:space="preserve">https://www.cnmc.es/expedientes/s000521</w:t>
        </w:r>
      </w:hyperlink>
    </w:p>
    <w:p>
      <w:pPr>
        <w:pStyle w:val="ListParagraph"/>
        <w:numPr>
          <w:ilvl w:val="0"/>
          <w:numId w:val="2"/>
        </w:numPr>
        <w:spacing w:after="80"/>
      </w:pPr>
      <w:hyperlink w:history="1" r:id="rIdijj8lwnmgyyrsjkqqicbh">
        <w:r>
          <w:rPr>
            <w:rStyle w:val="Hyperlink"/>
            <w:rFonts w:ascii="Calibri" w:cs="Calibri" w:eastAsia="Calibri" w:hAnsi="Calibri"/>
            <w:sz w:val="22"/>
            <w:szCs w:val="22"/>
          </w:rPr>
          <w:t xml:space="preserve">https://www.cnmc.es/sites/default/files/editor_contenidos/CNMC/Memorias/Mem_CNMC_2022_web.pdf</w:t>
        </w:r>
      </w:hyperlink>
    </w:p>
    <w:p>
      <w:pPr>
        <w:pStyle w:val="ListParagraph"/>
        <w:numPr>
          <w:ilvl w:val="0"/>
          <w:numId w:val="2"/>
        </w:numPr>
        <w:spacing w:after="80"/>
      </w:pPr>
      <w:hyperlink w:history="1" r:id="rIdrbekcy4fl8xkshnp3t-oc">
        <w:r>
          <w:rPr>
            <w:rStyle w:val="Hyperlink"/>
            <w:rFonts w:ascii="Calibri" w:cs="Calibri" w:eastAsia="Calibri" w:hAnsi="Calibri"/>
            <w:sz w:val="22"/>
            <w:szCs w:val="22"/>
          </w:rPr>
          <w:t xml:space="preserve">https://www.lexisnexis.co.uk/legal/guidance/spain-behavioural-investigations-closed-cases-tracker</w:t>
        </w:r>
      </w:hyperlink>
    </w:p>
    <w:p>
      <w:pPr>
        <w:pStyle w:val="ListParagraph"/>
        <w:numPr>
          <w:ilvl w:val="0"/>
          <w:numId w:val="2"/>
        </w:numPr>
        <w:spacing w:after="80"/>
      </w:pPr>
      <w:hyperlink w:history="1" r:id="rIdtivoegocs2fcaywiuav42">
        <w:r>
          <w:rPr>
            <w:rStyle w:val="Hyperlink"/>
            <w:rFonts w:ascii="Calibri" w:cs="Calibri" w:eastAsia="Calibri" w:hAnsi="Calibri"/>
            <w:sz w:val="22"/>
            <w:szCs w:val="22"/>
          </w:rPr>
          <w:t xml:space="preserve">https://www.lexisnexis.com/en-gb/legal/guidance/spain-behavioural-investigations-closed-cases-tracker</w:t>
        </w:r>
      </w:hyperlink>
    </w:p>
    <w:p>
      <w:pPr>
        <w:pStyle w:val="ListParagraph"/>
        <w:numPr>
          <w:ilvl w:val="0"/>
          <w:numId w:val="2"/>
        </w:numPr>
        <w:spacing w:after="80"/>
      </w:pPr>
      <w:hyperlink w:history="1" r:id="rIdeat9fdc3feqjynnxyoaft">
        <w:r>
          <w:rPr>
            <w:rStyle w:val="Hyperlink"/>
            <w:rFonts w:ascii="Calibri" w:cs="Calibri" w:eastAsia="Calibri" w:hAnsi="Calibri"/>
            <w:sz w:val="22"/>
            <w:szCs w:val="22"/>
          </w:rPr>
          <w:t xml:space="preserve">https://www.cnmc.es/la-cnmc-sanciona-nokia-solutions-and-networks-spain-por-abuso-de-posicion-de-dominio-en-una-362867?page=1</w:t>
        </w:r>
      </w:hyperlink>
    </w:p>
    <w:p>
      <w:pPr>
        <w:pStyle w:val="ListParagraph"/>
        <w:numPr>
          <w:ilvl w:val="0"/>
          <w:numId w:val="2"/>
        </w:numPr>
        <w:spacing w:after="80"/>
      </w:pPr>
      <w:hyperlink w:history="1" r:id="rIduurppnslvhcckyt36qg2z">
        <w:r>
          <w:rPr>
            <w:rStyle w:val="Hyperlink"/>
            <w:rFonts w:ascii="Calibri" w:cs="Calibri" w:eastAsia="Calibri" w:hAnsi="Calibri"/>
            <w:sz w:val="22"/>
            <w:szCs w:val="22"/>
          </w:rPr>
          <w:t xml:space="preserve">https://www.cnmc.es/sites/default/files/editor_contenidos/CNMC/Gu%C3%ADa_competencia_consumidores_.pdf</w:t>
        </w:r>
      </w:hyperlink>
    </w:p>
    <w:p>
      <w:pPr>
        <w:pStyle w:val="ListParagraph"/>
        <w:numPr>
          <w:ilvl w:val="0"/>
          <w:numId w:val="2"/>
        </w:numPr>
        <w:spacing w:after="80"/>
      </w:pPr>
      <w:hyperlink w:history="1" r:id="rIdh6yftbvym7nletsaiu1dd">
        <w:r>
          <w:rPr>
            <w:rStyle w:val="Hyperlink"/>
            <w:rFonts w:ascii="Calibri" w:cs="Calibri" w:eastAsia="Calibri" w:hAnsi="Calibri"/>
            <w:sz w:val="22"/>
            <w:szCs w:val="22"/>
          </w:rPr>
          <w:t xml:space="preserve">https://www.cnmc.es/prensa/sancionador-enel-20220614?back=news&amp;page=2</w:t>
        </w:r>
      </w:hyperlink>
    </w:p>
    <w:sectPr>
      <w:pgSz w:w="12240" w:h="15840" w:orient="portrait"/>
      <w:pgMar w:top="1350" w:right="1080" w:bottom="135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[%1]"/>
      <w:lvlJc w:val="star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63friwup7vk_qvgzk02gj" Type="http://schemas.openxmlformats.org/officeDocument/2006/relationships/hyperlink" Target="https://www.cnmc.es/vigilamos-la-competencia/abuso-de-posicion-dominante" TargetMode="External"/><Relationship Id="rIddx2oalrfetss2_vi5j7ua" Type="http://schemas.openxmlformats.org/officeDocument/2006/relationships/hyperlink" Target="https://cnmc.es/en/ambitos-de-actuacion/competencia/conductas-anticompetitivas" TargetMode="External"/><Relationship Id="rIdbbv8_kdgih5j8hybqz1ir" Type="http://schemas.openxmlformats.org/officeDocument/2006/relationships/hyperlink" Target="https://www.cnmc.es/expedientes/s000521" TargetMode="External"/><Relationship Id="rIda2vro3hikhfdtmnbk1_ra" Type="http://schemas.openxmlformats.org/officeDocument/2006/relationships/hyperlink" Target="https://www.cnmc.es/sites/default/files/editor_contenidos/CNMC/Memorias/Mem_CNMC_2022_web.pdf" TargetMode="External"/><Relationship Id="rIde78uqxydis-t1fub1pvgh" Type="http://schemas.openxmlformats.org/officeDocument/2006/relationships/hyperlink" Target="https://www.lexisnexis.co.uk/legal/guidance/spain-behavioural-investigations-closed-cases-tracker" TargetMode="External"/><Relationship Id="rId06p0yxv4asn3pgojohli5" Type="http://schemas.openxmlformats.org/officeDocument/2006/relationships/hyperlink" Target="https://www.lexisnexis.com/en-gb/legal/guidance/spain-behavioural-investigations-closed-cases-tracker" TargetMode="External"/><Relationship Id="rIdyktzonoyj1dsmobq6jazi" Type="http://schemas.openxmlformats.org/officeDocument/2006/relationships/hyperlink" Target="https://www.cnmc.es/la-cnmc-sanciona-nokia-solutions-and-networks-spain-por-abuso-de-posicion-de-dominio-en-una-362867?page=1" TargetMode="External"/><Relationship Id="rIdjysh9oawshtpz7je6bpqg" Type="http://schemas.openxmlformats.org/officeDocument/2006/relationships/hyperlink" Target="https://www.cnmc.es/sites/default/files/editor_contenidos/CNMC/Gu%C3%ADa_competencia_consumidores_.pdf" TargetMode="External"/><Relationship Id="rIdt4zkhack5skuobz3losj3" Type="http://schemas.openxmlformats.org/officeDocument/2006/relationships/hyperlink" Target="https://www.cnmc.es/prensa/sancionador-enel-20220614?back=news&amp;page=2" TargetMode="External"/><Relationship Id="rIdep4pryccv3ybpcvxy15pq" Type="http://schemas.openxmlformats.org/officeDocument/2006/relationships/hyperlink" Target="https://www.cnmc.es/vigilamos-la-competencia/abuso-de-posicion-dominante" TargetMode="External"/><Relationship Id="rIda8flfpl65fjhext8h_drb" Type="http://schemas.openxmlformats.org/officeDocument/2006/relationships/hyperlink" Target="https://cnmc.es/en/ambitos-de-actuacion/competencia/conductas-anticompetitivas" TargetMode="External"/><Relationship Id="rId0knrcluy0irsc-meuaalb" Type="http://schemas.openxmlformats.org/officeDocument/2006/relationships/hyperlink" Target="https://www.cnmc.es/expedientes/s000521" TargetMode="External"/><Relationship Id="rIdijj8lwnmgyyrsjkqqicbh" Type="http://schemas.openxmlformats.org/officeDocument/2006/relationships/hyperlink" Target="https://www.cnmc.es/sites/default/files/editor_contenidos/CNMC/Memorias/Mem_CNMC_2022_web.pdf" TargetMode="External"/><Relationship Id="rIdrbekcy4fl8xkshnp3t-oc" Type="http://schemas.openxmlformats.org/officeDocument/2006/relationships/hyperlink" Target="https://www.lexisnexis.co.uk/legal/guidance/spain-behavioural-investigations-closed-cases-tracker" TargetMode="External"/><Relationship Id="rIdtivoegocs2fcaywiuav42" Type="http://schemas.openxmlformats.org/officeDocument/2006/relationships/hyperlink" Target="https://www.lexisnexis.com/en-gb/legal/guidance/spain-behavioural-investigations-closed-cases-tracker" TargetMode="External"/><Relationship Id="rIdeat9fdc3feqjynnxyoaft" Type="http://schemas.openxmlformats.org/officeDocument/2006/relationships/hyperlink" Target="https://www.cnmc.es/la-cnmc-sanciona-nokia-solutions-and-networks-spain-por-abuso-de-posicion-de-dominio-en-una-362867?page=1" TargetMode="External"/><Relationship Id="rIduurppnslvhcckyt36qg2z" Type="http://schemas.openxmlformats.org/officeDocument/2006/relationships/hyperlink" Target="https://www.cnmc.es/sites/default/files/editor_contenidos/CNMC/Gu%C3%ADa_competencia_consumidores_.pdf" TargetMode="External"/><Relationship Id="rIdh6yftbvym7nletsaiu1dd" Type="http://schemas.openxmlformats.org/officeDocument/2006/relationships/hyperlink" Target="https://www.cnmc.es/prensa/sancionador-enel-20220614?back=news&amp;page=2" TargetMode="External"/><Relationship Id="rId2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2026-09-02T11:54:26.281Z</dcterms:created>
  <dcterms:modified xsi:type="dcterms:W3CDTF">2026-09-02T11:54:26.281Z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