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4E5F"/>
          <w:sz w:val="32"/>
          <w:szCs w:val="32"/>
        </w:rPr>
        <w:t xml:space="preserve">Response Transcript — Sample 4</w:t>
      </w:r>
    </w:p>
    <w:p>
      <w:pPr>
        <w:pBdr>
          <w:bottom w:val="single" w:color="AAAAAA" w:sz="6" w:space="4"/>
        </w:pBdr>
        <w:spacing w:after="200" w:before="200"/>
      </w:pPr>
    </w:p>
    <w:p>
      <w:pPr>
        <w:spacing w:after="120" w:before="240"/>
      </w:pPr>
      <w:r>
        <w:rPr>
          <w:rFonts w:ascii="Calibri" w:cs="Calibri" w:eastAsia="Calibri" w:hAnsi="Calibri"/>
          <w:b/>
          <w:bCs/>
          <w:color w:val="1F4E5F"/>
          <w:sz w:val="24"/>
          <w:szCs w:val="24"/>
        </w:rPr>
        <w:t xml:space="preserve">User Query</w:t>
      </w:r>
    </w:p>
    <w:p>
      <w:pPr>
        <w:pBdr>
          <w:left w:val="single" w:color="1F4E5F" w:sz="12" w:space="8"/>
        </w:pBdr>
        <w:spacing w:after="200"/>
        <w:ind w:left="360"/>
      </w:pPr>
      <w:r>
        <w:rPr>
          <w:rFonts w:ascii="Calibri" w:cs="Calibri" w:eastAsia="Calibri" w:hAnsi="Calibri"/>
          <w:i/>
          <w:iCs/>
          <w:sz w:val="22"/>
          <w:szCs w:val="22"/>
        </w:rPr>
        <w:t xml:space="preserve">Get me Spanish abuse of dominance cases</w:t>
      </w:r>
    </w:p>
    <w:p>
      <w:pPr>
        <w:spacing w:after="120" w:before="240"/>
      </w:pPr>
      <w:r>
        <w:rPr>
          <w:rFonts w:ascii="Calibri" w:cs="Calibri" w:eastAsia="Calibri" w:hAnsi="Calibri"/>
          <w:b/>
          <w:bCs/>
          <w:color w:val="1F4E5F"/>
          <w:sz w:val="24"/>
          <w:szCs w:val="24"/>
        </w:rPr>
        <w:t xml:space="preserve">System Response</w:t>
      </w:r>
    </w:p>
    <w:p>
      <w:pPr>
        <w:spacing w:after="120"/>
      </w:pPr>
      <w:r>
        <w:rPr>
          <w:rFonts w:ascii="Calibri" w:cs="Calibri" w:eastAsia="Calibri" w:hAnsi="Calibri"/>
          <w:b w:val="false"/>
          <w:bCs w:val="false"/>
          <w:i w:val="false"/>
          <w:iCs w:val="false"/>
          <w:sz w:val="22"/>
          <w:szCs w:val="22"/>
        </w:rPr>
        <w:t xml:space="preserve">Here's a rundown of notable Spanish abuse-of-dominance cases, mostly decided by the CNMC (Comisión Nacional de los Mercados y la Competencia) under Article 2 of the Ley de Defensa de la Competencia (LDC) and/or Article 102 TFEU:</w:t>
      </w:r>
    </w:p>
    <w:p>
      <w:pPr>
        <w:pStyle w:val="ListParagraph"/>
        <w:numPr>
          <w:ilvl w:val="0"/>
          <w:numId w:val="2"/>
        </w:numPr>
        <w:spacing w:after="100"/>
      </w:pPr>
      <w:r>
        <w:rPr>
          <w:rFonts w:ascii="Calibri" w:cs="Calibri" w:eastAsia="Calibri" w:hAnsi="Calibri"/>
          <w:b/>
          <w:bCs/>
          <w:i w:val="false"/>
          <w:iCs w:val="false"/>
          <w:sz w:val="22"/>
          <w:szCs w:val="22"/>
        </w:rPr>
        <w:t xml:space="preserve">Correos – loyalty discounts (postal services)</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The CNMC found Correos committed an abuse of a dominant position under Article 2 LDC and Article 102 TFEU by applying a loyalty discount scheme to bulk-mail senders that had a potentially exclusionary effect on the retail market for traditional letter services to mass senders. The CNMC based its findings on the conditional and retroactive nature of the discounts, their excessive duration, and the lack of transparency in how they were calculated. The decision leaned heavily on the EU General Court's </w:t>
      </w:r>
      <w:r>
        <w:rPr>
          <w:rFonts w:ascii="Calibri" w:cs="Calibri" w:eastAsia="Calibri" w:hAnsi="Calibri"/>
          <w:b w:val="false"/>
          <w:bCs w:val="false"/>
          <w:i/>
          <w:iCs/>
          <w:sz w:val="22"/>
          <w:szCs w:val="22"/>
        </w:rPr>
        <w:t xml:space="preserve">Intel</w:t>
      </w:r>
      <w:r>
        <w:rPr>
          <w:rFonts w:ascii="Calibri" w:cs="Calibri" w:eastAsia="Calibri" w:hAnsi="Calibri"/>
          <w:b w:val="false"/>
          <w:bCs w:val="false"/>
          <w:i w:val="false"/>
          <w:iCs w:val="false"/>
          <w:sz w:val="22"/>
          <w:szCs w:val="22"/>
        </w:rPr>
        <w:t xml:space="preserve"> ruling (T-286/09 RENV), noting that while loyalty discounts by a dominant firm can be presumed capable of restricting competition, this is a rebuttable presumption, not a per se infringement — so the authority must weigh evidence the firm submits showing no exclusionary effect. </w:t>
      </w:r>
      <w:hyperlink w:history="1" r:id="rIdnsasjz8gpnhkm7rb9dxbp">
        <w:r>
          <w:rPr>
            <w:rStyle w:val="Hyperlink"/>
            <w:rFonts w:ascii="Calibri" w:cs="Calibri" w:eastAsia="Calibri" w:hAnsi="Calibri"/>
            <w:sz w:val="22"/>
            <w:szCs w:val="22"/>
          </w:rPr>
          <w:t xml:space="preserve">[1]</w:t>
        </w:r>
      </w:hyperlink>
    </w:p>
    <w:p>
      <w:pPr>
        <w:pStyle w:val="ListParagraph"/>
        <w:numPr>
          <w:ilvl w:val="0"/>
          <w:numId w:val="2"/>
        </w:numPr>
        <w:spacing w:after="100"/>
      </w:pPr>
      <w:r>
        <w:rPr>
          <w:rFonts w:ascii="Calibri" w:cs="Calibri" w:eastAsia="Calibri" w:hAnsi="Calibri"/>
          <w:b/>
          <w:bCs/>
          <w:i w:val="false"/>
          <w:iCs w:val="false"/>
          <w:sz w:val="22"/>
          <w:szCs w:val="22"/>
        </w:rPr>
        <w:t xml:space="preserve">Leadiant – exclusivity agreements (pharma)</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The CNMC also found an abuse of dominance through the maintenance, since 2017, of exclusivity agreements that foreclosed the market to competitors. Citing the </w:t>
      </w:r>
      <w:r>
        <w:rPr>
          <w:rFonts w:ascii="Calibri" w:cs="Calibri" w:eastAsia="Calibri" w:hAnsi="Calibri"/>
          <w:b w:val="false"/>
          <w:bCs w:val="false"/>
          <w:i/>
          <w:iCs/>
          <w:sz w:val="22"/>
          <w:szCs w:val="22"/>
        </w:rPr>
        <w:t xml:space="preserve">Intel</w:t>
      </w:r>
      <w:r>
        <w:rPr>
          <w:rFonts w:ascii="Calibri" w:cs="Calibri" w:eastAsia="Calibri" w:hAnsi="Calibri"/>
          <w:b w:val="false"/>
          <w:bCs w:val="false"/>
          <w:i w:val="false"/>
          <w:iCs w:val="false"/>
          <w:sz w:val="22"/>
          <w:szCs w:val="22"/>
        </w:rPr>
        <w:t xml:space="preserve"> precedent on exclusivity contracts, the ruling held that Leadiant's exclusive supply contracts formed part of a broader anticompetitive strategy. On pricing, the CNMC declined to compare Spanish prices with those in other countries — a common method in past excessive-pricing cases — because differences between national health systems made the markets non-comparable. </w:t>
      </w:r>
      <w:hyperlink w:history="1" r:id="rIdi8fectstr5iztpwapl85k">
        <w:r>
          <w:rPr>
            <w:rStyle w:val="Hyperlink"/>
            <w:rFonts w:ascii="Calibri" w:cs="Calibri" w:eastAsia="Calibri" w:hAnsi="Calibri"/>
            <w:sz w:val="22"/>
            <w:szCs w:val="22"/>
          </w:rPr>
          <w:t xml:space="preserve">[2]</w:t>
        </w:r>
      </w:hyperlink>
    </w:p>
    <w:p>
      <w:pPr>
        <w:pStyle w:val="ListParagraph"/>
        <w:numPr>
          <w:ilvl w:val="0"/>
          <w:numId w:val="2"/>
        </w:numPr>
        <w:spacing w:after="100"/>
      </w:pPr>
      <w:r>
        <w:rPr>
          <w:rFonts w:ascii="Calibri" w:cs="Calibri" w:eastAsia="Calibri" w:hAnsi="Calibri"/>
          <w:b/>
          <w:bCs/>
          <w:i w:val="false"/>
          <w:iCs w:val="false"/>
          <w:sz w:val="22"/>
          <w:szCs w:val="22"/>
        </w:rPr>
        <w:t xml:space="preserve">MSD – abusive litigation against a competitor</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In a related pharma case, the CNMC concluded there was intent and effect to harass a competitor through litigation in order to obstruct its market entry, imposing a fine of almost €39 million on MSD and referring the decision to the state's public procurement advisory board. </w:t>
      </w:r>
      <w:hyperlink w:history="1" r:id="rIdqxxsjfse9gohcdfw_7blw">
        <w:r>
          <w:rPr>
            <w:rStyle w:val="Hyperlink"/>
            <w:rFonts w:ascii="Calibri" w:cs="Calibri" w:eastAsia="Calibri" w:hAnsi="Calibri"/>
            <w:sz w:val="22"/>
            <w:szCs w:val="22"/>
          </w:rPr>
          <w:t xml:space="preserve">[2]</w:t>
        </w:r>
      </w:hyperlink>
    </w:p>
    <w:p>
      <w:pPr>
        <w:pStyle w:val="ListParagraph"/>
        <w:numPr>
          <w:ilvl w:val="0"/>
          <w:numId w:val="2"/>
        </w:numPr>
        <w:spacing w:after="100"/>
      </w:pPr>
      <w:r>
        <w:rPr>
          <w:rFonts w:ascii="Calibri" w:cs="Calibri" w:eastAsia="Calibri" w:hAnsi="Calibri"/>
          <w:b/>
          <w:bCs/>
          <w:i w:val="false"/>
          <w:iCs w:val="false"/>
          <w:sz w:val="22"/>
          <w:szCs w:val="22"/>
        </w:rPr>
        <w:t xml:space="preserve">Llamadas Móviles (mobile calls) – collective dominance</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A CNMC resolution of 6 March 2014 (Case S/0391/11, "Llamadas Móviles") addressed questions relating to "collective dominant position" — i.e., dominance held jointly by several undertakings, an important precedent since dominance is normally conceived as unilateral, involving a single firm with power in a relevant market. </w:t>
      </w:r>
      <w:hyperlink w:history="1" r:id="rIdogj4hj7tritefmaqfq7cz">
        <w:r>
          <w:rPr>
            <w:rStyle w:val="Hyperlink"/>
            <w:rFonts w:ascii="Calibri" w:cs="Calibri" w:eastAsia="Calibri" w:hAnsi="Calibri"/>
            <w:sz w:val="22"/>
            <w:szCs w:val="22"/>
          </w:rPr>
          <w:t xml:space="preserve">[3]</w:t>
        </w:r>
      </w:hyperlink>
    </w:p>
    <w:p>
      <w:pPr>
        <w:pStyle w:val="ListParagraph"/>
        <w:numPr>
          <w:ilvl w:val="0"/>
          <w:numId w:val="2"/>
        </w:numPr>
        <w:spacing w:after="100"/>
      </w:pPr>
      <w:r>
        <w:rPr>
          <w:rFonts w:ascii="Calibri" w:cs="Calibri" w:eastAsia="Calibri" w:hAnsi="Calibri"/>
          <w:b/>
          <w:bCs/>
          <w:i w:val="false"/>
          <w:iCs w:val="false"/>
          <w:sz w:val="22"/>
          <w:szCs w:val="22"/>
        </w:rPr>
        <w:t xml:space="preserve">Margin squeeze cases (telecoms)</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The CNMC has applied the EU margin-squeeze test from the CJEU's 17 February 2011 preliminary ruling in Case C-52/09 (TeliaSonera), asking whether a dominant firm's pricing practices threaten to exclude an equally efficient competitor from the market. </w:t>
      </w:r>
      <w:hyperlink w:history="1" r:id="rId-8f2l1spkybqhshuvosyl">
        <w:r>
          <w:rPr>
            <w:rStyle w:val="Hyperlink"/>
            <w:rFonts w:ascii="Calibri" w:cs="Calibri" w:eastAsia="Calibri" w:hAnsi="Calibri"/>
            <w:sz w:val="22"/>
            <w:szCs w:val="22"/>
          </w:rPr>
          <w:t xml:space="preserve">[3]</w:t>
        </w:r>
      </w:hyperlink>
    </w:p>
    <w:p>
      <w:pPr>
        <w:pStyle w:val="ListParagraph"/>
        <w:numPr>
          <w:ilvl w:val="0"/>
          <w:numId w:val="2"/>
        </w:numPr>
        <w:spacing w:after="100"/>
      </w:pPr>
      <w:r>
        <w:rPr>
          <w:rFonts w:ascii="Calibri" w:cs="Calibri" w:eastAsia="Calibri" w:hAnsi="Calibri"/>
          <w:b/>
          <w:bCs/>
          <w:i w:val="false"/>
          <w:iCs w:val="false"/>
          <w:sz w:val="22"/>
          <w:szCs w:val="22"/>
        </w:rPr>
        <w:t xml:space="preserve">Rail freight case (Supreme Court review)</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The Tribunal Supremo reviewed a case where the CNMC had sanctioned companies for concerted practices with competitors in the rail freight market, and separately for abuse of dominance in the rail freight services market. The Supreme Court took the case to clarify the scope and limits of judicial review over CNMC decisions involving complex economic assessments, particularly regarding CJEU case law on establishing an effects-based restriction of competition. </w:t>
      </w:r>
      <w:hyperlink w:history="1" r:id="rIdvz_ksi-agybzhwqd1feme">
        <w:r>
          <w:rPr>
            <w:rStyle w:val="Hyperlink"/>
            <w:rFonts w:ascii="Calibri" w:cs="Calibri" w:eastAsia="Calibri" w:hAnsi="Calibri"/>
            <w:sz w:val="22"/>
            <w:szCs w:val="22"/>
          </w:rPr>
          <w:t xml:space="preserve">[4]</w:t>
        </w:r>
      </w:hyperlink>
    </w:p>
    <w:p>
      <w:pPr>
        <w:pBdr>
          <w:bottom w:val="single" w:color="AAAAAA" w:sz="6" w:space="4"/>
        </w:pBdr>
        <w:spacing w:after="200" w:before="200"/>
      </w:pPr>
    </w:p>
    <w:p>
      <w:pPr>
        <w:pStyle w:val="ListParagraph"/>
        <w:numPr>
          <w:ilvl w:val="0"/>
          <w:numId w:val="2"/>
        </w:numPr>
        <w:spacing w:after="100"/>
      </w:pPr>
      <w:r>
        <w:rPr>
          <w:rFonts w:ascii="Calibri" w:cs="Calibri" w:eastAsia="Calibri" w:hAnsi="Calibri"/>
          <w:b/>
          <w:bCs/>
          <w:i w:val="false"/>
          <w:iCs w:val="false"/>
          <w:sz w:val="22"/>
          <w:szCs w:val="22"/>
        </w:rPr>
        <w:t xml:space="preserve">Legal framework</w:t>
      </w:r>
      <w:r>
        <w:rPr>
          <w:rFonts w:ascii="Calibri" w:cs="Calibri" w:eastAsia="Calibri" w:hAnsi="Calibri"/>
          <w:b w:val="false"/>
          <w:bCs w:val="false"/>
          <w:i w:val="false"/>
          <w:iCs w:val="false"/>
          <w:sz w:val="22"/>
          <w:szCs w:val="22"/>
        </w:rPr>
        <w:t xml:space="preserve">: A company has a dominant position if it can act relatively independently of its suppliers, customers, or competitors in the market where it operates, and the LDC prohibits abusive exploitation of that position by imposing unfair prices or trading conditions, unjustifiably refusing to supply, or tying contracts to unrelated obligations, among other conduct, under Law 15/2007 of 3 July on the Defence of Competition. </w:t>
      </w:r>
      <w:hyperlink w:history="1" r:id="rIdxvmjt2gn2xqs34hw3ysiz">
        <w:r>
          <w:rPr>
            <w:rStyle w:val="Hyperlink"/>
            <w:rFonts w:ascii="Calibri" w:cs="Calibri" w:eastAsia="Calibri" w:hAnsi="Calibri"/>
            <w:sz w:val="22"/>
            <w:szCs w:val="22"/>
          </w:rPr>
          <w:t xml:space="preserve">[5]</w:t>
        </w:r>
      </w:hyperlink>
    </w:p>
    <w:p>
      <w:pPr>
        <w:spacing w:after="120"/>
      </w:pPr>
      <w:r>
        <w:rPr>
          <w:rFonts w:ascii="Calibri" w:cs="Calibri" w:eastAsia="Calibri" w:hAnsi="Calibri"/>
          <w:b w:val="false"/>
          <w:bCs w:val="false"/>
          <w:i w:val="false"/>
          <w:iCs w:val="false"/>
          <w:sz w:val="22"/>
          <w:szCs w:val="22"/>
        </w:rPr>
        <w:t xml:space="preserve">Want me to pull the full text or citation details for any specific one of these (e.g., the Correos or Leadiant resolutions), or look for more recent 2024–2026 CNMC decisions?</w:t>
      </w:r>
    </w:p>
    <w:p>
      <w:pPr>
        <w:spacing w:after="120" w:before="240"/>
      </w:pPr>
      <w:r>
        <w:rPr>
          <w:rFonts w:ascii="Calibri" w:cs="Calibri" w:eastAsia="Calibri" w:hAnsi="Calibri"/>
          <w:b/>
          <w:bCs/>
          <w:color w:val="1F4E5F"/>
          <w:sz w:val="24"/>
          <w:szCs w:val="24"/>
        </w:rPr>
        <w:t xml:space="preserve">Cited Sources</w:t>
      </w:r>
    </w:p>
    <w:p>
      <w:pPr>
        <w:pStyle w:val="ListParagraph"/>
        <w:numPr>
          <w:ilvl w:val="0"/>
          <w:numId w:val="3"/>
        </w:numPr>
        <w:spacing w:after="80"/>
      </w:pPr>
      <w:hyperlink w:history="1" r:id="rIdonqifju4atvqc5tfoq5a6">
        <w:r>
          <w:rPr>
            <w:rStyle w:val="Hyperlink"/>
            <w:rFonts w:ascii="Calibri" w:cs="Calibri" w:eastAsia="Calibri" w:hAnsi="Calibri"/>
            <w:sz w:val="22"/>
            <w:szCs w:val="22"/>
          </w:rPr>
          <w:t xml:space="preserve">https://cms.law/es/esp/publication/la-cnmc-impone-una-sancion-por-abuso-de-posicion-de-dominio-consistente-en-la-aplicacion-de-descuentos-fidelizadores-a-grandes-clientes-sin-justifi</w:t>
        </w:r>
      </w:hyperlink>
    </w:p>
    <w:p>
      <w:pPr>
        <w:pStyle w:val="ListParagraph"/>
        <w:numPr>
          <w:ilvl w:val="0"/>
          <w:numId w:val="3"/>
        </w:numPr>
        <w:spacing w:after="80"/>
      </w:pPr>
      <w:hyperlink w:history="1" r:id="rIdqfgdnsmkycbob2-slv7-o">
        <w:r>
          <w:rPr>
            <w:rStyle w:val="Hyperlink"/>
            <w:rFonts w:ascii="Calibri" w:cs="Calibri" w:eastAsia="Calibri" w:hAnsi="Calibri"/>
            <w:sz w:val="22"/>
            <w:szCs w:val="22"/>
          </w:rPr>
          <w:t xml:space="preserve">https://www.uria.com/documentos/publicaciones/8352/documento/ajum61.pdf?id=13280&amp;forceDownload=true</w:t>
        </w:r>
      </w:hyperlink>
    </w:p>
    <w:p>
      <w:pPr>
        <w:pStyle w:val="ListParagraph"/>
        <w:numPr>
          <w:ilvl w:val="0"/>
          <w:numId w:val="3"/>
        </w:numPr>
        <w:spacing w:after="80"/>
      </w:pPr>
      <w:hyperlink w:history="1" r:id="rIdfmlctkxpvh3ptxacfgywo">
        <w:r>
          <w:rPr>
            <w:rStyle w:val="Hyperlink"/>
            <w:rFonts w:ascii="Calibri" w:cs="Calibri" w:eastAsia="Calibri" w:hAnsi="Calibri"/>
            <w:sz w:val="22"/>
            <w:szCs w:val="22"/>
          </w:rPr>
          <w:t xml:space="preserve">https://derechoycompetencia.blogspot.com/search/label/Abuso%20de%20Posici%C3%B3n%20Dominante</w:t>
        </w:r>
      </w:hyperlink>
    </w:p>
    <w:p>
      <w:pPr>
        <w:pStyle w:val="ListParagraph"/>
        <w:numPr>
          <w:ilvl w:val="0"/>
          <w:numId w:val="3"/>
        </w:numPr>
        <w:spacing w:after="80"/>
      </w:pPr>
      <w:hyperlink w:history="1" r:id="rIdyp7ioagxmrhg_or0rif8k">
        <w:r>
          <w:rPr>
            <w:rStyle w:val="Hyperlink"/>
            <w:rFonts w:ascii="Calibri" w:cs="Calibri" w:eastAsia="Calibri" w:hAnsi="Calibri"/>
            <w:sz w:val="22"/>
            <w:szCs w:val="22"/>
          </w:rPr>
          <w:t xml:space="preserve">https://laadministracionaldia.inap.es/noticia.asp?id=1261284</w:t>
        </w:r>
      </w:hyperlink>
    </w:p>
    <w:p>
      <w:pPr>
        <w:pStyle w:val="ListParagraph"/>
        <w:numPr>
          <w:ilvl w:val="0"/>
          <w:numId w:val="3"/>
        </w:numPr>
        <w:spacing w:after="80"/>
      </w:pPr>
      <w:hyperlink w:history="1" r:id="rIdbe8v027csb-yz9wnbknri">
        <w:r>
          <w:rPr>
            <w:rStyle w:val="Hyperlink"/>
            <w:rFonts w:ascii="Calibri" w:cs="Calibri" w:eastAsia="Calibri" w:hAnsi="Calibri"/>
            <w:sz w:val="22"/>
            <w:szCs w:val="22"/>
          </w:rPr>
          <w:t xml:space="preserve">https://www.cnmc.es/vigilamos-la-competencia/abuso-de-posicion-dominante</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asjz8gpnhkm7rb9dxbp" Type="http://schemas.openxmlformats.org/officeDocument/2006/relationships/hyperlink" Target="https://cms.law/es/esp/publication/la-cnmc-impone-una-sancion-por-abuso-de-posicion-de-dominio-consistente-en-la-aplicacion-de-descuentos-fidelizadores-a-grandes-clientes-sin-justifi" TargetMode="External"/><Relationship Id="rIdi8fectstr5iztpwapl85k" Type="http://schemas.openxmlformats.org/officeDocument/2006/relationships/hyperlink" Target="https://www.uria.com/documentos/publicaciones/8352/documento/ajum61.pdf?id=13280&amp;forceDownload=true" TargetMode="External"/><Relationship Id="rIdqxxsjfse9gohcdfw_7blw" Type="http://schemas.openxmlformats.org/officeDocument/2006/relationships/hyperlink" Target="https://www.uria.com/documentos/publicaciones/8352/documento/ajum61.pdf?id=13280&amp;forceDownload=true" TargetMode="External"/><Relationship Id="rIdogj4hj7tritefmaqfq7cz" Type="http://schemas.openxmlformats.org/officeDocument/2006/relationships/hyperlink" Target="https://derechoycompetencia.blogspot.com/search/label/Abuso%20de%20Posici%C3%B3n%20Dominante" TargetMode="External"/><Relationship Id="rId-8f2l1spkybqhshuvosyl" Type="http://schemas.openxmlformats.org/officeDocument/2006/relationships/hyperlink" Target="https://derechoycompetencia.blogspot.com/search/label/Abuso%20de%20Posici%C3%B3n%20Dominante" TargetMode="External"/><Relationship Id="rIdvz_ksi-agybzhwqd1feme" Type="http://schemas.openxmlformats.org/officeDocument/2006/relationships/hyperlink" Target="https://laadministracionaldia.inap.es/noticia.asp?id=1261284" TargetMode="External"/><Relationship Id="rIdxvmjt2gn2xqs34hw3ysiz" Type="http://schemas.openxmlformats.org/officeDocument/2006/relationships/hyperlink" Target="https://www.cnmc.es/vigilamos-la-competencia/abuso-de-posicion-dominante" TargetMode="External"/><Relationship Id="rIdonqifju4atvqc5tfoq5a6" Type="http://schemas.openxmlformats.org/officeDocument/2006/relationships/hyperlink" Target="https://cms.law/es/esp/publication/la-cnmc-impone-una-sancion-por-abuso-de-posicion-de-dominio-consistente-en-la-aplicacion-de-descuentos-fidelizadores-a-grandes-clientes-sin-justifi" TargetMode="External"/><Relationship Id="rIdqfgdnsmkycbob2-slv7-o" Type="http://schemas.openxmlformats.org/officeDocument/2006/relationships/hyperlink" Target="https://www.uria.com/documentos/publicaciones/8352/documento/ajum61.pdf?id=13280&amp;forceDownload=true" TargetMode="External"/><Relationship Id="rIdfmlctkxpvh3ptxacfgywo" Type="http://schemas.openxmlformats.org/officeDocument/2006/relationships/hyperlink" Target="https://derechoycompetencia.blogspot.com/search/label/Abuso%20de%20Posici%C3%B3n%20Dominante" TargetMode="External"/><Relationship Id="rIdyp7ioagxmrhg_or0rif8k" Type="http://schemas.openxmlformats.org/officeDocument/2006/relationships/hyperlink" Target="https://laadministracionaldia.inap.es/noticia.asp?id=1261284" TargetMode="External"/><Relationship Id="rIdbe8v027csb-yz9wnbknri" Type="http://schemas.openxmlformats.org/officeDocument/2006/relationships/hyperlink" Target="https://www.cnmc.es/vigilamos-la-competencia/abuso-de-posicion-dominante"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2026-09-02T12:08:09.992Z</dcterms:created>
  <dcterms:modified xsi:type="dcterms:W3CDTF">2026-09-02T12:08:09.992Z</dcterms:modified>
</cp:coreProperties>
</file>

<file path=docProps/custom.xml><?xml version="1.0" encoding="utf-8"?>
<Properties xmlns="http://schemas.openxmlformats.org/officeDocument/2006/custom-properties" xmlns:vt="http://schemas.openxmlformats.org/officeDocument/2006/docPropsVTypes"/>
</file>