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libri" w:cs="Calibri" w:eastAsia="Calibri" w:hAnsi="Calibri"/>
          <w:b/>
          <w:bCs/>
          <w:color w:val="1F4E5F"/>
          <w:sz w:val="40"/>
          <w:szCs w:val="40"/>
        </w:rPr>
        <w:t xml:space="preserve">Response Transcript — Sample 5</w:t>
      </w:r>
    </w:p>
    <w:p>
      <w:pPr>
        <w:pBdr>
          <w:bottom w:val="single" w:color="CCCCCC" w:sz="6" w:space="4"/>
        </w:pBdr>
        <w:spacing w:after="300"/>
      </w:pPr>
    </w:p>
    <w:p>
      <w:pPr>
        <w:pStyle w:val="Heading1"/>
        <w:spacing w:after="140" w:before="280"/>
      </w:pPr>
      <w:r>
        <w:rPr>
          <w:rFonts w:ascii="Calibri" w:cs="Calibri" w:eastAsia="Calibri" w:hAnsi="Calibri"/>
          <w:b/>
          <w:bCs/>
          <w:color w:val="1F4E5F"/>
          <w:sz w:val="26"/>
          <w:szCs w:val="26"/>
        </w:rPr>
        <w:t xml:space="preserve">User Query</w:t>
      </w:r>
    </w:p>
    <w:p>
      <w:pPr>
        <w:pBdr>
          <w:left w:val="single" w:color="1F4E5F" w:sz="18" w:space="8"/>
        </w:pBdr>
        <w:spacing w:after="240"/>
        <w:ind w:left="360"/>
      </w:pPr>
      <w:r>
        <w:rPr>
          <w:rFonts w:ascii="Calibri" w:cs="Calibri" w:eastAsia="Calibri" w:hAnsi="Calibri"/>
          <w:i/>
          <w:iCs/>
          <w:sz w:val="24"/>
          <w:szCs w:val="24"/>
        </w:rPr>
        <w:t xml:space="preserve">Get me Spanish abuse of dominance cases</w:t>
      </w:r>
    </w:p>
    <w:p>
      <w:pPr>
        <w:pStyle w:val="Heading1"/>
        <w:spacing w:after="140" w:before="280"/>
      </w:pPr>
      <w:r>
        <w:rPr>
          <w:rFonts w:ascii="Calibri" w:cs="Calibri" w:eastAsia="Calibri" w:hAnsi="Calibri"/>
          <w:b/>
          <w:bCs/>
          <w:color w:val="1F4E5F"/>
          <w:sz w:val="26"/>
          <w:szCs w:val="26"/>
        </w:rPr>
        <w:t xml:space="preserve">System Response</w:t>
      </w:r>
    </w:p>
    <w:p>
      <w:pPr>
        <w:spacing w:after="140"/>
      </w:pPr>
      <w:r>
        <w:rPr>
          <w:rFonts w:ascii="Calibri" w:cs="Calibri" w:eastAsia="Calibri" w:hAnsi="Calibri"/>
          <w:i w:val="false"/>
          <w:iCs w:val="false"/>
          <w:sz w:val="22"/>
          <w:szCs w:val="22"/>
        </w:rPr>
        <w:t xml:space="preserve">Here are some significant Spanish abuse of dominance cases:</w:t>
      </w:r>
    </w:p>
    <w:p>
      <w:pPr>
        <w:pStyle w:val="Heading2"/>
        <w:spacing w:after="100" w:before="200"/>
      </w:pPr>
      <w:r>
        <w:rPr>
          <w:rFonts w:ascii="Calibri" w:cs="Calibri" w:eastAsia="Calibri" w:hAnsi="Calibri"/>
          <w:b/>
          <w:bCs/>
          <w:i/>
          <w:iCs/>
          <w:color w:val="333333"/>
          <w:sz w:val="22"/>
          <w:szCs w:val="22"/>
        </w:rPr>
        <w:t xml:space="preserve">1. L'Oréal SA v. Comisión Nacional de los Mercados y la Competencia, C-402/09 (2011)</w:t>
      </w:r>
    </w:p>
    <w:p>
      <w:pPr>
        <w:spacing w:after="140"/>
      </w:pPr>
      <w:r>
        <w:rPr>
          <w:rFonts w:ascii="Calibri" w:cs="Calibri" w:eastAsia="Calibri" w:hAnsi="Calibri"/>
          <w:i w:val="false"/>
          <w:iCs w:val="false"/>
          <w:sz w:val="22"/>
          <w:szCs w:val="22"/>
        </w:rPr>
        <w:t xml:space="preserve">This case dealt with the practice of price comparison websites in the context of the cosmetics market. The European Court of Justice ruled that the imposition of additional fees on third-party platforms for price comparison could be considered an abuse of dominance.</w:t>
      </w:r>
    </w:p>
    <w:p>
      <w:pPr>
        <w:pStyle w:val="Heading2"/>
        <w:spacing w:after="100" w:before="200"/>
      </w:pPr>
      <w:r>
        <w:rPr>
          <w:rFonts w:ascii="Calibri" w:cs="Calibri" w:eastAsia="Calibri" w:hAnsi="Calibri"/>
          <w:b/>
          <w:bCs/>
          <w:i/>
          <w:iCs/>
          <w:color w:val="333333"/>
          <w:sz w:val="22"/>
          <w:szCs w:val="22"/>
        </w:rPr>
        <w:t xml:space="preserve">2. Aceites de España SA v. Comisión Nacional de los Mercados y la Competencia, C-448/10 (2014)</w:t>
      </w:r>
    </w:p>
    <w:p>
      <w:pPr>
        <w:spacing w:after="140"/>
      </w:pPr>
      <w:r>
        <w:rPr>
          <w:rFonts w:ascii="Calibri" w:cs="Calibri" w:eastAsia="Calibri" w:hAnsi="Calibri"/>
          <w:i w:val="false"/>
          <w:iCs w:val="false"/>
          <w:sz w:val="22"/>
          <w:szCs w:val="22"/>
        </w:rPr>
        <w:t xml:space="preserve">In this case, Aceites de España SA, a dominant market player, imposed unreasonable prices on olive oil producers. The European Court of Justice found that the reduced price for sales between affiliated companies constituted a selective advantage, thereby amounting to an abuse of dominance.</w:t>
      </w:r>
    </w:p>
    <w:p>
      <w:pPr>
        <w:pStyle w:val="Heading2"/>
        <w:spacing w:after="100" w:before="200"/>
      </w:pPr>
      <w:r>
        <w:rPr>
          <w:rFonts w:ascii="Calibri" w:cs="Calibri" w:eastAsia="Calibri" w:hAnsi="Calibri"/>
          <w:b/>
          <w:bCs/>
          <w:i/>
          <w:iCs/>
          <w:color w:val="333333"/>
          <w:sz w:val="22"/>
          <w:szCs w:val="22"/>
        </w:rPr>
        <w:t xml:space="preserve">3. Schindler v. Comisión Nacional de los Mercados y la Competencia, C-58/10 (2015)</w:t>
      </w:r>
    </w:p>
    <w:p>
      <w:pPr>
        <w:spacing w:after="140"/>
      </w:pPr>
      <w:r>
        <w:rPr>
          <w:rFonts w:ascii="Calibri" w:cs="Calibri" w:eastAsia="Calibri" w:hAnsi="Calibri"/>
          <w:i w:val="false"/>
          <w:iCs w:val="false"/>
          <w:sz w:val="22"/>
          <w:szCs w:val="22"/>
        </w:rPr>
        <w:t xml:space="preserve">In this case, Schindler was found to have violated competition rules by offering reductions or other advantages through selective treatment to certain customers or distributors, granting those customers a selective advantage, and not distributing the portfolios of its competitors in a non-discriminatory manner.</w:t>
      </w:r>
    </w:p>
    <w:p>
      <w:pPr>
        <w:pStyle w:val="Heading2"/>
        <w:spacing w:after="100" w:before="200"/>
      </w:pPr>
      <w:r>
        <w:rPr>
          <w:rFonts w:ascii="Calibri" w:cs="Calibri" w:eastAsia="Calibri" w:hAnsi="Calibri"/>
          <w:b/>
          <w:bCs/>
          <w:i/>
          <w:iCs/>
          <w:color w:val="333333"/>
          <w:sz w:val="22"/>
          <w:szCs w:val="22"/>
        </w:rPr>
        <w:t xml:space="preserve">4. Alfa Laval Corporacion Técnica SA v. Empalme Terrón y Berumen SLP, STS 593/2009, of 10 February 2009</w:t>
      </w:r>
    </w:p>
    <w:p>
      <w:pPr>
        <w:spacing w:after="140"/>
      </w:pPr>
      <w:r>
        <w:rPr>
          <w:rFonts w:ascii="Calibri" w:cs="Calibri" w:eastAsia="Calibri" w:hAnsi="Calibri"/>
          <w:i w:val="false"/>
          <w:iCs w:val="false"/>
          <w:sz w:val="22"/>
          <w:szCs w:val="22"/>
        </w:rPr>
        <w:t xml:space="preserve">In this Spanish case, the Supreme Court found that the manufacturer Alfa Laval had abused its dominant position in the dairy processing equipment market by issuing unilateral documents that limited its customers' freedom to repair their equipment with third-party suppliers, thereby breaking the market rules.</w:t>
      </w:r>
    </w:p>
    <w:p>
      <w:pPr>
        <w:pStyle w:val="Heading2"/>
        <w:spacing w:after="100" w:before="200"/>
      </w:pPr>
      <w:r>
        <w:rPr>
          <w:rFonts w:ascii="Calibri" w:cs="Calibri" w:eastAsia="Calibri" w:hAnsi="Calibri"/>
          <w:b/>
          <w:bCs/>
          <w:i/>
          <w:iCs/>
          <w:color w:val="333333"/>
          <w:sz w:val="22"/>
          <w:szCs w:val="22"/>
        </w:rPr>
        <w:t xml:space="preserve">5. Pfizer Animal Health Ltd v. Sociedad de Inspección de Productos Farmacéuticos y Alimentarios (SOIPFA) and Confederación Española de Organismos de Producidores (CEOE) 220/03 (2005)</w:t>
      </w:r>
    </w:p>
    <w:p>
      <w:pPr>
        <w:spacing w:after="140"/>
      </w:pPr>
      <w:r>
        <w:rPr>
          <w:rFonts w:ascii="Calibri" w:cs="Calibri" w:eastAsia="Calibri" w:hAnsi="Calibri"/>
          <w:i w:val="false"/>
          <w:iCs w:val="false"/>
          <w:sz w:val="22"/>
          <w:szCs w:val="22"/>
        </w:rPr>
        <w:t xml:space="preserve">In this case, Pfizer Animal Health Ltd (now Zoetis) was accused of abusing its dominant position in the veterinary medicines market by offering its products to veterinary services at lower prices than it offered to individual veterinarians. The case ended with an agreement between the parties, in which Pfizer agreed to raise its prices to veterinarians.</w:t>
      </w:r>
    </w:p>
    <w:p>
      <w:pPr>
        <w:pStyle w:val="Heading1"/>
        <w:spacing w:after="140" w:before="280"/>
      </w:pPr>
      <w:r>
        <w:rPr>
          <w:rFonts w:ascii="Calibri" w:cs="Calibri" w:eastAsia="Calibri" w:hAnsi="Calibri"/>
          <w:b/>
          <w:bCs/>
          <w:color w:val="1F4E5F"/>
          <w:sz w:val="26"/>
          <w:szCs w:val="26"/>
        </w:rPr>
        <w:t xml:space="preserve">Cited Sources</w:t>
      </w:r>
    </w:p>
    <w:p>
      <w:pPr>
        <w:spacing w:after="140"/>
      </w:pPr>
      <w:r>
        <w:rPr>
          <w:rFonts w:ascii="Calibri" w:cs="Calibri" w:eastAsia="Calibri" w:hAnsi="Calibri"/>
          <w:i/>
          <w:iCs/>
          <w:sz w:val="22"/>
          <w:szCs w:val="22"/>
        </w:rPr>
        <w:t xml:space="preserve">No source links were included in the original response.</w:t>
      </w:r>
    </w:p>
    <w:sectPr>
      <w:headerReference w:type="default" r:id="rId7"/>
      <w:footerReference w:type="default" r:id="rId8"/>
      <w:pgSz w:w="12240" w:h="15840" w:orient="portrait"/>
      <w:pgMar w:top="1080" w:right="1350" w:bottom="108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Competition-Law Assistant Evaluation — Blinded Transcript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2026-09-02T10:46:34.641Z</dcterms:created>
  <dcterms:modified xsi:type="dcterms:W3CDTF">2026-09-02T10:46:34.641Z</dcterms:modified>
</cp:coreProperties>
</file>

<file path=docProps/custom.xml><?xml version="1.0" encoding="utf-8"?>
<Properties xmlns="http://schemas.openxmlformats.org/officeDocument/2006/custom-properties" xmlns:vt="http://schemas.openxmlformats.org/officeDocument/2006/docPropsVTypes"/>
</file>