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6"/>
          <w:szCs w:val="36"/>
        </w:rPr>
        <w:t xml:space="preserve">Response Transcript — Sample 6</w:t>
      </w:r>
    </w:p>
    <w:p>
      <w:pPr>
        <w:pBdr>
          <w:bottom w:val="single" w:color="BFBFBF" w:sz="6" w:space="1"/>
        </w:pBdr>
        <w:spacing w:after="240"/>
      </w:pPr>
    </w:p>
    <w:p>
      <w:pPr>
        <w:pStyle w:val="Heading1"/>
        <w:pBdr>
          <w:bottom w:val="single" w:color="1F4E5F" w:sz="6" w:space="4"/>
        </w:pBdr>
        <w:spacing w:after="160" w:before="300"/>
      </w:pPr>
      <w:r>
        <w:rPr>
          <w:rFonts w:ascii="Calibri" w:cs="Calibri" w:eastAsia="Calibri" w:hAnsi="Calibri"/>
          <w:b/>
          <w:bCs/>
          <w:color w:val="1F4E5F"/>
          <w:sz w:val="28"/>
          <w:szCs w:val="28"/>
        </w:rPr>
        <w:t xml:space="preserve">User Query</w:t>
      </w:r>
    </w:p>
    <w:p>
      <w:pPr>
        <w:pBdr>
          <w:left w:val="single" w:color="1F4E5F" w:sz="12" w:space="8"/>
        </w:pBdr>
        <w:spacing w:after="280"/>
        <w:ind w:left="431"/>
      </w:pPr>
      <w:r>
        <w:rPr>
          <w:rFonts w:ascii="Calibri" w:cs="Calibri" w:eastAsia="Calibri" w:hAnsi="Calibri"/>
          <w:i/>
          <w:iCs/>
          <w:sz w:val="22"/>
          <w:szCs w:val="22"/>
        </w:rPr>
        <w:t xml:space="preserve">Get me Spanish abuse of dominance cases</w:t>
      </w:r>
    </w:p>
    <w:p>
      <w:pPr>
        <w:pStyle w:val="Heading1"/>
        <w:pBdr>
          <w:bottom w:val="single" w:color="1F4E5F" w:sz="6" w:space="4"/>
        </w:pBdr>
        <w:spacing w:after="160" w:before="300"/>
      </w:pPr>
      <w:r>
        <w:rPr>
          <w:rFonts w:ascii="Calibri" w:cs="Calibri" w:eastAsia="Calibri" w:hAnsi="Calibri"/>
          <w:b/>
          <w:bCs/>
          <w:color w:val="1F4E5F"/>
          <w:sz w:val="28"/>
          <w:szCs w:val="28"/>
        </w:rPr>
        <w:t xml:space="preserve">System Response</w:t>
      </w:r>
    </w:p>
    <w:p>
      <w:pPr>
        <w:spacing w:after="200"/>
      </w:pPr>
      <w:r>
        <w:rPr>
          <w:rFonts w:ascii="Calibri" w:cs="Calibri" w:eastAsia="Calibri" w:hAnsi="Calibri"/>
          <w:sz w:val="22"/>
          <w:szCs w:val="22"/>
        </w:rPr>
        <w:t xml:space="preserve">Here are some Spanish cases involving abuse of dominance:</w:t>
      </w:r>
    </w:p>
    <w:p>
      <w:pPr>
        <w:spacing w:after="120" w:before="260"/>
      </w:pPr>
      <w:r>
        <w:rPr>
          <w:rFonts w:ascii="Calibri" w:cs="Calibri" w:eastAsia="Calibri" w:hAnsi="Calibri"/>
          <w:b/>
          <w:bCs/>
          <w:color w:val="1F4E5F"/>
          <w:sz w:val="24"/>
          <w:szCs w:val="24"/>
        </w:rPr>
        <w:t xml:space="preserve">Case S/DC/0502/14 — ORONA / EXCELSIOR</w:t>
      </w:r>
    </w:p>
    <w:p>
      <w:pPr>
        <w:spacing w:after="100" w:before="200"/>
      </w:pPr>
      <w:r>
        <w:rPr>
          <w:rFonts w:ascii="Calibri" w:cs="Calibri" w:eastAsia="Calibri" w:hAnsi="Calibri"/>
          <w:b/>
          <w:bCs/>
          <w:i/>
          <w:iCs/>
          <w:color w:val="1F4E5F"/>
          <w:sz w:val="22"/>
          <w:szCs w:val="22"/>
        </w:rPr>
        <w:t xml:space="preserve">Case Background</w:t>
      </w:r>
    </w:p>
    <w:p>
      <w:pPr>
        <w:pStyle w:val="ListParagraph"/>
        <w:numPr>
          <w:ilvl w:val="0"/>
          <w:numId w:val="1"/>
        </w:numPr>
        <w:spacing w:after="80"/>
      </w:pPr>
      <w:r>
        <w:rPr>
          <w:rFonts w:ascii="Calibri" w:cs="Calibri" w:eastAsia="Calibri" w:hAnsi="Calibri"/>
          <w:sz w:val="22"/>
          <w:szCs w:val="22"/>
        </w:rPr>
        <w:t xml:space="preserve">The case was initiated following a complaint by ELEVATOR PARTS, S.L. against ORONA and EXCELSIOR for alleged anticompetitive practices in the elevator maintenance and spare parts market</w:t>
      </w:r>
      <w:r>
        <w:rPr>
          <w:rFonts w:ascii="Calibri" w:cs="Calibri" w:eastAsia="Calibri" w:hAnsi="Calibri"/>
          <w:sz w:val="22"/>
          <w:szCs w:val="22"/>
        </w:rPr>
        <w:t xml:space="preserve"> </w:t>
      </w:r>
      <w:hyperlink w:history="1" r:id="rIdhxubbstra4sn-tmux9t2p">
        <w:r>
          <w:rPr>
            <w:rFonts w:ascii="Calibri" w:cs="Calibri" w:eastAsia="Calibri" w:hAnsi="Calibri"/>
            <w:color w:val="0563C1"/>
            <w:sz w:val="22"/>
            <w:szCs w:val="22"/>
            <w:u w:val="single"/>
          </w:rPr>
          <w:t xml:space="preserve">[1]</w:t>
        </w:r>
      </w:hyperlink>
    </w:p>
    <w:p>
      <w:pPr>
        <w:pStyle w:val="ListParagraph"/>
        <w:numPr>
          <w:ilvl w:val="0"/>
          <w:numId w:val="1"/>
        </w:numPr>
        <w:spacing w:after="80"/>
      </w:pPr>
      <w:r>
        <w:rPr>
          <w:rFonts w:ascii="Calibri" w:cs="Calibri" w:eastAsia="Calibri" w:hAnsi="Calibri"/>
          <w:sz w:val="22"/>
          <w:szCs w:val="22"/>
        </w:rPr>
        <w:t xml:space="preserve">The complaint alleged a refusal to supply elevator spare parts to companies that exclusively supply spare parts and do not perform maintenance tasks</w:t>
      </w:r>
      <w:r>
        <w:rPr>
          <w:rFonts w:ascii="Calibri" w:cs="Calibri" w:eastAsia="Calibri" w:hAnsi="Calibri"/>
          <w:sz w:val="22"/>
          <w:szCs w:val="22"/>
        </w:rPr>
        <w:t xml:space="preserve"> </w:t>
      </w:r>
      <w:hyperlink w:history="1" r:id="rIdlyhwyrfpukzgp8u8bvjka">
        <w:r>
          <w:rPr>
            <w:rFonts w:ascii="Calibri" w:cs="Calibri" w:eastAsia="Calibri" w:hAnsi="Calibri"/>
            <w:color w:val="0563C1"/>
            <w:sz w:val="22"/>
            <w:szCs w:val="22"/>
            <w:u w:val="single"/>
          </w:rPr>
          <w:t xml:space="preserve">[1]</w:t>
        </w:r>
      </w:hyperlink>
    </w:p>
    <w:p>
      <w:pPr>
        <w:pStyle w:val="ListParagraph"/>
        <w:numPr>
          <w:ilvl w:val="0"/>
          <w:numId w:val="1"/>
        </w:numPr>
        <w:spacing w:after="80"/>
      </w:pPr>
      <w:r>
        <w:rPr>
          <w:rFonts w:ascii="Calibri" w:cs="Calibri" w:eastAsia="Calibri" w:hAnsi="Calibri"/>
          <w:sz w:val="22"/>
          <w:szCs w:val="22"/>
        </w:rPr>
        <w:t xml:space="preserve">The CNMC investigated the wholesale supply policies of ORONA and EXCELSIOR and their conditions applied to multi-brand distribution companies</w:t>
      </w:r>
      <w:r>
        <w:rPr>
          <w:rFonts w:ascii="Calibri" w:cs="Calibri" w:eastAsia="Calibri" w:hAnsi="Calibri"/>
          <w:sz w:val="22"/>
          <w:szCs w:val="22"/>
        </w:rPr>
        <w:t xml:space="preserve"> </w:t>
      </w:r>
      <w:hyperlink w:history="1" r:id="rIdrvdv5aobipb4d4mz0qipv">
        <w:r>
          <w:rPr>
            <w:rFonts w:ascii="Calibri" w:cs="Calibri" w:eastAsia="Calibri" w:hAnsi="Calibri"/>
            <w:color w:val="0563C1"/>
            <w:sz w:val="22"/>
            <w:szCs w:val="22"/>
            <w:u w:val="single"/>
          </w:rPr>
          <w:t xml:space="preserve">[1]</w:t>
        </w:r>
      </w:hyperlink>
    </w:p>
    <w:p>
      <w:pPr>
        <w:spacing w:after="100" w:before="200"/>
      </w:pPr>
      <w:r>
        <w:rPr>
          <w:rFonts w:ascii="Calibri" w:cs="Calibri" w:eastAsia="Calibri" w:hAnsi="Calibri"/>
          <w:b/>
          <w:bCs/>
          <w:i/>
          <w:iCs/>
          <w:color w:val="1F4E5F"/>
          <w:sz w:val="22"/>
          <w:szCs w:val="22"/>
        </w:rPr>
        <w:t xml:space="preserve">Case Progression</w:t>
      </w:r>
    </w:p>
    <w:p>
      <w:pPr>
        <w:pStyle w:val="ListParagraph"/>
        <w:numPr>
          <w:ilvl w:val="0"/>
          <w:numId w:val="1"/>
        </w:numPr>
        <w:spacing w:after="80"/>
      </w:pPr>
      <w:r>
        <w:rPr>
          <w:rFonts w:ascii="Calibri" w:cs="Calibri" w:eastAsia="Calibri" w:hAnsi="Calibri"/>
          <w:sz w:val="22"/>
          <w:szCs w:val="22"/>
        </w:rPr>
        <w:t xml:space="preserve">The CNMC initiated a sanctioning procedure on February 25, 2014, after finding reasonable indications of prohibited conduct</w:t>
      </w:r>
      <w:r>
        <w:rPr>
          <w:rFonts w:ascii="Calibri" w:cs="Calibri" w:eastAsia="Calibri" w:hAnsi="Calibri"/>
          <w:sz w:val="22"/>
          <w:szCs w:val="22"/>
        </w:rPr>
        <w:t xml:space="preserve"> </w:t>
      </w:r>
      <w:hyperlink w:history="1" r:id="rIdla2p1vrwm8e_z-aw0yy8e">
        <w:r>
          <w:rPr>
            <w:rFonts w:ascii="Calibri" w:cs="Calibri" w:eastAsia="Calibri" w:hAnsi="Calibri"/>
            <w:color w:val="0563C1"/>
            <w:sz w:val="22"/>
            <w:szCs w:val="22"/>
            <w:u w:val="single"/>
          </w:rPr>
          <w:t xml:space="preserve">[1]</w:t>
        </w:r>
      </w:hyperlink>
    </w:p>
    <w:p>
      <w:pPr>
        <w:pStyle w:val="ListParagraph"/>
        <w:numPr>
          <w:ilvl w:val="0"/>
          <w:numId w:val="1"/>
        </w:numPr>
        <w:spacing w:after="80"/>
      </w:pPr>
      <w:r>
        <w:rPr>
          <w:rFonts w:ascii="Calibri" w:cs="Calibri" w:eastAsia="Calibri" w:hAnsi="Calibri"/>
          <w:sz w:val="22"/>
          <w:szCs w:val="22"/>
        </w:rPr>
        <w:t xml:space="preserve">ORONA and EXCELSIOR proposed commitments to resolve the competition issues, leading to a conventional termination of the case</w:t>
      </w:r>
      <w:r>
        <w:rPr>
          <w:rFonts w:ascii="Calibri" w:cs="Calibri" w:eastAsia="Calibri" w:hAnsi="Calibri"/>
          <w:sz w:val="22"/>
          <w:szCs w:val="22"/>
        </w:rPr>
        <w:t xml:space="preserve"> </w:t>
      </w:r>
      <w:hyperlink w:history="1" r:id="rIdmn5qsjnroepamrhuzrxur">
        <w:r>
          <w:rPr>
            <w:rFonts w:ascii="Calibri" w:cs="Calibri" w:eastAsia="Calibri" w:hAnsi="Calibri"/>
            <w:color w:val="0563C1"/>
            <w:sz w:val="22"/>
            <w:szCs w:val="22"/>
            <w:u w:val="single"/>
          </w:rPr>
          <w:t xml:space="preserve">[1]</w:t>
        </w:r>
      </w:hyperlink>
    </w:p>
    <w:p>
      <w:pPr>
        <w:spacing w:after="100" w:before="200"/>
      </w:pPr>
      <w:r>
        <w:rPr>
          <w:rFonts w:ascii="Calibri" w:cs="Calibri" w:eastAsia="Calibri" w:hAnsi="Calibri"/>
          <w:b/>
          <w:bCs/>
          <w:i/>
          <w:iCs/>
          <w:color w:val="1F4E5F"/>
          <w:sz w:val="22"/>
          <w:szCs w:val="22"/>
        </w:rPr>
        <w:t xml:space="preserve">Market Definition</w:t>
      </w:r>
    </w:p>
    <w:p>
      <w:pPr>
        <w:pStyle w:val="ListParagraph"/>
        <w:numPr>
          <w:ilvl w:val="0"/>
          <w:numId w:val="1"/>
        </w:numPr>
        <w:spacing w:after="80"/>
      </w:pPr>
      <w:r>
        <w:rPr>
          <w:rFonts w:ascii="Calibri" w:cs="Calibri" w:eastAsia="Calibri" w:hAnsi="Calibri"/>
          <w:sz w:val="22"/>
          <w:szCs w:val="22"/>
        </w:rPr>
        <w:t xml:space="preserve">The market was defined as the wholesale supply of original spare parts for elevators, which is upstream of the maintenance and repair market for elevators</w:t>
      </w:r>
      <w:r>
        <w:rPr>
          <w:rFonts w:ascii="Calibri" w:cs="Calibri" w:eastAsia="Calibri" w:hAnsi="Calibri"/>
          <w:sz w:val="22"/>
          <w:szCs w:val="22"/>
        </w:rPr>
        <w:t xml:space="preserve"> </w:t>
      </w:r>
      <w:hyperlink w:history="1" r:id="rIdkprsoj7rjeq8wy0ofybgf">
        <w:r>
          <w:rPr>
            <w:rFonts w:ascii="Calibri" w:cs="Calibri" w:eastAsia="Calibri" w:hAnsi="Calibri"/>
            <w:color w:val="0563C1"/>
            <w:sz w:val="22"/>
            <w:szCs w:val="22"/>
            <w:u w:val="single"/>
          </w:rPr>
          <w:t xml:space="preserve">[1]</w:t>
        </w:r>
      </w:hyperlink>
    </w:p>
    <w:p>
      <w:pPr>
        <w:pStyle w:val="ListParagraph"/>
        <w:numPr>
          <w:ilvl w:val="0"/>
          <w:numId w:val="1"/>
        </w:numPr>
        <w:spacing w:after="80"/>
      </w:pPr>
      <w:r>
        <w:rPr>
          <w:rFonts w:ascii="Calibri" w:cs="Calibri" w:eastAsia="Calibri" w:hAnsi="Calibri"/>
          <w:sz w:val="22"/>
          <w:szCs w:val="22"/>
        </w:rPr>
        <w:t xml:space="preserve">The case focused on the supply of original spare parts, which are essential for maintenance and cannot be replaced by generic parts</w:t>
      </w:r>
      <w:r>
        <w:rPr>
          <w:rFonts w:ascii="Calibri" w:cs="Calibri" w:eastAsia="Calibri" w:hAnsi="Calibri"/>
          <w:sz w:val="22"/>
          <w:szCs w:val="22"/>
        </w:rPr>
        <w:t xml:space="preserve"> </w:t>
      </w:r>
      <w:hyperlink w:history="1" r:id="rIdyfe-m0ader2r9m9acly96">
        <w:r>
          <w:rPr>
            <w:rFonts w:ascii="Calibri" w:cs="Calibri" w:eastAsia="Calibri" w:hAnsi="Calibri"/>
            <w:color w:val="0563C1"/>
            <w:sz w:val="22"/>
            <w:szCs w:val="22"/>
            <w:u w:val="single"/>
          </w:rPr>
          <w:t xml:space="preserve">[1]</w:t>
        </w:r>
      </w:hyperlink>
    </w:p>
    <w:p>
      <w:pPr>
        <w:spacing w:after="100" w:before="20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80"/>
      </w:pPr>
      <w:r>
        <w:rPr>
          <w:rFonts w:ascii="Calibri" w:cs="Calibri" w:eastAsia="Calibri" w:hAnsi="Calibri"/>
          <w:sz w:val="22"/>
          <w:szCs w:val="22"/>
        </w:rPr>
        <w:t xml:space="preserve">The CNMC assessed the commitments proposed by ORONA and EXCELSIOR to ensure they resolved the competition issues and safeguarded the public interest</w:t>
      </w:r>
      <w:r>
        <w:rPr>
          <w:rFonts w:ascii="Calibri" w:cs="Calibri" w:eastAsia="Calibri" w:hAnsi="Calibri"/>
          <w:sz w:val="22"/>
          <w:szCs w:val="22"/>
        </w:rPr>
        <w:t xml:space="preserve"> </w:t>
      </w:r>
      <w:hyperlink w:history="1" r:id="rIdr3ndcmgb4hdok_pkaoimc">
        <w:r>
          <w:rPr>
            <w:rFonts w:ascii="Calibri" w:cs="Calibri" w:eastAsia="Calibri" w:hAnsi="Calibri"/>
            <w:color w:val="0563C1"/>
            <w:sz w:val="22"/>
            <w:szCs w:val="22"/>
            <w:u w:val="single"/>
          </w:rPr>
          <w:t xml:space="preserve">[1]</w:t>
        </w:r>
      </w:hyperlink>
    </w:p>
    <w:p>
      <w:pPr>
        <w:pStyle w:val="ListParagraph"/>
        <w:numPr>
          <w:ilvl w:val="0"/>
          <w:numId w:val="1"/>
        </w:numPr>
        <w:spacing w:after="80"/>
      </w:pPr>
      <w:r>
        <w:rPr>
          <w:rFonts w:ascii="Calibri" w:cs="Calibri" w:eastAsia="Calibri" w:hAnsi="Calibri"/>
          <w:sz w:val="22"/>
          <w:szCs w:val="22"/>
        </w:rPr>
        <w:t xml:space="preserve">The commitments included supplying spare parts without requiring customer identification and ensuring fair and non-discriminatory conditions</w:t>
      </w:r>
      <w:r>
        <w:rPr>
          <w:rFonts w:ascii="Calibri" w:cs="Calibri" w:eastAsia="Calibri" w:hAnsi="Calibri"/>
          <w:sz w:val="22"/>
          <w:szCs w:val="22"/>
        </w:rPr>
        <w:t xml:space="preserve"> </w:t>
      </w:r>
      <w:hyperlink w:history="1" r:id="rIdtj0_q4ks4xn_zcb0fdrhf">
        <w:r>
          <w:rPr>
            <w:rFonts w:ascii="Calibri" w:cs="Calibri" w:eastAsia="Calibri" w:hAnsi="Calibri"/>
            <w:color w:val="0563C1"/>
            <w:sz w:val="22"/>
            <w:szCs w:val="22"/>
            <w:u w:val="single"/>
          </w:rPr>
          <w:t xml:space="preserve">[1]</w:t>
        </w:r>
      </w:hyperlink>
    </w:p>
    <w:p>
      <w:pPr>
        <w:spacing w:after="100" w:before="200"/>
      </w:pPr>
      <w:r>
        <w:rPr>
          <w:rFonts w:ascii="Calibri" w:cs="Calibri" w:eastAsia="Calibri" w:hAnsi="Calibri"/>
          <w:b/>
          <w:bCs/>
          <w:i/>
          <w:iCs/>
          <w:color w:val="1F4E5F"/>
          <w:sz w:val="22"/>
          <w:szCs w:val="22"/>
        </w:rPr>
        <w:t xml:space="preserve">Conclusion</w:t>
      </w:r>
    </w:p>
    <w:p>
      <w:pPr>
        <w:pStyle w:val="ListParagraph"/>
        <w:numPr>
          <w:ilvl w:val="0"/>
          <w:numId w:val="1"/>
        </w:numPr>
        <w:spacing w:after="80"/>
      </w:pPr>
      <w:r>
        <w:rPr>
          <w:rFonts w:ascii="Calibri" w:cs="Calibri" w:eastAsia="Calibri" w:hAnsi="Calibri"/>
          <w:sz w:val="22"/>
          <w:szCs w:val="22"/>
        </w:rPr>
        <w:t xml:space="preserve">The CNMC agreed to the conventional termination of the case, subject to the commitments described, which were deemed adequate to resolve the competition issues</w:t>
      </w:r>
      <w:r>
        <w:rPr>
          <w:rFonts w:ascii="Calibri" w:cs="Calibri" w:eastAsia="Calibri" w:hAnsi="Calibri"/>
          <w:sz w:val="22"/>
          <w:szCs w:val="22"/>
        </w:rPr>
        <w:t xml:space="preserve"> </w:t>
      </w:r>
      <w:hyperlink w:history="1" r:id="rIdhuprzgnunpf_c4ufrcazb">
        <w:r>
          <w:rPr>
            <w:rFonts w:ascii="Calibri" w:cs="Calibri" w:eastAsia="Calibri" w:hAnsi="Calibri"/>
            <w:color w:val="0563C1"/>
            <w:sz w:val="22"/>
            <w:szCs w:val="22"/>
            <w:u w:val="single"/>
          </w:rPr>
          <w:t xml:space="preserve">[1]</w:t>
        </w:r>
      </w:hyperlink>
    </w:p>
    <w:p>
      <w:pPr>
        <w:spacing w:after="120" w:before="260"/>
      </w:pPr>
      <w:r>
        <w:rPr>
          <w:rFonts w:ascii="Calibri" w:cs="Calibri" w:eastAsia="Calibri" w:hAnsi="Calibri"/>
          <w:b/>
          <w:bCs/>
          <w:color w:val="1F4E5F"/>
          <w:sz w:val="24"/>
          <w:szCs w:val="24"/>
        </w:rPr>
        <w:t xml:space="preserve">Case S/DC/0557/15 — NOKIA</w:t>
      </w:r>
    </w:p>
    <w:p>
      <w:pPr>
        <w:spacing w:after="100" w:before="200"/>
      </w:pPr>
      <w:r>
        <w:rPr>
          <w:rFonts w:ascii="Calibri" w:cs="Calibri" w:eastAsia="Calibri" w:hAnsi="Calibri"/>
          <w:b/>
          <w:bCs/>
          <w:i/>
          <w:iCs/>
          <w:color w:val="1F4E5F"/>
          <w:sz w:val="22"/>
          <w:szCs w:val="22"/>
        </w:rPr>
        <w:t xml:space="preserve">Case Background</w:t>
      </w:r>
    </w:p>
    <w:p>
      <w:pPr>
        <w:pStyle w:val="ListParagraph"/>
        <w:numPr>
          <w:ilvl w:val="0"/>
          <w:numId w:val="1"/>
        </w:numPr>
        <w:spacing w:after="80"/>
      </w:pPr>
      <w:r>
        <w:rPr>
          <w:rFonts w:ascii="Calibri" w:cs="Calibri" w:eastAsia="Calibri" w:hAnsi="Calibri"/>
          <w:sz w:val="22"/>
          <w:szCs w:val="22"/>
        </w:rPr>
        <w:t xml:space="preserve">The case involved NOKIA's alleged abuse of dominant position in the context of a tender by ADIF for maintenance and renewal services of GSM-R mobile telecommunications systems</w:t>
      </w:r>
      <w:r>
        <w:rPr>
          <w:rFonts w:ascii="Calibri" w:cs="Calibri" w:eastAsia="Calibri" w:hAnsi="Calibri"/>
          <w:sz w:val="22"/>
          <w:szCs w:val="22"/>
        </w:rPr>
        <w:t xml:space="preserve"> </w:t>
      </w:r>
      <w:hyperlink w:history="1" r:id="rIdmymt0zwdi97ohltoy8vcv">
        <w:r>
          <w:rPr>
            <w:rFonts w:ascii="Calibri" w:cs="Calibri" w:eastAsia="Calibri" w:hAnsi="Calibri"/>
            <w:color w:val="0563C1"/>
            <w:sz w:val="22"/>
            <w:szCs w:val="22"/>
            <w:u w:val="single"/>
          </w:rPr>
          <w:t xml:space="preserve">[2]</w:t>
        </w:r>
      </w:hyperlink>
    </w:p>
    <w:p>
      <w:pPr>
        <w:pStyle w:val="ListParagraph"/>
        <w:numPr>
          <w:ilvl w:val="0"/>
          <w:numId w:val="1"/>
        </w:numPr>
        <w:spacing w:after="80"/>
      </w:pPr>
      <w:r>
        <w:rPr>
          <w:rFonts w:ascii="Calibri" w:cs="Calibri" w:eastAsia="Calibri" w:hAnsi="Calibri"/>
          <w:sz w:val="22"/>
          <w:szCs w:val="22"/>
        </w:rPr>
        <w:t xml:space="preserve">NOKIA was accused of engaging in margin squeeze practices and imposing excessive and discriminatory prices</w:t>
      </w:r>
      <w:r>
        <w:rPr>
          <w:rFonts w:ascii="Calibri" w:cs="Calibri" w:eastAsia="Calibri" w:hAnsi="Calibri"/>
          <w:sz w:val="22"/>
          <w:szCs w:val="22"/>
        </w:rPr>
        <w:t xml:space="preserve"> </w:t>
      </w:r>
      <w:hyperlink w:history="1" r:id="rIdlyvuybhmiowenxqdp2umm">
        <w:r>
          <w:rPr>
            <w:rFonts w:ascii="Calibri" w:cs="Calibri" w:eastAsia="Calibri" w:hAnsi="Calibri"/>
            <w:color w:val="0563C1"/>
            <w:sz w:val="22"/>
            <w:szCs w:val="22"/>
            <w:u w:val="single"/>
          </w:rPr>
          <w:t xml:space="preserve">[2]</w:t>
        </w:r>
      </w:hyperlink>
    </w:p>
    <w:p>
      <w:pPr>
        <w:spacing w:after="100" w:before="200"/>
      </w:pPr>
      <w:r>
        <w:rPr>
          <w:rFonts w:ascii="Calibri" w:cs="Calibri" w:eastAsia="Calibri" w:hAnsi="Calibri"/>
          <w:b/>
          <w:bCs/>
          <w:i/>
          <w:iCs/>
          <w:color w:val="1F4E5F"/>
          <w:sz w:val="22"/>
          <w:szCs w:val="22"/>
        </w:rPr>
        <w:t xml:space="preserve">Case Progression</w:t>
      </w:r>
    </w:p>
    <w:p>
      <w:pPr>
        <w:pStyle w:val="ListParagraph"/>
        <w:numPr>
          <w:ilvl w:val="0"/>
          <w:numId w:val="1"/>
        </w:numPr>
        <w:spacing w:after="80"/>
      </w:pPr>
      <w:r>
        <w:rPr>
          <w:rFonts w:ascii="Calibri" w:cs="Calibri" w:eastAsia="Calibri" w:hAnsi="Calibri"/>
          <w:sz w:val="22"/>
          <w:szCs w:val="22"/>
        </w:rPr>
        <w:t xml:space="preserve">The CNMC initiated a sanctioning procedure against NOKIA on November 19, 2015, for prohibited conduct under Article 2 of the LDC and Article 102 of the TFEU</w:t>
      </w:r>
      <w:r>
        <w:rPr>
          <w:rFonts w:ascii="Calibri" w:cs="Calibri" w:eastAsia="Calibri" w:hAnsi="Calibri"/>
          <w:sz w:val="22"/>
          <w:szCs w:val="22"/>
        </w:rPr>
        <w:t xml:space="preserve"> </w:t>
      </w:r>
      <w:hyperlink w:history="1" r:id="rIdc1sfgndreeug98szbxbbm">
        <w:r>
          <w:rPr>
            <w:rFonts w:ascii="Calibri" w:cs="Calibri" w:eastAsia="Calibri" w:hAnsi="Calibri"/>
            <w:color w:val="0563C1"/>
            <w:sz w:val="22"/>
            <w:szCs w:val="22"/>
            <w:u w:val="single"/>
          </w:rPr>
          <w:t xml:space="preserve">[2]</w:t>
        </w:r>
      </w:hyperlink>
    </w:p>
    <w:p>
      <w:pPr>
        <w:pStyle w:val="ListParagraph"/>
        <w:numPr>
          <w:ilvl w:val="0"/>
          <w:numId w:val="1"/>
        </w:numPr>
        <w:spacing w:after="80"/>
      </w:pPr>
      <w:r>
        <w:rPr>
          <w:rFonts w:ascii="Calibri" w:cs="Calibri" w:eastAsia="Calibri" w:hAnsi="Calibri"/>
          <w:sz w:val="22"/>
          <w:szCs w:val="22"/>
        </w:rPr>
        <w:t xml:space="preserve">The CNMC found that NOKIA's conduct had exclusionary effects on its competitor KAPSCH, affecting the tender outcome</w:t>
      </w:r>
      <w:r>
        <w:rPr>
          <w:rFonts w:ascii="Calibri" w:cs="Calibri" w:eastAsia="Calibri" w:hAnsi="Calibri"/>
          <w:sz w:val="22"/>
          <w:szCs w:val="22"/>
        </w:rPr>
        <w:t xml:space="preserve"> </w:t>
      </w:r>
      <w:hyperlink w:history="1" r:id="rIdui-julse7bahncxun89q5">
        <w:r>
          <w:rPr>
            <w:rFonts w:ascii="Calibri" w:cs="Calibri" w:eastAsia="Calibri" w:hAnsi="Calibri"/>
            <w:color w:val="0563C1"/>
            <w:sz w:val="22"/>
            <w:szCs w:val="22"/>
            <w:u w:val="single"/>
          </w:rPr>
          <w:t xml:space="preserve">[2]</w:t>
        </w:r>
      </w:hyperlink>
    </w:p>
    <w:p>
      <w:pPr>
        <w:spacing w:after="100" w:before="200"/>
      </w:pPr>
      <w:r>
        <w:rPr>
          <w:rFonts w:ascii="Calibri" w:cs="Calibri" w:eastAsia="Calibri" w:hAnsi="Calibri"/>
          <w:b/>
          <w:bCs/>
          <w:i/>
          <w:iCs/>
          <w:color w:val="1F4E5F"/>
          <w:sz w:val="22"/>
          <w:szCs w:val="22"/>
        </w:rPr>
        <w:t xml:space="preserve">Market Definition</w:t>
      </w:r>
    </w:p>
    <w:p>
      <w:pPr>
        <w:pStyle w:val="ListParagraph"/>
        <w:numPr>
          <w:ilvl w:val="0"/>
          <w:numId w:val="1"/>
        </w:numPr>
        <w:spacing w:after="80"/>
      </w:pPr>
      <w:r>
        <w:rPr>
          <w:rFonts w:ascii="Calibri" w:cs="Calibri" w:eastAsia="Calibri" w:hAnsi="Calibri"/>
          <w:sz w:val="22"/>
          <w:szCs w:val="22"/>
        </w:rPr>
        <w:t xml:space="preserve">The relevant markets were defined as the maintenance of GSM-R mobile telecommunications installations and the wholesale market for support services, technical assistance, and supply of spare parts for these installations</w:t>
      </w:r>
      <w:r>
        <w:rPr>
          <w:rFonts w:ascii="Calibri" w:cs="Calibri" w:eastAsia="Calibri" w:hAnsi="Calibri"/>
          <w:sz w:val="22"/>
          <w:szCs w:val="22"/>
        </w:rPr>
        <w:t xml:space="preserve"> </w:t>
      </w:r>
      <w:hyperlink w:history="1" r:id="rIdhd1qqsxqap9pt71cf8lw_">
        <w:r>
          <w:rPr>
            <w:rFonts w:ascii="Calibri" w:cs="Calibri" w:eastAsia="Calibri" w:hAnsi="Calibri"/>
            <w:color w:val="0563C1"/>
            <w:sz w:val="22"/>
            <w:szCs w:val="22"/>
            <w:u w:val="single"/>
          </w:rPr>
          <w:t xml:space="preserve">[2]</w:t>
        </w:r>
      </w:hyperlink>
    </w:p>
    <w:p>
      <w:pPr>
        <w:spacing w:after="100" w:before="20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80"/>
      </w:pPr>
      <w:r>
        <w:rPr>
          <w:rFonts w:ascii="Calibri" w:cs="Calibri" w:eastAsia="Calibri" w:hAnsi="Calibri"/>
          <w:sz w:val="22"/>
          <w:szCs w:val="22"/>
        </w:rPr>
        <w:t xml:space="preserve">The CNMC applied the margin squeeze test, assessing whether an equally efficient competitor could replicate NOKIA's retail offers with a positive margin</w:t>
      </w:r>
      <w:r>
        <w:rPr>
          <w:rFonts w:ascii="Calibri" w:cs="Calibri" w:eastAsia="Calibri" w:hAnsi="Calibri"/>
          <w:sz w:val="22"/>
          <w:szCs w:val="22"/>
        </w:rPr>
        <w:t xml:space="preserve"> </w:t>
      </w:r>
      <w:hyperlink w:history="1" r:id="rIdzhv0flowkp7lgqsup9obm">
        <w:r>
          <w:rPr>
            <w:rFonts w:ascii="Calibri" w:cs="Calibri" w:eastAsia="Calibri" w:hAnsi="Calibri"/>
            <w:color w:val="0563C1"/>
            <w:sz w:val="22"/>
            <w:szCs w:val="22"/>
            <w:u w:val="single"/>
          </w:rPr>
          <w:t xml:space="preserve">[2]</w:t>
        </w:r>
      </w:hyperlink>
    </w:p>
    <w:p>
      <w:pPr>
        <w:pStyle w:val="ListParagraph"/>
        <w:numPr>
          <w:ilvl w:val="0"/>
          <w:numId w:val="1"/>
        </w:numPr>
        <w:spacing w:after="80"/>
      </w:pPr>
      <w:r>
        <w:rPr>
          <w:rFonts w:ascii="Calibri" w:cs="Calibri" w:eastAsia="Calibri" w:hAnsi="Calibri"/>
          <w:sz w:val="22"/>
          <w:szCs w:val="22"/>
        </w:rPr>
        <w:t xml:space="preserve">The CNMC concluded that NOKIA's pricing practices resulted in a compression of margins, potentially excluding competitors from the market</w:t>
      </w:r>
      <w:r>
        <w:rPr>
          <w:rFonts w:ascii="Calibri" w:cs="Calibri" w:eastAsia="Calibri" w:hAnsi="Calibri"/>
          <w:sz w:val="22"/>
          <w:szCs w:val="22"/>
        </w:rPr>
        <w:t xml:space="preserve"> </w:t>
      </w:r>
      <w:hyperlink w:history="1" r:id="rIdv8fubjekwmkorzlbzqdia">
        <w:r>
          <w:rPr>
            <w:rFonts w:ascii="Calibri" w:cs="Calibri" w:eastAsia="Calibri" w:hAnsi="Calibri"/>
            <w:color w:val="0563C1"/>
            <w:sz w:val="22"/>
            <w:szCs w:val="22"/>
            <w:u w:val="single"/>
          </w:rPr>
          <w:t xml:space="preserve">[2]</w:t>
        </w:r>
      </w:hyperlink>
    </w:p>
    <w:p>
      <w:pPr>
        <w:spacing w:after="100" w:before="200"/>
      </w:pPr>
      <w:r>
        <w:rPr>
          <w:rFonts w:ascii="Calibri" w:cs="Calibri" w:eastAsia="Calibri" w:hAnsi="Calibri"/>
          <w:b/>
          <w:bCs/>
          <w:i/>
          <w:iCs/>
          <w:color w:val="1F4E5F"/>
          <w:sz w:val="22"/>
          <w:szCs w:val="22"/>
        </w:rPr>
        <w:t xml:space="preserve">Conclusion</w:t>
      </w:r>
    </w:p>
    <w:p>
      <w:pPr>
        <w:pStyle w:val="ListParagraph"/>
        <w:numPr>
          <w:ilvl w:val="0"/>
          <w:numId w:val="1"/>
        </w:numPr>
        <w:spacing w:after="80"/>
      </w:pPr>
      <w:r>
        <w:rPr>
          <w:rFonts w:ascii="Calibri" w:cs="Calibri" w:eastAsia="Calibri" w:hAnsi="Calibri"/>
          <w:sz w:val="22"/>
          <w:szCs w:val="22"/>
        </w:rPr>
        <w:t xml:space="preserve">NOKIA was found responsible for an infringement consisting of a margin squeeze, and a fine of 1,741,478 euros was imposed</w:t>
      </w:r>
      <w:r>
        <w:rPr>
          <w:rFonts w:ascii="Calibri" w:cs="Calibri" w:eastAsia="Calibri" w:hAnsi="Calibri"/>
          <w:sz w:val="22"/>
          <w:szCs w:val="22"/>
        </w:rPr>
        <w:t xml:space="preserve"> </w:t>
      </w:r>
      <w:hyperlink w:history="1" r:id="rIdzh0nyx3jeai_n5tcvgfmk">
        <w:r>
          <w:rPr>
            <w:rFonts w:ascii="Calibri" w:cs="Calibri" w:eastAsia="Calibri" w:hAnsi="Calibri"/>
            <w:color w:val="0563C1"/>
            <w:sz w:val="22"/>
            <w:szCs w:val="22"/>
            <w:u w:val="single"/>
          </w:rPr>
          <w:t xml:space="preserve">[2]</w:t>
        </w:r>
      </w:hyperlink>
    </w:p>
    <w:p>
      <w:pPr>
        <w:spacing w:after="120" w:before="260"/>
      </w:pPr>
      <w:r>
        <w:rPr>
          <w:rFonts w:ascii="Calibri" w:cs="Calibri" w:eastAsia="Calibri" w:hAnsi="Calibri"/>
          <w:b/>
          <w:bCs/>
          <w:color w:val="1F4E5F"/>
          <w:sz w:val="24"/>
          <w:szCs w:val="24"/>
        </w:rPr>
        <w:t xml:space="preserve">Case S/DC/0567/15 — ESTUDIOS DE MERCADO INDUSTRIA FARMACÉUTICA</w:t>
      </w:r>
    </w:p>
    <w:p>
      <w:pPr>
        <w:spacing w:after="100" w:before="200"/>
      </w:pPr>
      <w:r>
        <w:rPr>
          <w:rFonts w:ascii="Calibri" w:cs="Calibri" w:eastAsia="Calibri" w:hAnsi="Calibri"/>
          <w:b/>
          <w:bCs/>
          <w:i/>
          <w:iCs/>
          <w:color w:val="1F4E5F"/>
          <w:sz w:val="22"/>
          <w:szCs w:val="22"/>
        </w:rPr>
        <w:t xml:space="preserve">Case Background</w:t>
      </w:r>
    </w:p>
    <w:p>
      <w:pPr>
        <w:pStyle w:val="ListParagraph"/>
        <w:numPr>
          <w:ilvl w:val="0"/>
          <w:numId w:val="1"/>
        </w:numPr>
        <w:spacing w:after="80"/>
      </w:pPr>
      <w:r>
        <w:rPr>
          <w:rFonts w:ascii="Calibri" w:cs="Calibri" w:eastAsia="Calibri" w:hAnsi="Calibri"/>
          <w:sz w:val="22"/>
          <w:szCs w:val="22"/>
        </w:rPr>
        <w:t xml:space="preserve">The case involved IMS HEALTH, S.A. and its alleged abuse of dominant position in the market for supplying sales information to the pharmaceutical industry</w:t>
      </w:r>
      <w:r>
        <w:rPr>
          <w:rFonts w:ascii="Calibri" w:cs="Calibri" w:eastAsia="Calibri" w:hAnsi="Calibri"/>
          <w:sz w:val="22"/>
          <w:szCs w:val="22"/>
        </w:rPr>
        <w:t xml:space="preserve"> </w:t>
      </w:r>
      <w:hyperlink w:history="1" r:id="rIdgjdefezft14uficz-arsd">
        <w:r>
          <w:rPr>
            <w:rFonts w:ascii="Calibri" w:cs="Calibri" w:eastAsia="Calibri" w:hAnsi="Calibri"/>
            <w:color w:val="0563C1"/>
            <w:sz w:val="22"/>
            <w:szCs w:val="22"/>
            <w:u w:val="single"/>
          </w:rPr>
          <w:t xml:space="preserve">[3]</w:t>
        </w:r>
      </w:hyperlink>
    </w:p>
    <w:p>
      <w:pPr>
        <w:pStyle w:val="ListParagraph"/>
        <w:numPr>
          <w:ilvl w:val="0"/>
          <w:numId w:val="1"/>
        </w:numPr>
        <w:spacing w:after="80"/>
      </w:pPr>
      <w:r>
        <w:rPr>
          <w:rFonts w:ascii="Calibri" w:cs="Calibri" w:eastAsia="Calibri" w:hAnsi="Calibri"/>
          <w:sz w:val="22"/>
          <w:szCs w:val="22"/>
        </w:rPr>
        <w:t xml:space="preserve">IMS was accused of imposing exclusive dealing clauses on pharmaceutical distributors, restricting their ability to supply data to other operators</w:t>
      </w:r>
      <w:r>
        <w:rPr>
          <w:rFonts w:ascii="Calibri" w:cs="Calibri" w:eastAsia="Calibri" w:hAnsi="Calibri"/>
          <w:sz w:val="22"/>
          <w:szCs w:val="22"/>
        </w:rPr>
        <w:t xml:space="preserve"> </w:t>
      </w:r>
      <w:hyperlink w:history="1" r:id="rIdpm16yguw9bwo8ssdqtn3-">
        <w:r>
          <w:rPr>
            <w:rFonts w:ascii="Calibri" w:cs="Calibri" w:eastAsia="Calibri" w:hAnsi="Calibri"/>
            <w:color w:val="0563C1"/>
            <w:sz w:val="22"/>
            <w:szCs w:val="22"/>
            <w:u w:val="single"/>
          </w:rPr>
          <w:t xml:space="preserve">[3]</w:t>
        </w:r>
      </w:hyperlink>
    </w:p>
    <w:p>
      <w:pPr>
        <w:spacing w:after="100" w:before="200"/>
      </w:pPr>
      <w:r>
        <w:rPr>
          <w:rFonts w:ascii="Calibri" w:cs="Calibri" w:eastAsia="Calibri" w:hAnsi="Calibri"/>
          <w:b/>
          <w:bCs/>
          <w:i/>
          <w:iCs/>
          <w:color w:val="1F4E5F"/>
          <w:sz w:val="22"/>
          <w:szCs w:val="22"/>
        </w:rPr>
        <w:t xml:space="preserve">Case Progression</w:t>
      </w:r>
    </w:p>
    <w:p>
      <w:pPr>
        <w:pStyle w:val="ListParagraph"/>
        <w:numPr>
          <w:ilvl w:val="0"/>
          <w:numId w:val="1"/>
        </w:numPr>
        <w:spacing w:after="80"/>
      </w:pPr>
      <w:r>
        <w:rPr>
          <w:rFonts w:ascii="Calibri" w:cs="Calibri" w:eastAsia="Calibri" w:hAnsi="Calibri"/>
          <w:sz w:val="22"/>
          <w:szCs w:val="22"/>
        </w:rPr>
        <w:t xml:space="preserve">The CNMC initiated a sanctioning procedure following a complaint by HEALTH MARKET RESEARCH ESPAÑA, S.L. against IMS</w:t>
      </w:r>
      <w:r>
        <w:rPr>
          <w:rFonts w:ascii="Calibri" w:cs="Calibri" w:eastAsia="Calibri" w:hAnsi="Calibri"/>
          <w:sz w:val="22"/>
          <w:szCs w:val="22"/>
        </w:rPr>
        <w:t xml:space="preserve"> </w:t>
      </w:r>
      <w:hyperlink w:history="1" r:id="rIdnxub7w8fx0lv8a4grisfl">
        <w:r>
          <w:rPr>
            <w:rFonts w:ascii="Calibri" w:cs="Calibri" w:eastAsia="Calibri" w:hAnsi="Calibri"/>
            <w:color w:val="0563C1"/>
            <w:sz w:val="22"/>
            <w:szCs w:val="22"/>
            <w:u w:val="single"/>
          </w:rPr>
          <w:t xml:space="preserve">[3]</w:t>
        </w:r>
      </w:hyperlink>
    </w:p>
    <w:p>
      <w:pPr>
        <w:pStyle w:val="ListParagraph"/>
        <w:numPr>
          <w:ilvl w:val="0"/>
          <w:numId w:val="1"/>
        </w:numPr>
        <w:spacing w:after="80"/>
      </w:pPr>
      <w:r>
        <w:rPr>
          <w:rFonts w:ascii="Calibri" w:cs="Calibri" w:eastAsia="Calibri" w:hAnsi="Calibri"/>
          <w:sz w:val="22"/>
          <w:szCs w:val="22"/>
        </w:rPr>
        <w:t xml:space="preserve">IMS proposed commitments to resolve the competition issues, leading to a conventional termination of the case</w:t>
      </w:r>
      <w:r>
        <w:rPr>
          <w:rFonts w:ascii="Calibri" w:cs="Calibri" w:eastAsia="Calibri" w:hAnsi="Calibri"/>
          <w:sz w:val="22"/>
          <w:szCs w:val="22"/>
        </w:rPr>
        <w:t xml:space="preserve"> </w:t>
      </w:r>
      <w:hyperlink w:history="1" r:id="rId-zesu1ajil0q6dwho848l">
        <w:r>
          <w:rPr>
            <w:rFonts w:ascii="Calibri" w:cs="Calibri" w:eastAsia="Calibri" w:hAnsi="Calibri"/>
            <w:color w:val="0563C1"/>
            <w:sz w:val="22"/>
            <w:szCs w:val="22"/>
            <w:u w:val="single"/>
          </w:rPr>
          <w:t xml:space="preserve">[3]</w:t>
        </w:r>
      </w:hyperlink>
    </w:p>
    <w:p>
      <w:pPr>
        <w:spacing w:after="100" w:before="200"/>
      </w:pPr>
      <w:r>
        <w:rPr>
          <w:rFonts w:ascii="Calibri" w:cs="Calibri" w:eastAsia="Calibri" w:hAnsi="Calibri"/>
          <w:b/>
          <w:bCs/>
          <w:i/>
          <w:iCs/>
          <w:color w:val="1F4E5F"/>
          <w:sz w:val="22"/>
          <w:szCs w:val="22"/>
        </w:rPr>
        <w:t xml:space="preserve">Market Definition</w:t>
      </w:r>
    </w:p>
    <w:p>
      <w:pPr>
        <w:pStyle w:val="ListParagraph"/>
        <w:numPr>
          <w:ilvl w:val="0"/>
          <w:numId w:val="1"/>
        </w:numPr>
        <w:spacing w:after="80"/>
      </w:pPr>
      <w:r>
        <w:rPr>
          <w:rFonts w:ascii="Calibri" w:cs="Calibri" w:eastAsia="Calibri" w:hAnsi="Calibri"/>
          <w:sz w:val="22"/>
          <w:szCs w:val="22"/>
        </w:rPr>
        <w:t xml:space="preserve">The market was defined as the supply of sales information of pharmaceutical products, with IMS holding a dominant position due to its extensive data collection network</w:t>
      </w:r>
      <w:r>
        <w:rPr>
          <w:rFonts w:ascii="Calibri" w:cs="Calibri" w:eastAsia="Calibri" w:hAnsi="Calibri"/>
          <w:sz w:val="22"/>
          <w:szCs w:val="22"/>
        </w:rPr>
        <w:t xml:space="preserve"> </w:t>
      </w:r>
      <w:hyperlink w:history="1" r:id="rIdmcexjkedjn1js7uj9wbpj">
        <w:r>
          <w:rPr>
            <w:rFonts w:ascii="Calibri" w:cs="Calibri" w:eastAsia="Calibri" w:hAnsi="Calibri"/>
            <w:color w:val="0563C1"/>
            <w:sz w:val="22"/>
            <w:szCs w:val="22"/>
            <w:u w:val="single"/>
          </w:rPr>
          <w:t xml:space="preserve">[3]</w:t>
        </w:r>
      </w:hyperlink>
    </w:p>
    <w:p>
      <w:pPr>
        <w:spacing w:after="100" w:before="20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80"/>
      </w:pPr>
      <w:r>
        <w:rPr>
          <w:rFonts w:ascii="Calibri" w:cs="Calibri" w:eastAsia="Calibri" w:hAnsi="Calibri"/>
          <w:sz w:val="22"/>
          <w:szCs w:val="22"/>
        </w:rPr>
        <w:t xml:space="preserve">The CNMC assessed the commitments proposed by IMS to ensure they resolved the competition issues and safeguarded the public interest</w:t>
      </w:r>
      <w:r>
        <w:rPr>
          <w:rFonts w:ascii="Calibri" w:cs="Calibri" w:eastAsia="Calibri" w:hAnsi="Calibri"/>
          <w:sz w:val="22"/>
          <w:szCs w:val="22"/>
        </w:rPr>
        <w:t xml:space="preserve"> </w:t>
      </w:r>
      <w:hyperlink w:history="1" r:id="rIdme9dccix9ujg8x5fhk00h">
        <w:r>
          <w:rPr>
            <w:rFonts w:ascii="Calibri" w:cs="Calibri" w:eastAsia="Calibri" w:hAnsi="Calibri"/>
            <w:color w:val="0563C1"/>
            <w:sz w:val="22"/>
            <w:szCs w:val="22"/>
            <w:u w:val="single"/>
          </w:rPr>
          <w:t xml:space="preserve">[3]</w:t>
        </w:r>
      </w:hyperlink>
    </w:p>
    <w:p>
      <w:pPr>
        <w:pStyle w:val="ListParagraph"/>
        <w:numPr>
          <w:ilvl w:val="0"/>
          <w:numId w:val="1"/>
        </w:numPr>
        <w:spacing w:after="80"/>
      </w:pPr>
      <w:r>
        <w:rPr>
          <w:rFonts w:ascii="Calibri" w:cs="Calibri" w:eastAsia="Calibri" w:hAnsi="Calibri"/>
          <w:sz w:val="22"/>
          <w:szCs w:val="22"/>
        </w:rPr>
        <w:t xml:space="preserve">The commitments included waiving certain contractual provisions and ensuring non-discriminatory access to sales data</w:t>
      </w:r>
      <w:r>
        <w:rPr>
          <w:rFonts w:ascii="Calibri" w:cs="Calibri" w:eastAsia="Calibri" w:hAnsi="Calibri"/>
          <w:sz w:val="22"/>
          <w:szCs w:val="22"/>
        </w:rPr>
        <w:t xml:space="preserve"> </w:t>
      </w:r>
      <w:hyperlink w:history="1" r:id="rIddt3eq-wj-umo-z_-ubajk">
        <w:r>
          <w:rPr>
            <w:rFonts w:ascii="Calibri" w:cs="Calibri" w:eastAsia="Calibri" w:hAnsi="Calibri"/>
            <w:color w:val="0563C1"/>
            <w:sz w:val="22"/>
            <w:szCs w:val="22"/>
            <w:u w:val="single"/>
          </w:rPr>
          <w:t xml:space="preserve">[3]</w:t>
        </w:r>
      </w:hyperlink>
    </w:p>
    <w:p>
      <w:pPr>
        <w:spacing w:after="100" w:before="200"/>
      </w:pPr>
      <w:r>
        <w:rPr>
          <w:rFonts w:ascii="Calibri" w:cs="Calibri" w:eastAsia="Calibri" w:hAnsi="Calibri"/>
          <w:b/>
          <w:bCs/>
          <w:i/>
          <w:iCs/>
          <w:color w:val="1F4E5F"/>
          <w:sz w:val="22"/>
          <w:szCs w:val="22"/>
        </w:rPr>
        <w:t xml:space="preserve">Conclusion</w:t>
      </w:r>
    </w:p>
    <w:p>
      <w:pPr>
        <w:pStyle w:val="ListParagraph"/>
        <w:numPr>
          <w:ilvl w:val="0"/>
          <w:numId w:val="1"/>
        </w:numPr>
        <w:spacing w:after="80"/>
      </w:pPr>
      <w:r>
        <w:rPr>
          <w:rFonts w:ascii="Calibri" w:cs="Calibri" w:eastAsia="Calibri" w:hAnsi="Calibri"/>
          <w:sz w:val="22"/>
          <w:szCs w:val="22"/>
        </w:rPr>
        <w:t xml:space="preserve">The CNMC agreed to the conventional termination of the case, subject to the commitments described, which were deemed adequate to resolve the competition issues</w:t>
      </w:r>
      <w:r>
        <w:rPr>
          <w:rFonts w:ascii="Calibri" w:cs="Calibri" w:eastAsia="Calibri" w:hAnsi="Calibri"/>
          <w:sz w:val="22"/>
          <w:szCs w:val="22"/>
        </w:rPr>
        <w:t xml:space="preserve"> </w:t>
      </w:r>
      <w:hyperlink w:history="1" r:id="rIdty1srdv1aadb2zyaawgga">
        <w:r>
          <w:rPr>
            <w:rFonts w:ascii="Calibri" w:cs="Calibri" w:eastAsia="Calibri" w:hAnsi="Calibri"/>
            <w:color w:val="0563C1"/>
            <w:sz w:val="22"/>
            <w:szCs w:val="22"/>
            <w:u w:val="single"/>
          </w:rPr>
          <w:t xml:space="preserve">[3]</w:t>
        </w:r>
      </w:hyperlink>
    </w:p>
    <w:p>
      <w:pPr>
        <w:spacing w:after="120" w:before="260"/>
      </w:pPr>
      <w:r>
        <w:rPr>
          <w:rFonts w:ascii="Calibri" w:cs="Calibri" w:eastAsia="Calibri" w:hAnsi="Calibri"/>
          <w:b/>
          <w:bCs/>
          <w:color w:val="1F4E5F"/>
          <w:sz w:val="24"/>
          <w:szCs w:val="24"/>
        </w:rPr>
        <w:t xml:space="preserve">Case S/DC/0580/16 — CRIADORES DE CABALLOS 2</w:t>
      </w:r>
    </w:p>
    <w:p>
      <w:pPr>
        <w:spacing w:after="100" w:before="200"/>
      </w:pPr>
      <w:r>
        <w:rPr>
          <w:rFonts w:ascii="Calibri" w:cs="Calibri" w:eastAsia="Calibri" w:hAnsi="Calibri"/>
          <w:b/>
          <w:bCs/>
          <w:i/>
          <w:iCs/>
          <w:color w:val="1F4E5F"/>
          <w:sz w:val="22"/>
          <w:szCs w:val="22"/>
        </w:rPr>
        <w:t xml:space="preserve">Case Background</w:t>
      </w:r>
    </w:p>
    <w:p>
      <w:pPr>
        <w:pStyle w:val="ListParagraph"/>
        <w:numPr>
          <w:ilvl w:val="0"/>
          <w:numId w:val="1"/>
        </w:numPr>
        <w:spacing w:after="80"/>
      </w:pPr>
      <w:r>
        <w:rPr>
          <w:rFonts w:ascii="Calibri" w:cs="Calibri" w:eastAsia="Calibri" w:hAnsi="Calibri"/>
          <w:sz w:val="22"/>
          <w:szCs w:val="22"/>
        </w:rPr>
        <w:t xml:space="preserve">The case involved the National Association of Breeders of Purebred Spanish Horses (ANCCE) and its alleged abuse of dominant position in the markets for managing the LGPRE and regulating the CMF</w:t>
      </w:r>
      <w:r>
        <w:rPr>
          <w:rFonts w:ascii="Calibri" w:cs="Calibri" w:eastAsia="Calibri" w:hAnsi="Calibri"/>
          <w:sz w:val="22"/>
          <w:szCs w:val="22"/>
        </w:rPr>
        <w:t xml:space="preserve"> </w:t>
      </w:r>
      <w:hyperlink w:history="1" r:id="rIdz7velmxiopz_s6xxo-_rm">
        <w:r>
          <w:rPr>
            <w:rFonts w:ascii="Calibri" w:cs="Calibri" w:eastAsia="Calibri" w:hAnsi="Calibri"/>
            <w:color w:val="0563C1"/>
            <w:sz w:val="22"/>
            <w:szCs w:val="22"/>
            <w:u w:val="single"/>
          </w:rPr>
          <w:t xml:space="preserve">[4]</w:t>
        </w:r>
      </w:hyperlink>
    </w:p>
    <w:p>
      <w:pPr>
        <w:pStyle w:val="ListParagraph"/>
        <w:numPr>
          <w:ilvl w:val="0"/>
          <w:numId w:val="1"/>
        </w:numPr>
        <w:spacing w:after="80"/>
      </w:pPr>
      <w:r>
        <w:rPr>
          <w:rFonts w:ascii="Calibri" w:cs="Calibri" w:eastAsia="Calibri" w:hAnsi="Calibri"/>
          <w:sz w:val="22"/>
          <w:szCs w:val="22"/>
        </w:rPr>
        <w:t xml:space="preserve">ANCCE was accused of imposing arbitrary and discriminatory conditions for access to technical secretariat services in horse competitions</w:t>
      </w:r>
      <w:r>
        <w:rPr>
          <w:rFonts w:ascii="Calibri" w:cs="Calibri" w:eastAsia="Calibri" w:hAnsi="Calibri"/>
          <w:sz w:val="22"/>
          <w:szCs w:val="22"/>
        </w:rPr>
        <w:t xml:space="preserve"> </w:t>
      </w:r>
      <w:hyperlink w:history="1" r:id="rIdkikd3vhlju25jokn4v1uo">
        <w:r>
          <w:rPr>
            <w:rFonts w:ascii="Calibri" w:cs="Calibri" w:eastAsia="Calibri" w:hAnsi="Calibri"/>
            <w:color w:val="0563C1"/>
            <w:sz w:val="22"/>
            <w:szCs w:val="22"/>
            <w:u w:val="single"/>
          </w:rPr>
          <w:t xml:space="preserve">[4]</w:t>
        </w:r>
      </w:hyperlink>
    </w:p>
    <w:p>
      <w:pPr>
        <w:spacing w:after="100" w:before="200"/>
      </w:pPr>
      <w:r>
        <w:rPr>
          <w:rFonts w:ascii="Calibri" w:cs="Calibri" w:eastAsia="Calibri" w:hAnsi="Calibri"/>
          <w:b/>
          <w:bCs/>
          <w:i/>
          <w:iCs/>
          <w:color w:val="1F4E5F"/>
          <w:sz w:val="22"/>
          <w:szCs w:val="22"/>
        </w:rPr>
        <w:t xml:space="preserve">Case Progression</w:t>
      </w:r>
    </w:p>
    <w:p>
      <w:pPr>
        <w:pStyle w:val="ListParagraph"/>
        <w:numPr>
          <w:ilvl w:val="0"/>
          <w:numId w:val="1"/>
        </w:numPr>
        <w:spacing w:after="80"/>
      </w:pPr>
      <w:r>
        <w:rPr>
          <w:rFonts w:ascii="Calibri" w:cs="Calibri" w:eastAsia="Calibri" w:hAnsi="Calibri"/>
          <w:sz w:val="22"/>
          <w:szCs w:val="22"/>
        </w:rPr>
        <w:t xml:space="preserve">The CNMC initiated a sanctioning procedure against ANCCE for prohibited conduct under Article 2 of the LDC and Article 102 of the TFEU</w:t>
      </w:r>
      <w:r>
        <w:rPr>
          <w:rFonts w:ascii="Calibri" w:cs="Calibri" w:eastAsia="Calibri" w:hAnsi="Calibri"/>
          <w:sz w:val="22"/>
          <w:szCs w:val="22"/>
        </w:rPr>
        <w:t xml:space="preserve"> </w:t>
      </w:r>
      <w:hyperlink w:history="1" r:id="rId4x7phumednghdphwaaoxz">
        <w:r>
          <w:rPr>
            <w:rFonts w:ascii="Calibri" w:cs="Calibri" w:eastAsia="Calibri" w:hAnsi="Calibri"/>
            <w:color w:val="0563C1"/>
            <w:sz w:val="22"/>
            <w:szCs w:val="22"/>
            <w:u w:val="single"/>
          </w:rPr>
          <w:t xml:space="preserve">[4]</w:t>
        </w:r>
      </w:hyperlink>
    </w:p>
    <w:p>
      <w:pPr>
        <w:pStyle w:val="ListParagraph"/>
        <w:numPr>
          <w:ilvl w:val="0"/>
          <w:numId w:val="1"/>
        </w:numPr>
        <w:spacing w:after="80"/>
      </w:pPr>
      <w:r>
        <w:rPr>
          <w:rFonts w:ascii="Calibri" w:cs="Calibri" w:eastAsia="Calibri" w:hAnsi="Calibri"/>
          <w:sz w:val="22"/>
          <w:szCs w:val="22"/>
        </w:rPr>
        <w:t xml:space="preserve">The CNMC found that ANCCE's conduct had exclusionary effects on competitors in the market for technical secretariat services</w:t>
      </w:r>
      <w:r>
        <w:rPr>
          <w:rFonts w:ascii="Calibri" w:cs="Calibri" w:eastAsia="Calibri" w:hAnsi="Calibri"/>
          <w:sz w:val="22"/>
          <w:szCs w:val="22"/>
        </w:rPr>
        <w:t xml:space="preserve"> </w:t>
      </w:r>
      <w:hyperlink w:history="1" r:id="rIde4pq3ixudmr07o229-8io">
        <w:r>
          <w:rPr>
            <w:rFonts w:ascii="Calibri" w:cs="Calibri" w:eastAsia="Calibri" w:hAnsi="Calibri"/>
            <w:color w:val="0563C1"/>
            <w:sz w:val="22"/>
            <w:szCs w:val="22"/>
            <w:u w:val="single"/>
          </w:rPr>
          <w:t xml:space="preserve">[4]</w:t>
        </w:r>
      </w:hyperlink>
    </w:p>
    <w:p>
      <w:pPr>
        <w:spacing w:after="100" w:before="200"/>
      </w:pPr>
      <w:r>
        <w:rPr>
          <w:rFonts w:ascii="Calibri" w:cs="Calibri" w:eastAsia="Calibri" w:hAnsi="Calibri"/>
          <w:b/>
          <w:bCs/>
          <w:i/>
          <w:iCs/>
          <w:color w:val="1F4E5F"/>
          <w:sz w:val="22"/>
          <w:szCs w:val="22"/>
        </w:rPr>
        <w:t xml:space="preserve">Market Definition</w:t>
      </w:r>
    </w:p>
    <w:p>
      <w:pPr>
        <w:pStyle w:val="ListParagraph"/>
        <w:numPr>
          <w:ilvl w:val="0"/>
          <w:numId w:val="1"/>
        </w:numPr>
        <w:spacing w:after="80"/>
      </w:pPr>
      <w:r>
        <w:rPr>
          <w:rFonts w:ascii="Calibri" w:cs="Calibri" w:eastAsia="Calibri" w:hAnsi="Calibri"/>
          <w:sz w:val="22"/>
          <w:szCs w:val="22"/>
        </w:rPr>
        <w:t xml:space="preserve">The relevant markets were defined as the management of the LGPRE, regulation and organization of the CMF, and the market for technical secretariat services</w:t>
      </w:r>
      <w:r>
        <w:rPr>
          <w:rFonts w:ascii="Calibri" w:cs="Calibri" w:eastAsia="Calibri" w:hAnsi="Calibri"/>
          <w:sz w:val="22"/>
          <w:szCs w:val="22"/>
        </w:rPr>
        <w:t xml:space="preserve"> </w:t>
      </w:r>
      <w:hyperlink w:history="1" r:id="rIdgttj95x_udapbq-zg25rs">
        <w:r>
          <w:rPr>
            <w:rFonts w:ascii="Calibri" w:cs="Calibri" w:eastAsia="Calibri" w:hAnsi="Calibri"/>
            <w:color w:val="0563C1"/>
            <w:sz w:val="22"/>
            <w:szCs w:val="22"/>
            <w:u w:val="single"/>
          </w:rPr>
          <w:t xml:space="preserve">[4]</w:t>
        </w:r>
      </w:hyperlink>
    </w:p>
    <w:p>
      <w:pPr>
        <w:spacing w:after="100" w:before="20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80"/>
      </w:pPr>
      <w:r>
        <w:rPr>
          <w:rFonts w:ascii="Calibri" w:cs="Calibri" w:eastAsia="Calibri" w:hAnsi="Calibri"/>
          <w:sz w:val="22"/>
          <w:szCs w:val="22"/>
        </w:rPr>
        <w:t xml:space="preserve">The CNMC assessed the exclusionary effects of ANCCE's conduct and its impact on competition in the affected markets</w:t>
      </w:r>
      <w:r>
        <w:rPr>
          <w:rFonts w:ascii="Calibri" w:cs="Calibri" w:eastAsia="Calibri" w:hAnsi="Calibri"/>
          <w:sz w:val="22"/>
          <w:szCs w:val="22"/>
        </w:rPr>
        <w:t xml:space="preserve"> </w:t>
      </w:r>
      <w:hyperlink w:history="1" r:id="rId75oyzyc2yq-ahoimkdjv8">
        <w:r>
          <w:rPr>
            <w:rFonts w:ascii="Calibri" w:cs="Calibri" w:eastAsia="Calibri" w:hAnsi="Calibri"/>
            <w:color w:val="0563C1"/>
            <w:sz w:val="22"/>
            <w:szCs w:val="22"/>
            <w:u w:val="single"/>
          </w:rPr>
          <w:t xml:space="preserve">[4]</w:t>
        </w:r>
      </w:hyperlink>
    </w:p>
    <w:p>
      <w:pPr>
        <w:pStyle w:val="ListParagraph"/>
        <w:numPr>
          <w:ilvl w:val="0"/>
          <w:numId w:val="1"/>
        </w:numPr>
        <w:spacing w:after="80"/>
      </w:pPr>
      <w:r>
        <w:rPr>
          <w:rFonts w:ascii="Calibri" w:cs="Calibri" w:eastAsia="Calibri" w:hAnsi="Calibri"/>
          <w:sz w:val="22"/>
          <w:szCs w:val="22"/>
        </w:rPr>
        <w:t xml:space="preserve">The CNMC concluded that ANCCE's conduct constituted an abuse of dominant position, restricting competition in the market for technical secretariat services</w:t>
      </w:r>
      <w:r>
        <w:rPr>
          <w:rFonts w:ascii="Calibri" w:cs="Calibri" w:eastAsia="Calibri" w:hAnsi="Calibri"/>
          <w:sz w:val="22"/>
          <w:szCs w:val="22"/>
        </w:rPr>
        <w:t xml:space="preserve"> </w:t>
      </w:r>
      <w:hyperlink w:history="1" r:id="rIdmgvbbkzzf_xr_mcvlkzqd">
        <w:r>
          <w:rPr>
            <w:rFonts w:ascii="Calibri" w:cs="Calibri" w:eastAsia="Calibri" w:hAnsi="Calibri"/>
            <w:color w:val="0563C1"/>
            <w:sz w:val="22"/>
            <w:szCs w:val="22"/>
            <w:u w:val="single"/>
          </w:rPr>
          <w:t xml:space="preserve">[4]</w:t>
        </w:r>
      </w:hyperlink>
    </w:p>
    <w:p>
      <w:pPr>
        <w:spacing w:after="100" w:before="200"/>
      </w:pPr>
      <w:r>
        <w:rPr>
          <w:rFonts w:ascii="Calibri" w:cs="Calibri" w:eastAsia="Calibri" w:hAnsi="Calibri"/>
          <w:b/>
          <w:bCs/>
          <w:i/>
          <w:iCs/>
          <w:color w:val="1F4E5F"/>
          <w:sz w:val="22"/>
          <w:szCs w:val="22"/>
        </w:rPr>
        <w:t xml:space="preserve">Conclusion</w:t>
      </w:r>
    </w:p>
    <w:p>
      <w:pPr>
        <w:pStyle w:val="ListParagraph"/>
        <w:numPr>
          <w:ilvl w:val="0"/>
          <w:numId w:val="1"/>
        </w:numPr>
        <w:spacing w:after="80"/>
      </w:pPr>
      <w:r>
        <w:rPr>
          <w:rFonts w:ascii="Calibri" w:cs="Calibri" w:eastAsia="Calibri" w:hAnsi="Calibri"/>
          <w:sz w:val="22"/>
          <w:szCs w:val="22"/>
        </w:rPr>
        <w:t xml:space="preserve">ANCCE was found responsible for an infringement consisting of an abuse of dominant position, and a fine of 187,677 euros was imposed</w:t>
      </w:r>
      <w:r>
        <w:rPr>
          <w:rFonts w:ascii="Calibri" w:cs="Calibri" w:eastAsia="Calibri" w:hAnsi="Calibri"/>
          <w:sz w:val="22"/>
          <w:szCs w:val="22"/>
        </w:rPr>
        <w:t xml:space="preserve"> </w:t>
      </w:r>
      <w:hyperlink w:history="1" r:id="rIdrxc5uo0c8pnyoisqmext3">
        <w:r>
          <w:rPr>
            <w:rFonts w:ascii="Calibri" w:cs="Calibri" w:eastAsia="Calibri" w:hAnsi="Calibri"/>
            <w:color w:val="0563C1"/>
            <w:sz w:val="22"/>
            <w:szCs w:val="22"/>
            <w:u w:val="single"/>
          </w:rPr>
          <w:t xml:space="preserve">[4]</w:t>
        </w:r>
      </w:hyperlink>
    </w:p>
    <w:p>
      <w:pPr>
        <w:spacing w:after="120" w:before="260"/>
      </w:pPr>
      <w:r>
        <w:rPr>
          <w:rFonts w:ascii="Calibri" w:cs="Calibri" w:eastAsia="Calibri" w:hAnsi="Calibri"/>
          <w:b/>
          <w:bCs/>
          <w:color w:val="1F4E5F"/>
          <w:sz w:val="24"/>
          <w:szCs w:val="24"/>
        </w:rPr>
        <w:t xml:space="preserve">Case S/DC/0590/16 — DAMA VS SGAE</w:t>
      </w:r>
    </w:p>
    <w:p>
      <w:pPr>
        <w:spacing w:after="100" w:before="200"/>
      </w:pPr>
      <w:r>
        <w:rPr>
          <w:rFonts w:ascii="Calibri" w:cs="Calibri" w:eastAsia="Calibri" w:hAnsi="Calibri"/>
          <w:b/>
          <w:bCs/>
          <w:i/>
          <w:iCs/>
          <w:color w:val="1F4E5F"/>
          <w:sz w:val="22"/>
          <w:szCs w:val="22"/>
        </w:rPr>
        <w:t xml:space="preserve">Case Background</w:t>
      </w:r>
    </w:p>
    <w:p>
      <w:pPr>
        <w:pStyle w:val="ListParagraph"/>
        <w:numPr>
          <w:ilvl w:val="0"/>
          <w:numId w:val="1"/>
        </w:numPr>
        <w:spacing w:after="80"/>
      </w:pPr>
      <w:r>
        <w:rPr>
          <w:rFonts w:ascii="Calibri" w:cs="Calibri" w:eastAsia="Calibri" w:hAnsi="Calibri"/>
          <w:sz w:val="22"/>
          <w:szCs w:val="22"/>
        </w:rPr>
        <w:t xml:space="preserve">The case involved a dispute between DAMA and SGAE regarding alleged anticompetitive practices in the management of audiovisual copyrights</w:t>
      </w:r>
      <w:r>
        <w:rPr>
          <w:rFonts w:ascii="Calibri" w:cs="Calibri" w:eastAsia="Calibri" w:hAnsi="Calibri"/>
          <w:sz w:val="22"/>
          <w:szCs w:val="22"/>
        </w:rPr>
        <w:t xml:space="preserve"> </w:t>
      </w:r>
      <w:hyperlink w:history="1" r:id="rIdqwhu2pelhjnq76nt4ohtp">
        <w:r>
          <w:rPr>
            <w:rFonts w:ascii="Calibri" w:cs="Calibri" w:eastAsia="Calibri" w:hAnsi="Calibri"/>
            <w:color w:val="0563C1"/>
            <w:sz w:val="22"/>
            <w:szCs w:val="22"/>
            <w:u w:val="single"/>
          </w:rPr>
          <w:t xml:space="preserve">[5]</w:t>
        </w:r>
      </w:hyperlink>
    </w:p>
    <w:p>
      <w:pPr>
        <w:pStyle w:val="ListParagraph"/>
        <w:numPr>
          <w:ilvl w:val="0"/>
          <w:numId w:val="1"/>
        </w:numPr>
        <w:spacing w:after="80"/>
      </w:pPr>
      <w:r>
        <w:rPr>
          <w:rFonts w:ascii="Calibri" w:cs="Calibri" w:eastAsia="Calibri" w:hAnsi="Calibri"/>
          <w:sz w:val="22"/>
          <w:szCs w:val="22"/>
        </w:rPr>
        <w:t xml:space="preserve">The case focused on whether SGAE's conduct constituted an abuse of dominant position in the market for managing audiovisual copyrights</w:t>
      </w:r>
      <w:r>
        <w:rPr>
          <w:rFonts w:ascii="Calibri" w:cs="Calibri" w:eastAsia="Calibri" w:hAnsi="Calibri"/>
          <w:sz w:val="22"/>
          <w:szCs w:val="22"/>
        </w:rPr>
        <w:t xml:space="preserve"> </w:t>
      </w:r>
      <w:hyperlink w:history="1" r:id="rIddtfzxuvfxk0gvea3ilyxf">
        <w:r>
          <w:rPr>
            <w:rFonts w:ascii="Calibri" w:cs="Calibri" w:eastAsia="Calibri" w:hAnsi="Calibri"/>
            <w:color w:val="0563C1"/>
            <w:sz w:val="22"/>
            <w:szCs w:val="22"/>
            <w:u w:val="single"/>
          </w:rPr>
          <w:t xml:space="preserve">[5]</w:t>
        </w:r>
      </w:hyperlink>
    </w:p>
    <w:p>
      <w:pPr>
        <w:spacing w:after="100" w:before="200"/>
      </w:pPr>
      <w:r>
        <w:rPr>
          <w:rFonts w:ascii="Calibri" w:cs="Calibri" w:eastAsia="Calibri" w:hAnsi="Calibri"/>
          <w:b/>
          <w:bCs/>
          <w:i/>
          <w:iCs/>
          <w:color w:val="1F4E5F"/>
          <w:sz w:val="22"/>
          <w:szCs w:val="22"/>
        </w:rPr>
        <w:t xml:space="preserve">Case Progression</w:t>
      </w:r>
    </w:p>
    <w:p>
      <w:pPr>
        <w:pStyle w:val="ListParagraph"/>
        <w:numPr>
          <w:ilvl w:val="0"/>
          <w:numId w:val="1"/>
        </w:numPr>
        <w:spacing w:after="80"/>
      </w:pPr>
      <w:r>
        <w:rPr>
          <w:rFonts w:ascii="Calibri" w:cs="Calibri" w:eastAsia="Calibri" w:hAnsi="Calibri"/>
          <w:sz w:val="22"/>
          <w:szCs w:val="22"/>
        </w:rPr>
        <w:t xml:space="preserve">The CNMC initiated a sanctioning procedure to investigate the alleged anticompetitive practices by SGAE</w:t>
      </w:r>
      <w:r>
        <w:rPr>
          <w:rFonts w:ascii="Calibri" w:cs="Calibri" w:eastAsia="Calibri" w:hAnsi="Calibri"/>
          <w:sz w:val="22"/>
          <w:szCs w:val="22"/>
        </w:rPr>
        <w:t xml:space="preserve"> </w:t>
      </w:r>
      <w:hyperlink w:history="1" r:id="rIdzxrgdonn-ugulhdsex_ea">
        <w:r>
          <w:rPr>
            <w:rFonts w:ascii="Calibri" w:cs="Calibri" w:eastAsia="Calibri" w:hAnsi="Calibri"/>
            <w:color w:val="0563C1"/>
            <w:sz w:val="22"/>
            <w:szCs w:val="22"/>
            <w:u w:val="single"/>
          </w:rPr>
          <w:t xml:space="preserve">[5]</w:t>
        </w:r>
      </w:hyperlink>
    </w:p>
    <w:p>
      <w:pPr>
        <w:pStyle w:val="ListParagraph"/>
        <w:numPr>
          <w:ilvl w:val="0"/>
          <w:numId w:val="1"/>
        </w:numPr>
        <w:spacing w:after="80"/>
      </w:pPr>
      <w:r>
        <w:rPr>
          <w:rFonts w:ascii="Calibri" w:cs="Calibri" w:eastAsia="Calibri" w:hAnsi="Calibri"/>
          <w:sz w:val="22"/>
          <w:szCs w:val="22"/>
        </w:rPr>
        <w:t xml:space="preserve">The case involved complex legal issues regarding the procedural aspects of competition law and the principle of non bis in idem</w:t>
      </w:r>
      <w:r>
        <w:rPr>
          <w:rFonts w:ascii="Calibri" w:cs="Calibri" w:eastAsia="Calibri" w:hAnsi="Calibri"/>
          <w:sz w:val="22"/>
          <w:szCs w:val="22"/>
        </w:rPr>
        <w:t xml:space="preserve"> </w:t>
      </w:r>
      <w:hyperlink w:history="1" r:id="rIdaiy8mn_lmd1abkfn9vnot">
        <w:r>
          <w:rPr>
            <w:rFonts w:ascii="Calibri" w:cs="Calibri" w:eastAsia="Calibri" w:hAnsi="Calibri"/>
            <w:color w:val="0563C1"/>
            <w:sz w:val="22"/>
            <w:szCs w:val="22"/>
            <w:u w:val="single"/>
          </w:rPr>
          <w:t xml:space="preserve">[5]</w:t>
        </w:r>
      </w:hyperlink>
    </w:p>
    <w:p>
      <w:pPr>
        <w:spacing w:after="100" w:before="200"/>
      </w:pPr>
      <w:r>
        <w:rPr>
          <w:rFonts w:ascii="Calibri" w:cs="Calibri" w:eastAsia="Calibri" w:hAnsi="Calibri"/>
          <w:b/>
          <w:bCs/>
          <w:i/>
          <w:iCs/>
          <w:color w:val="1F4E5F"/>
          <w:sz w:val="22"/>
          <w:szCs w:val="22"/>
        </w:rPr>
        <w:t xml:space="preserve">Market Definition</w:t>
      </w:r>
    </w:p>
    <w:p>
      <w:pPr>
        <w:pStyle w:val="ListParagraph"/>
        <w:numPr>
          <w:ilvl w:val="0"/>
          <w:numId w:val="1"/>
        </w:numPr>
        <w:spacing w:after="80"/>
      </w:pPr>
      <w:r>
        <w:rPr>
          <w:rFonts w:ascii="Calibri" w:cs="Calibri" w:eastAsia="Calibri" w:hAnsi="Calibri"/>
          <w:sz w:val="22"/>
          <w:szCs w:val="22"/>
        </w:rPr>
        <w:t xml:space="preserve">The relevant market was defined as the management of audiovisual copyrights, with SGAE holding a dominant position due to its extensive network and influence in the industry</w:t>
      </w:r>
      <w:r>
        <w:rPr>
          <w:rFonts w:ascii="Calibri" w:cs="Calibri" w:eastAsia="Calibri" w:hAnsi="Calibri"/>
          <w:sz w:val="22"/>
          <w:szCs w:val="22"/>
        </w:rPr>
        <w:t xml:space="preserve"> </w:t>
      </w:r>
      <w:hyperlink w:history="1" r:id="rIdfhf9fsgrnq94v6vvr4xi1">
        <w:r>
          <w:rPr>
            <w:rFonts w:ascii="Calibri" w:cs="Calibri" w:eastAsia="Calibri" w:hAnsi="Calibri"/>
            <w:color w:val="0563C1"/>
            <w:sz w:val="22"/>
            <w:szCs w:val="22"/>
            <w:u w:val="single"/>
          </w:rPr>
          <w:t xml:space="preserve">[5]</w:t>
        </w:r>
      </w:hyperlink>
    </w:p>
    <w:p>
      <w:pPr>
        <w:spacing w:after="100" w:before="20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80"/>
      </w:pPr>
      <w:r>
        <w:rPr>
          <w:rFonts w:ascii="Calibri" w:cs="Calibri" w:eastAsia="Calibri" w:hAnsi="Calibri"/>
          <w:sz w:val="22"/>
          <w:szCs w:val="22"/>
        </w:rPr>
        <w:t xml:space="preserve">The CNMC assessed the procedural aspects of the case, focusing on the principle of non bis in idem and the potential impact on competition</w:t>
      </w:r>
      <w:r>
        <w:rPr>
          <w:rFonts w:ascii="Calibri" w:cs="Calibri" w:eastAsia="Calibri" w:hAnsi="Calibri"/>
          <w:sz w:val="22"/>
          <w:szCs w:val="22"/>
        </w:rPr>
        <w:t xml:space="preserve"> </w:t>
      </w:r>
      <w:hyperlink w:history="1" r:id="rIdvpbx1vymde4vyzs86smnh">
        <w:r>
          <w:rPr>
            <w:rFonts w:ascii="Calibri" w:cs="Calibri" w:eastAsia="Calibri" w:hAnsi="Calibri"/>
            <w:color w:val="0563C1"/>
            <w:sz w:val="22"/>
            <w:szCs w:val="22"/>
            <w:u w:val="single"/>
          </w:rPr>
          <w:t xml:space="preserve">[5]</w:t>
        </w:r>
      </w:hyperlink>
    </w:p>
    <w:p>
      <w:pPr>
        <w:pStyle w:val="ListParagraph"/>
        <w:numPr>
          <w:ilvl w:val="0"/>
          <w:numId w:val="1"/>
        </w:numPr>
        <w:spacing w:after="80"/>
      </w:pPr>
      <w:r>
        <w:rPr>
          <w:rFonts w:ascii="Calibri" w:cs="Calibri" w:eastAsia="Calibri" w:hAnsi="Calibri"/>
          <w:sz w:val="22"/>
          <w:szCs w:val="22"/>
        </w:rPr>
        <w:t xml:space="preserve">The CNMC examined whether SGAE's conduct constituted an abuse of dominant position and its impact on competition in the market for managing audiovisual copyrights</w:t>
      </w:r>
      <w:r>
        <w:rPr>
          <w:rFonts w:ascii="Calibri" w:cs="Calibri" w:eastAsia="Calibri" w:hAnsi="Calibri"/>
          <w:sz w:val="22"/>
          <w:szCs w:val="22"/>
        </w:rPr>
        <w:t xml:space="preserve"> </w:t>
      </w:r>
      <w:hyperlink w:history="1" r:id="rIdisrjzl-due82fzobrw5g_">
        <w:r>
          <w:rPr>
            <w:rFonts w:ascii="Calibri" w:cs="Calibri" w:eastAsia="Calibri" w:hAnsi="Calibri"/>
            <w:color w:val="0563C1"/>
            <w:sz w:val="22"/>
            <w:szCs w:val="22"/>
            <w:u w:val="single"/>
          </w:rPr>
          <w:t xml:space="preserve">[5]</w:t>
        </w:r>
      </w:hyperlink>
    </w:p>
    <w:p>
      <w:pPr>
        <w:spacing w:after="100" w:before="200"/>
      </w:pPr>
      <w:r>
        <w:rPr>
          <w:rFonts w:ascii="Calibri" w:cs="Calibri" w:eastAsia="Calibri" w:hAnsi="Calibri"/>
          <w:b/>
          <w:bCs/>
          <w:i/>
          <w:iCs/>
          <w:color w:val="1F4E5F"/>
          <w:sz w:val="22"/>
          <w:szCs w:val="22"/>
        </w:rPr>
        <w:t xml:space="preserve">Conclusion</w:t>
      </w:r>
    </w:p>
    <w:p>
      <w:pPr>
        <w:pStyle w:val="ListParagraph"/>
        <w:numPr>
          <w:ilvl w:val="0"/>
          <w:numId w:val="1"/>
        </w:numPr>
        <w:spacing w:after="80"/>
      </w:pPr>
      <w:r>
        <w:rPr>
          <w:rFonts w:ascii="Calibri" w:cs="Calibri" w:eastAsia="Calibri" w:hAnsi="Calibri"/>
          <w:sz w:val="22"/>
          <w:szCs w:val="22"/>
        </w:rPr>
        <w:t xml:space="preserve">The case involved complex legal issues regarding the procedural aspects of competition law, and the CNMC's decision focused on ensuring compliance with competition rules and safeguarding the public interest</w:t>
      </w:r>
      <w:r>
        <w:rPr>
          <w:rFonts w:ascii="Calibri" w:cs="Calibri" w:eastAsia="Calibri" w:hAnsi="Calibri"/>
          <w:sz w:val="22"/>
          <w:szCs w:val="22"/>
        </w:rPr>
        <w:t xml:space="preserve"> </w:t>
      </w:r>
      <w:hyperlink w:history="1" r:id="rId6mitqowyksaokztvh_pq_">
        <w:r>
          <w:rPr>
            <w:rFonts w:ascii="Calibri" w:cs="Calibri" w:eastAsia="Calibri" w:hAnsi="Calibri"/>
            <w:color w:val="0563C1"/>
            <w:sz w:val="22"/>
            <w:szCs w:val="22"/>
            <w:u w:val="single"/>
          </w:rPr>
          <w:t xml:space="preserve">[5]</w:t>
        </w:r>
      </w:hyperlink>
    </w:p>
    <w:p>
      <w:pPr>
        <w:pStyle w:val="Heading1"/>
        <w:pBdr>
          <w:bottom w:val="single" w:color="1F4E5F" w:sz="6" w:space="4"/>
        </w:pBdr>
        <w:spacing w:after="160" w:before="300"/>
      </w:pPr>
      <w:r>
        <w:rPr>
          <w:rFonts w:ascii="Calibri" w:cs="Calibri" w:eastAsia="Calibri" w:hAnsi="Calibri"/>
          <w:b/>
          <w:bCs/>
          <w:color w:val="1F4E5F"/>
          <w:sz w:val="28"/>
          <w:szCs w:val="28"/>
        </w:rPr>
        <w:t xml:space="preserve">Cited Sources</w:t>
      </w:r>
    </w:p>
    <w:p>
      <w:pPr>
        <w:pStyle w:val="ListParagraph"/>
        <w:numPr>
          <w:ilvl w:val="0"/>
          <w:numId w:val="2"/>
        </w:numPr>
        <w:spacing w:after="100"/>
      </w:pPr>
      <w:hyperlink w:history="1" r:id="rIdlhiaocqrmjpozstkgyvsv">
        <w:r>
          <w:rPr>
            <w:rFonts w:ascii="Calibri" w:cs="Calibri" w:eastAsia="Calibri" w:hAnsi="Calibri"/>
            <w:color w:val="0563C1"/>
            <w:sz w:val="22"/>
            <w:szCs w:val="22"/>
            <w:u w:val="single"/>
          </w:rPr>
          <w:t xml:space="preserve">CNMC — Expediente S/DC/0502/14</w:t>
        </w:r>
      </w:hyperlink>
    </w:p>
    <w:p>
      <w:pPr>
        <w:pStyle w:val="ListParagraph"/>
        <w:numPr>
          <w:ilvl w:val="0"/>
          <w:numId w:val="2"/>
        </w:numPr>
        <w:spacing w:after="100"/>
      </w:pPr>
      <w:hyperlink w:history="1" r:id="rIdump2-4b84qi6sxikaprxf">
        <w:r>
          <w:rPr>
            <w:rFonts w:ascii="Calibri" w:cs="Calibri" w:eastAsia="Calibri" w:hAnsi="Calibri"/>
            <w:color w:val="0563C1"/>
            <w:sz w:val="22"/>
            <w:szCs w:val="22"/>
            <w:u w:val="single"/>
          </w:rPr>
          <w:t xml:space="preserve">CNMC — Expediente S/DC/0557/15</w:t>
        </w:r>
      </w:hyperlink>
    </w:p>
    <w:p>
      <w:pPr>
        <w:pStyle w:val="ListParagraph"/>
        <w:numPr>
          <w:ilvl w:val="0"/>
          <w:numId w:val="2"/>
        </w:numPr>
        <w:spacing w:after="100"/>
      </w:pPr>
      <w:hyperlink w:history="1" r:id="rIdputnqu7by8quc2v_8dt2a">
        <w:r>
          <w:rPr>
            <w:rFonts w:ascii="Calibri" w:cs="Calibri" w:eastAsia="Calibri" w:hAnsi="Calibri"/>
            <w:color w:val="0563C1"/>
            <w:sz w:val="22"/>
            <w:szCs w:val="22"/>
            <w:u w:val="single"/>
          </w:rPr>
          <w:t xml:space="preserve">CNMC — Expediente S/DC/0567/15</w:t>
        </w:r>
      </w:hyperlink>
    </w:p>
    <w:p>
      <w:pPr>
        <w:pStyle w:val="ListParagraph"/>
        <w:numPr>
          <w:ilvl w:val="0"/>
          <w:numId w:val="2"/>
        </w:numPr>
        <w:spacing w:after="100"/>
      </w:pPr>
      <w:hyperlink w:history="1" r:id="rId6tzzbhq90lwkaryc77nif">
        <w:r>
          <w:rPr>
            <w:rFonts w:ascii="Calibri" w:cs="Calibri" w:eastAsia="Calibri" w:hAnsi="Calibri"/>
            <w:color w:val="0563C1"/>
            <w:sz w:val="22"/>
            <w:szCs w:val="22"/>
            <w:u w:val="single"/>
          </w:rPr>
          <w:t xml:space="preserve">CNMC — Expediente S/DC/0580/16</w:t>
        </w:r>
      </w:hyperlink>
    </w:p>
    <w:p>
      <w:pPr>
        <w:pStyle w:val="ListParagraph"/>
        <w:numPr>
          <w:ilvl w:val="0"/>
          <w:numId w:val="2"/>
        </w:numPr>
        <w:spacing w:after="100"/>
      </w:pPr>
      <w:hyperlink w:history="1" r:id="rIdqt-nf2pthd6qikkxmurwe">
        <w:r>
          <w:rPr>
            <w:rFonts w:ascii="Calibri" w:cs="Calibri" w:eastAsia="Calibri" w:hAnsi="Calibri"/>
            <w:color w:val="0563C1"/>
            <w:sz w:val="22"/>
            <w:szCs w:val="22"/>
            <w:u w:val="single"/>
          </w:rPr>
          <w:t xml:space="preserve">CNMC — Expediente S/DC/0590/16</w:t>
        </w:r>
      </w:hyperlink>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xubbstra4sn-tmux9t2p" Type="http://schemas.openxmlformats.org/officeDocument/2006/relationships/hyperlink" Target="https://www.cnmc.es/expedientes/sdc050214" TargetMode="External"/><Relationship Id="rIdlyhwyrfpukzgp8u8bvjka" Type="http://schemas.openxmlformats.org/officeDocument/2006/relationships/hyperlink" Target="https://www.cnmc.es/expedientes/sdc050214" TargetMode="External"/><Relationship Id="rIdrvdv5aobipb4d4mz0qipv" Type="http://schemas.openxmlformats.org/officeDocument/2006/relationships/hyperlink" Target="https://www.cnmc.es/expedientes/sdc050214" TargetMode="External"/><Relationship Id="rIdla2p1vrwm8e_z-aw0yy8e" Type="http://schemas.openxmlformats.org/officeDocument/2006/relationships/hyperlink" Target="https://www.cnmc.es/expedientes/sdc050214" TargetMode="External"/><Relationship Id="rIdmn5qsjnroepamrhuzrxur" Type="http://schemas.openxmlformats.org/officeDocument/2006/relationships/hyperlink" Target="https://www.cnmc.es/expedientes/sdc050214" TargetMode="External"/><Relationship Id="rIdkprsoj7rjeq8wy0ofybgf" Type="http://schemas.openxmlformats.org/officeDocument/2006/relationships/hyperlink" Target="https://www.cnmc.es/expedientes/sdc050214" TargetMode="External"/><Relationship Id="rIdyfe-m0ader2r9m9acly96" Type="http://schemas.openxmlformats.org/officeDocument/2006/relationships/hyperlink" Target="https://www.cnmc.es/expedientes/sdc050214" TargetMode="External"/><Relationship Id="rIdr3ndcmgb4hdok_pkaoimc" Type="http://schemas.openxmlformats.org/officeDocument/2006/relationships/hyperlink" Target="https://www.cnmc.es/expedientes/sdc050214" TargetMode="External"/><Relationship Id="rIdtj0_q4ks4xn_zcb0fdrhf" Type="http://schemas.openxmlformats.org/officeDocument/2006/relationships/hyperlink" Target="https://www.cnmc.es/expedientes/sdc050214" TargetMode="External"/><Relationship Id="rIdhuprzgnunpf_c4ufrcazb" Type="http://schemas.openxmlformats.org/officeDocument/2006/relationships/hyperlink" Target="https://www.cnmc.es/expedientes/sdc050214" TargetMode="External"/><Relationship Id="rIdmymt0zwdi97ohltoy8vcv" Type="http://schemas.openxmlformats.org/officeDocument/2006/relationships/hyperlink" Target="https://www.cnmc.es/expedientes/sdc055715" TargetMode="External"/><Relationship Id="rIdlyvuybhmiowenxqdp2umm" Type="http://schemas.openxmlformats.org/officeDocument/2006/relationships/hyperlink" Target="https://www.cnmc.es/expedientes/sdc055715" TargetMode="External"/><Relationship Id="rIdc1sfgndreeug98szbxbbm" Type="http://schemas.openxmlformats.org/officeDocument/2006/relationships/hyperlink" Target="https://www.cnmc.es/expedientes/sdc055715" TargetMode="External"/><Relationship Id="rIdui-julse7bahncxun89q5" Type="http://schemas.openxmlformats.org/officeDocument/2006/relationships/hyperlink" Target="https://www.cnmc.es/expedientes/sdc055715" TargetMode="External"/><Relationship Id="rIdhd1qqsxqap9pt71cf8lw_" Type="http://schemas.openxmlformats.org/officeDocument/2006/relationships/hyperlink" Target="https://www.cnmc.es/expedientes/sdc055715" TargetMode="External"/><Relationship Id="rIdzhv0flowkp7lgqsup9obm" Type="http://schemas.openxmlformats.org/officeDocument/2006/relationships/hyperlink" Target="https://www.cnmc.es/expedientes/sdc055715" TargetMode="External"/><Relationship Id="rIdv8fubjekwmkorzlbzqdia" Type="http://schemas.openxmlformats.org/officeDocument/2006/relationships/hyperlink" Target="https://www.cnmc.es/expedientes/sdc055715" TargetMode="External"/><Relationship Id="rIdzh0nyx3jeai_n5tcvgfmk" Type="http://schemas.openxmlformats.org/officeDocument/2006/relationships/hyperlink" Target="https://www.cnmc.es/expedientes/sdc055715" TargetMode="External"/><Relationship Id="rIdgjdefezft14uficz-arsd" Type="http://schemas.openxmlformats.org/officeDocument/2006/relationships/hyperlink" Target="https://www.cnmc.es/expedientes/sdc056715" TargetMode="External"/><Relationship Id="rIdpm16yguw9bwo8ssdqtn3-" Type="http://schemas.openxmlformats.org/officeDocument/2006/relationships/hyperlink" Target="https://www.cnmc.es/expedientes/sdc056715" TargetMode="External"/><Relationship Id="rIdnxub7w8fx0lv8a4grisfl" Type="http://schemas.openxmlformats.org/officeDocument/2006/relationships/hyperlink" Target="https://www.cnmc.es/expedientes/sdc056715" TargetMode="External"/><Relationship Id="rId-zesu1ajil0q6dwho848l" Type="http://schemas.openxmlformats.org/officeDocument/2006/relationships/hyperlink" Target="https://www.cnmc.es/expedientes/sdc056715" TargetMode="External"/><Relationship Id="rIdmcexjkedjn1js7uj9wbpj" Type="http://schemas.openxmlformats.org/officeDocument/2006/relationships/hyperlink" Target="https://www.cnmc.es/expedientes/sdc056715" TargetMode="External"/><Relationship Id="rIdme9dccix9ujg8x5fhk00h" Type="http://schemas.openxmlformats.org/officeDocument/2006/relationships/hyperlink" Target="https://www.cnmc.es/expedientes/sdc056715" TargetMode="External"/><Relationship Id="rIddt3eq-wj-umo-z_-ubajk" Type="http://schemas.openxmlformats.org/officeDocument/2006/relationships/hyperlink" Target="https://www.cnmc.es/expedientes/sdc056715" TargetMode="External"/><Relationship Id="rIdty1srdv1aadb2zyaawgga" Type="http://schemas.openxmlformats.org/officeDocument/2006/relationships/hyperlink" Target="https://www.cnmc.es/expedientes/sdc056715" TargetMode="External"/><Relationship Id="rIdz7velmxiopz_s6xxo-_rm" Type="http://schemas.openxmlformats.org/officeDocument/2006/relationships/hyperlink" Target="https://www.cnmc.es/expedientes/sdc058016" TargetMode="External"/><Relationship Id="rIdkikd3vhlju25jokn4v1uo" Type="http://schemas.openxmlformats.org/officeDocument/2006/relationships/hyperlink" Target="https://www.cnmc.es/expedientes/sdc058016" TargetMode="External"/><Relationship Id="rId4x7phumednghdphwaaoxz" Type="http://schemas.openxmlformats.org/officeDocument/2006/relationships/hyperlink" Target="https://www.cnmc.es/expedientes/sdc058016" TargetMode="External"/><Relationship Id="rIde4pq3ixudmr07o229-8io" Type="http://schemas.openxmlformats.org/officeDocument/2006/relationships/hyperlink" Target="https://www.cnmc.es/expedientes/sdc058016" TargetMode="External"/><Relationship Id="rIdgttj95x_udapbq-zg25rs" Type="http://schemas.openxmlformats.org/officeDocument/2006/relationships/hyperlink" Target="https://www.cnmc.es/expedientes/sdc058016" TargetMode="External"/><Relationship Id="rId75oyzyc2yq-ahoimkdjv8" Type="http://schemas.openxmlformats.org/officeDocument/2006/relationships/hyperlink" Target="https://www.cnmc.es/expedientes/sdc058016" TargetMode="External"/><Relationship Id="rIdmgvbbkzzf_xr_mcvlkzqd" Type="http://schemas.openxmlformats.org/officeDocument/2006/relationships/hyperlink" Target="https://www.cnmc.es/expedientes/sdc058016" TargetMode="External"/><Relationship Id="rIdrxc5uo0c8pnyoisqmext3" Type="http://schemas.openxmlformats.org/officeDocument/2006/relationships/hyperlink" Target="https://www.cnmc.es/expedientes/sdc058016" TargetMode="External"/><Relationship Id="rIdqwhu2pelhjnq76nt4ohtp" Type="http://schemas.openxmlformats.org/officeDocument/2006/relationships/hyperlink" Target="https://www.cnmc.es/expedientes/sdc059016" TargetMode="External"/><Relationship Id="rIddtfzxuvfxk0gvea3ilyxf" Type="http://schemas.openxmlformats.org/officeDocument/2006/relationships/hyperlink" Target="https://www.cnmc.es/expedientes/sdc059016" TargetMode="External"/><Relationship Id="rIdzxrgdonn-ugulhdsex_ea" Type="http://schemas.openxmlformats.org/officeDocument/2006/relationships/hyperlink" Target="https://www.cnmc.es/expedientes/sdc059016" TargetMode="External"/><Relationship Id="rIdaiy8mn_lmd1abkfn9vnot" Type="http://schemas.openxmlformats.org/officeDocument/2006/relationships/hyperlink" Target="https://www.cnmc.es/expedientes/sdc059016" TargetMode="External"/><Relationship Id="rIdfhf9fsgrnq94v6vvr4xi1" Type="http://schemas.openxmlformats.org/officeDocument/2006/relationships/hyperlink" Target="https://www.cnmc.es/expedientes/sdc059016" TargetMode="External"/><Relationship Id="rIdvpbx1vymde4vyzs86smnh" Type="http://schemas.openxmlformats.org/officeDocument/2006/relationships/hyperlink" Target="https://www.cnmc.es/expedientes/sdc059016" TargetMode="External"/><Relationship Id="rIdisrjzl-due82fzobrw5g_" Type="http://schemas.openxmlformats.org/officeDocument/2006/relationships/hyperlink" Target="https://www.cnmc.es/expedientes/sdc059016" TargetMode="External"/><Relationship Id="rId6mitqowyksaokztvh_pq_" Type="http://schemas.openxmlformats.org/officeDocument/2006/relationships/hyperlink" Target="https://www.cnmc.es/expedientes/sdc059016" TargetMode="External"/><Relationship Id="rIdlhiaocqrmjpozstkgyvsv" Type="http://schemas.openxmlformats.org/officeDocument/2006/relationships/hyperlink" Target="https://www.cnmc.es/expedientes/sdc050214" TargetMode="External"/><Relationship Id="rIdump2-4b84qi6sxikaprxf" Type="http://schemas.openxmlformats.org/officeDocument/2006/relationships/hyperlink" Target="https://www.cnmc.es/expedientes/sdc055715" TargetMode="External"/><Relationship Id="rIdputnqu7by8quc2v_8dt2a" Type="http://schemas.openxmlformats.org/officeDocument/2006/relationships/hyperlink" Target="https://www.cnmc.es/expedientes/sdc056715" TargetMode="External"/><Relationship Id="rId6tzzbhq90lwkaryc77nif" Type="http://schemas.openxmlformats.org/officeDocument/2006/relationships/hyperlink" Target="https://www.cnmc.es/expedientes/sdc058016" TargetMode="External"/><Relationship Id="rIdqt-nf2pthd6qikkxmurwe" Type="http://schemas.openxmlformats.org/officeDocument/2006/relationships/hyperlink" Target="https://www.cnmc.es/expedientes/sdc059016" TargetMode="External"/><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2026-09-02T10:54:52.796Z</dcterms:created>
  <dcterms:modified xsi:type="dcterms:W3CDTF">2026-09-02T10:54:52.796Z</dcterms:modified>
</cp:coreProperties>
</file>

<file path=docProps/custom.xml><?xml version="1.0" encoding="utf-8"?>
<Properties xmlns="http://schemas.openxmlformats.org/officeDocument/2006/custom-properties" xmlns:vt="http://schemas.openxmlformats.org/officeDocument/2006/docPropsVTypes"/>
</file>