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4E5F"/>
          <w:sz w:val="32"/>
          <w:szCs w:val="32"/>
        </w:rPr>
        <w:t xml:space="preserve">Response Transcript — Sample 2</w:t>
      </w:r>
    </w:p>
    <w:p>
      <w:pPr>
        <w:pBdr>
          <w:bottom w:val="single" w:color="AAAAAA" w:sz="6" w:space="4"/>
        </w:pBdr>
        <w:spacing w:after="200" w:before="200"/>
      </w:pPr>
    </w:p>
    <w:p>
      <w:pPr>
        <w:spacing w:after="120" w:before="240"/>
      </w:pPr>
      <w:r>
        <w:rPr>
          <w:rFonts w:ascii="Calibri" w:cs="Calibri" w:eastAsia="Calibri" w:hAnsi="Calibri"/>
          <w:b/>
          <w:bCs/>
          <w:color w:val="1F4E5F"/>
          <w:sz w:val="24"/>
          <w:szCs w:val="24"/>
        </w:rPr>
        <w:t xml:space="preserve">User Query</w:t>
      </w:r>
    </w:p>
    <w:p>
      <w:pPr>
        <w:pBdr>
          <w:left w:val="single" w:color="1F4E5F" w:sz="12" w:space="8"/>
        </w:pBdr>
        <w:spacing w:after="200"/>
        <w:ind w:left="360"/>
      </w:pPr>
      <w:r>
        <w:rPr>
          <w:rFonts w:ascii="Calibri" w:cs="Calibri" w:eastAsia="Calibri" w:hAnsi="Calibri"/>
          <w:i/>
          <w:iCs/>
          <w:sz w:val="22"/>
          <w:szCs w:val="22"/>
        </w:rPr>
        <w:t xml:space="preserve">Get me French cartel cases in the financial and insurance markets</w:t>
      </w:r>
    </w:p>
    <w:p>
      <w:pPr>
        <w:spacing w:after="120" w:before="240"/>
      </w:pPr>
      <w:r>
        <w:rPr>
          <w:rFonts w:ascii="Calibri" w:cs="Calibri" w:eastAsia="Calibri" w:hAnsi="Calibri"/>
          <w:b/>
          <w:bCs/>
          <w:color w:val="1F4E5F"/>
          <w:sz w:val="24"/>
          <w:szCs w:val="24"/>
        </w:rPr>
        <w:t xml:space="preserve">System Response</w:t>
      </w:r>
    </w:p>
    <w:p>
      <w:pPr>
        <w:spacing w:after="120"/>
      </w:pPr>
      <w:r>
        <w:rPr>
          <w:rFonts w:ascii="Calibri" w:cs="Calibri" w:eastAsia="Calibri" w:hAnsi="Calibri"/>
          <w:b w:val="false"/>
          <w:bCs w:val="false"/>
          <w:i w:val="false"/>
          <w:iCs w:val="false"/>
          <w:sz w:val="22"/>
          <w:szCs w:val="22"/>
        </w:rPr>
        <w:t xml:space="preserve">I have enough to give a solid overview of the major French cartel cases in banking/financial services and insurance. Here's a rundown of the key ones:</w:t>
      </w:r>
    </w:p>
    <w:p>
      <w:pPr>
        <w:spacing w:after="120" w:before="240"/>
      </w:pPr>
      <w:r>
        <w:rPr>
          <w:rFonts w:ascii="Calibri" w:cs="Calibri" w:eastAsia="Calibri" w:hAnsi="Calibri"/>
          <w:b/>
          <w:bCs/>
          <w:sz w:val="22"/>
          <w:szCs w:val="22"/>
        </w:rPr>
        <w:t xml:space="preserve">Banking / financial services cartels</w:t>
      </w:r>
    </w:p>
    <w:p>
      <w:pPr>
        <w:spacing w:after="60" w:before="160"/>
      </w:pPr>
      <w:r>
        <w:rPr>
          <w:rFonts w:ascii="Calibri" w:cs="Calibri" w:eastAsia="Calibri" w:hAnsi="Calibri"/>
          <w:b/>
          <w:bCs/>
          <w:i w:val="false"/>
          <w:iCs w:val="false"/>
          <w:sz w:val="22"/>
          <w:szCs w:val="22"/>
        </w:rPr>
        <w:t xml:space="preserve">1. Cheque-processing commission cartel (2010)</w:t>
      </w:r>
      <w:r>
        <w:rPr>
          <w:rFonts w:ascii="Calibri" w:cs="Calibri" w:eastAsia="Calibri" w:hAnsi="Calibri"/>
          <w:b/>
          <w:bCs/>
          <w:i w:val="false"/>
          <w:iCs w:val="false"/>
          <w:sz w:val="22"/>
          <w:szCs w:val="22"/>
        </w:rPr>
        <w:t xml:space="preserve"> — the biggest and most cited case</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Decision 10-D-28, 20 September 2010, by the Autorité de la concurrence</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11 major French banks (plus the Banque de France as facilitator) were fined a combined €381–385 million for having concertedly set an interbank commission of 4.3 euro cents on 80% of cheques exchanged in France between January 2002 and July 2007, during the move to the dematerialized cheque-clearing system (EIC/CEIC). </w:t>
      </w:r>
      <w:hyperlink w:history="1" r:id="rId0jnncb3iyckez1pzs_-j5">
        <w:r>
          <w:rPr>
            <w:rStyle w:val="Hyperlink"/>
            <w:rFonts w:ascii="Calibri" w:cs="Calibri" w:eastAsia="Calibri" w:hAnsi="Calibri"/>
            <w:sz w:val="22"/>
            <w:szCs w:val="22"/>
          </w:rPr>
          <w:t xml:space="preserve">[1]</w:t>
        </w:r>
      </w:hyperlink>
      <w:hyperlink w:history="1" r:id="rIdspaqq3pah3lq8tvnen3fb">
        <w:r>
          <w:rPr>
            <w:rStyle w:val="Hyperlink"/>
            <w:rFonts w:ascii="Calibri" w:cs="Calibri" w:eastAsia="Calibri" w:hAnsi="Calibri"/>
            <w:sz w:val="22"/>
            <w:szCs w:val="22"/>
          </w:rPr>
          <w:t xml:space="preserve">[2]</w:t>
        </w:r>
      </w:hyperlink>
    </w:p>
    <w:p>
      <w:pPr>
        <w:pStyle w:val="ListParagraph"/>
        <w:numPr>
          <w:ilvl w:val="0"/>
          <w:numId w:val="2"/>
        </w:numPr>
        <w:spacing w:after="100"/>
      </w:pPr>
      <w:r>
        <w:rPr>
          <w:rFonts w:ascii="Calibri" w:cs="Calibri" w:eastAsia="Calibri" w:hAnsi="Calibri"/>
          <w:b w:val="false"/>
          <w:bCs w:val="false"/>
          <w:i w:val="false"/>
          <w:iCs w:val="false"/>
          <w:sz w:val="22"/>
          <w:szCs w:val="22"/>
        </w:rPr>
        <w:t xml:space="preserve">The Authority found the "commission d'échange image-chèque" was meant to compensate banks for cash-flow losses from faster interbank settlement, and treated the agreement as anti-competitive by object. </w:t>
      </w:r>
      <w:hyperlink w:history="1" r:id="rId9-9j9bfm0irezzxkjt-l7">
        <w:r>
          <w:rPr>
            <w:rStyle w:val="Hyperlink"/>
            <w:rFonts w:ascii="Calibri" w:cs="Calibri" w:eastAsia="Calibri" w:hAnsi="Calibri"/>
            <w:sz w:val="22"/>
            <w:szCs w:val="22"/>
          </w:rPr>
          <w:t xml:space="preserve">[3]</w:t>
        </w:r>
      </w:hyperlink>
    </w:p>
    <w:p>
      <w:pPr>
        <w:pStyle w:val="ListParagraph"/>
        <w:numPr>
          <w:ilvl w:val="0"/>
          <w:numId w:val="2"/>
        </w:numPr>
        <w:spacing w:after="100"/>
      </w:pPr>
      <w:r>
        <w:rPr>
          <w:rFonts w:ascii="Calibri" w:cs="Calibri" w:eastAsia="Calibri" w:hAnsi="Calibri"/>
          <w:b w:val="false"/>
          <w:bCs w:val="false"/>
          <w:i w:val="false"/>
          <w:iCs w:val="false"/>
          <w:sz w:val="22"/>
          <w:szCs w:val="22"/>
        </w:rPr>
        <w:t xml:space="preserve">On appeal, though, the Paris Court of Appeal ruled in the banks' favor (23 February 2012), finding it hadn't been proven the agreement fixed final prices or amounted to a secret cartel, and that the Authority couldn't avoid examining the agreement's actual effects. </w:t>
      </w:r>
      <w:hyperlink w:history="1" r:id="rIddbudroajcpgofdpdolnlr">
        <w:r>
          <w:rPr>
            <w:rStyle w:val="Hyperlink"/>
            <w:rFonts w:ascii="Calibri" w:cs="Calibri" w:eastAsia="Calibri" w:hAnsi="Calibri"/>
            <w:sz w:val="22"/>
            <w:szCs w:val="22"/>
          </w:rPr>
          <w:t xml:space="preserve">[3]</w:t>
        </w:r>
      </w:hyperlink>
    </w:p>
    <w:p>
      <w:pPr>
        <w:spacing w:after="60" w:before="160"/>
      </w:pPr>
      <w:r>
        <w:rPr>
          <w:rFonts w:ascii="Calibri" w:cs="Calibri" w:eastAsia="Calibri" w:hAnsi="Calibri"/>
          <w:b/>
          <w:bCs/>
          <w:i w:val="false"/>
          <w:iCs w:val="false"/>
          <w:sz w:val="22"/>
          <w:szCs w:val="22"/>
        </w:rPr>
        <w:t xml:space="preserve">2. Card interchange fee cases</w:t>
      </w:r>
    </w:p>
    <w:p>
      <w:pPr>
        <w:pStyle w:val="ListParagraph"/>
        <w:numPr>
          <w:ilvl w:val="0"/>
          <w:numId w:val="2"/>
        </w:numPr>
        <w:spacing w:after="100"/>
      </w:pPr>
      <w:r>
        <w:rPr>
          <w:rFonts w:ascii="Calibri" w:cs="Calibri" w:eastAsia="Calibri" w:hAnsi="Calibri"/>
          <w:b w:val="false"/>
          <w:bCs w:val="false"/>
          <w:i/>
          <w:iCs/>
          <w:sz w:val="22"/>
          <w:szCs w:val="22"/>
        </w:rPr>
        <w:t xml:space="preserve">Domestic:</w:t>
      </w:r>
      <w:r>
        <w:rPr>
          <w:rFonts w:ascii="Calibri" w:cs="Calibri" w:eastAsia="Calibri" w:hAnsi="Calibri"/>
          <w:b w:val="false"/>
          <w:bCs w:val="false"/>
          <w:i w:val="false"/>
          <w:iCs w:val="false"/>
          <w:sz w:val="22"/>
          <w:szCs w:val="22"/>
        </w:rPr>
        <w:t xml:space="preserve"> the Groupement des cartes bancaires, investigated over interbank commissions on card payments/withdrawals, agreed via </w:t>
      </w:r>
      <w:r>
        <w:rPr>
          <w:rFonts w:ascii="Calibri" w:cs="Calibri" w:eastAsia="Calibri" w:hAnsi="Calibri"/>
          <w:b/>
          <w:bCs/>
          <w:i w:val="false"/>
          <w:iCs w:val="false"/>
          <w:sz w:val="22"/>
          <w:szCs w:val="22"/>
        </w:rPr>
        <w:t xml:space="preserve">Decision 11-D-11 (7 July 2011)</w:t>
      </w:r>
      <w:r>
        <w:rPr>
          <w:rFonts w:ascii="Calibri" w:cs="Calibri" w:eastAsia="Calibri" w:hAnsi="Calibri"/>
          <w:b w:val="false"/>
          <w:bCs w:val="false"/>
          <w:i w:val="false"/>
          <w:iCs w:val="false"/>
          <w:sz w:val="22"/>
          <w:szCs w:val="22"/>
        </w:rPr>
        <w:t xml:space="preserve"> to cut its commissions significantly — the payment commission fell from 0.47% to 0.30% and the withdrawal commission from €0.72 to €0.57, after the Authority found the banks' initial commitments insufficient following a market test. </w:t>
      </w:r>
      <w:hyperlink w:history="1" r:id="rIdpyibuy_bmiowlq7uczoxk">
        <w:r>
          <w:rPr>
            <w:rStyle w:val="Hyperlink"/>
            <w:rFonts w:ascii="Calibri" w:cs="Calibri" w:eastAsia="Calibri" w:hAnsi="Calibri"/>
            <w:sz w:val="22"/>
            <w:szCs w:val="22"/>
          </w:rPr>
          <w:t xml:space="preserve">[4]</w:t>
        </w:r>
      </w:hyperlink>
    </w:p>
    <w:p>
      <w:pPr>
        <w:pStyle w:val="ListParagraph"/>
        <w:numPr>
          <w:ilvl w:val="0"/>
          <w:numId w:val="2"/>
        </w:numPr>
        <w:spacing w:after="100"/>
      </w:pPr>
      <w:r>
        <w:rPr>
          <w:rFonts w:ascii="Calibri" w:cs="Calibri" w:eastAsia="Calibri" w:hAnsi="Calibri"/>
          <w:b w:val="false"/>
          <w:bCs w:val="false"/>
          <w:i/>
          <w:iCs/>
          <w:sz w:val="22"/>
          <w:szCs w:val="22"/>
        </w:rPr>
        <w:t xml:space="preserve">EU level (affecting French banks too):</w:t>
      </w:r>
      <w:r>
        <w:rPr>
          <w:rFonts w:ascii="Calibri" w:cs="Calibri" w:eastAsia="Calibri" w:hAnsi="Calibri"/>
          <w:b w:val="false"/>
          <w:bCs w:val="false"/>
          <w:i w:val="false"/>
          <w:iCs w:val="false"/>
          <w:sz w:val="22"/>
          <w:szCs w:val="22"/>
        </w:rPr>
        <w:t xml:space="preserve"> the European Commission's 2007 decision against MasterCard's multilateral interchange fees (MIF) was found to infringe Article 101, as the fees inflated the merchant service charges banks passed on to merchants, and this was upheld by the General Court in 2012 and confirmed by the Court of Justice of the EU in September 2014. A parallel case against the French "Groupement des cartes bancaires" itself went to the CJEU on whether its pricing scheme restricted competition "by object." </w:t>
      </w:r>
      <w:hyperlink w:history="1" r:id="rIddsfdagd0kc7hrf7alfb9i">
        <w:r>
          <w:rPr>
            <w:rStyle w:val="Hyperlink"/>
            <w:rFonts w:ascii="Calibri" w:cs="Calibri" w:eastAsia="Calibri" w:hAnsi="Calibri"/>
            <w:sz w:val="22"/>
            <w:szCs w:val="22"/>
          </w:rPr>
          <w:t xml:space="preserve">[5]</w:t>
        </w:r>
      </w:hyperlink>
      <w:hyperlink w:history="1" r:id="rId8t504i7qcyvuhzkz2xm2u">
        <w:r>
          <w:rPr>
            <w:rStyle w:val="Hyperlink"/>
            <w:rFonts w:ascii="Calibri" w:cs="Calibri" w:eastAsia="Calibri" w:hAnsi="Calibri"/>
            <w:sz w:val="22"/>
            <w:szCs w:val="22"/>
          </w:rPr>
          <w:t xml:space="preserve">[6]</w:t>
        </w:r>
      </w:hyperlink>
    </w:p>
    <w:p>
      <w:pPr>
        <w:spacing w:after="120" w:before="240"/>
      </w:pPr>
      <w:r>
        <w:rPr>
          <w:rFonts w:ascii="Calibri" w:cs="Calibri" w:eastAsia="Calibri" w:hAnsi="Calibri"/>
          <w:b/>
          <w:bCs/>
          <w:sz w:val="22"/>
          <w:szCs w:val="22"/>
        </w:rPr>
        <w:t xml:space="preserve">Insurance-sector matters</w:t>
      </w:r>
    </w:p>
    <w:p>
      <w:pPr>
        <w:spacing w:after="120"/>
      </w:pPr>
      <w:r>
        <w:rPr>
          <w:rFonts w:ascii="Calibri" w:cs="Calibri" w:eastAsia="Calibri" w:hAnsi="Calibri"/>
          <w:b w:val="false"/>
          <w:bCs w:val="false"/>
          <w:i w:val="false"/>
          <w:iCs w:val="false"/>
          <w:sz w:val="22"/>
          <w:szCs w:val="22"/>
        </w:rPr>
        <w:t xml:space="preserve">There isn't a headline French </w:t>
      </w:r>
      <w:r>
        <w:rPr>
          <w:rFonts w:ascii="Calibri" w:cs="Calibri" w:eastAsia="Calibri" w:hAnsi="Calibri"/>
          <w:b w:val="false"/>
          <w:bCs w:val="false"/>
          <w:i/>
          <w:iCs/>
          <w:sz w:val="22"/>
          <w:szCs w:val="22"/>
        </w:rPr>
        <w:t xml:space="preserve">cartel</w:t>
      </w:r>
      <w:r>
        <w:rPr>
          <w:rFonts w:ascii="Calibri" w:cs="Calibri" w:eastAsia="Calibri" w:hAnsi="Calibri"/>
          <w:b w:val="false"/>
          <w:bCs w:val="false"/>
          <w:i w:val="false"/>
          <w:iCs w:val="false"/>
          <w:sz w:val="22"/>
          <w:szCs w:val="22"/>
        </w:rPr>
        <w:t xml:space="preserve"> fine in insurance comparable to the banking cases above — most insurance-sector competition activity in France has been </w:t>
      </w:r>
      <w:r>
        <w:rPr>
          <w:rFonts w:ascii="Calibri" w:cs="Calibri" w:eastAsia="Calibri" w:hAnsi="Calibri"/>
          <w:b/>
          <w:bCs/>
          <w:i w:val="false"/>
          <w:iCs w:val="false"/>
          <w:sz w:val="22"/>
          <w:szCs w:val="22"/>
        </w:rPr>
        <w:t xml:space="preserve">advisory/market-structure opinions</w:t>
      </w:r>
      <w:r>
        <w:rPr>
          <w:rFonts w:ascii="Calibri" w:cs="Calibri" w:eastAsia="Calibri" w:hAnsi="Calibri"/>
          <w:b w:val="false"/>
          <w:bCs w:val="false"/>
          <w:i w:val="false"/>
          <w:iCs w:val="false"/>
          <w:sz w:val="22"/>
          <w:szCs w:val="22"/>
        </w:rPr>
        <w:t xml:space="preserve"> rather than sanctioned cartels:</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An Autorité de la concurrence opinion (2025) on the property insurance market for local/regional public authorities found the sector highly concentrated, dominated by two main operators (Groupama and SMACL Assurances), with low competitive intensity — but this was a set of recommendations, not a cartel sanction. </w:t>
      </w:r>
      <w:hyperlink w:history="1" r:id="rIdqxqup-vftewbqmvxkoq3l">
        <w:r>
          <w:rPr>
            <w:rStyle w:val="Hyperlink"/>
            <w:rFonts w:ascii="Calibri" w:cs="Calibri" w:eastAsia="Calibri" w:hAnsi="Calibri"/>
            <w:sz w:val="22"/>
            <w:szCs w:val="22"/>
          </w:rPr>
          <w:t xml:space="preserve">[7]</w:t>
        </w:r>
      </w:hyperlink>
    </w:p>
    <w:p>
      <w:pPr>
        <w:pStyle w:val="ListParagraph"/>
        <w:numPr>
          <w:ilvl w:val="0"/>
          <w:numId w:val="2"/>
        </w:numPr>
        <w:spacing w:after="100"/>
      </w:pPr>
      <w:r>
        <w:rPr>
          <w:rFonts w:ascii="Calibri" w:cs="Calibri" w:eastAsia="Calibri" w:hAnsi="Calibri"/>
          <w:b w:val="false"/>
          <w:bCs w:val="false"/>
          <w:i w:val="false"/>
          <w:iCs w:val="false"/>
          <w:sz w:val="22"/>
          <w:szCs w:val="22"/>
        </w:rPr>
        <w:t xml:space="preserve">The Authority has otherwise focused mainly on </w:t>
      </w:r>
      <w:r>
        <w:rPr>
          <w:rFonts w:ascii="Calibri" w:cs="Calibri" w:eastAsia="Calibri" w:hAnsi="Calibri"/>
          <w:b/>
          <w:bCs/>
          <w:i w:val="false"/>
          <w:iCs w:val="false"/>
          <w:sz w:val="22"/>
          <w:szCs w:val="22"/>
        </w:rPr>
        <w:t xml:space="preserve">merger clearances</w:t>
      </w:r>
      <w:r>
        <w:rPr>
          <w:rFonts w:ascii="Calibri" w:cs="Calibri" w:eastAsia="Calibri" w:hAnsi="Calibri"/>
          <w:b w:val="false"/>
          <w:bCs w:val="false"/>
          <w:i w:val="false"/>
          <w:iCs w:val="false"/>
          <w:sz w:val="22"/>
          <w:szCs w:val="22"/>
        </w:rPr>
        <w:t xml:space="preserve"> in bank/insurance (e.g., Cinven/Finaxi, CNP Assurances/LMG Assurances, Worldline/Crédit Agricole payments JV) rather than cartel enforcement.</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Insurance conduct issues in France tend to be handled by the </w:t>
      </w:r>
      <w:r>
        <w:rPr>
          <w:rFonts w:ascii="Calibri" w:cs="Calibri" w:eastAsia="Calibri" w:hAnsi="Calibri"/>
          <w:b/>
          <w:bCs/>
          <w:i w:val="false"/>
          <w:iCs w:val="false"/>
          <w:sz w:val="22"/>
          <w:szCs w:val="22"/>
        </w:rPr>
        <w:t xml:space="preserve">ACPR</w:t>
      </w:r>
      <w:r>
        <w:rPr>
          <w:rFonts w:ascii="Calibri" w:cs="Calibri" w:eastAsia="Calibri" w:hAnsi="Calibri"/>
          <w:b w:val="false"/>
          <w:bCs w:val="false"/>
          <w:i w:val="false"/>
          <w:iCs w:val="false"/>
          <w:sz w:val="22"/>
          <w:szCs w:val="22"/>
        </w:rPr>
        <w:t xml:space="preserve"> (prudential/conduct regulator) rather than as antitrust cartels — e.g., broker sanctions for advisory-duty breaches, or the 2025 DGCCRF fine on a bank subsidiary over loan-insurance substitution delays — but these are consumer-protection/conduct sanctions, not competition-law cartel cases.</w:t>
      </w:r>
    </w:p>
    <w:p>
      <w:pPr>
        <w:spacing w:after="120"/>
      </w:pPr>
      <w:r>
        <w:rPr>
          <w:rFonts w:ascii="Calibri" w:cs="Calibri" w:eastAsia="Calibri" w:hAnsi="Calibri"/>
          <w:b w:val="false"/>
          <w:bCs w:val="false"/>
          <w:i w:val="false"/>
          <w:iCs w:val="false"/>
          <w:sz w:val="22"/>
          <w:szCs w:val="22"/>
        </w:rPr>
        <w:t xml:space="preserve">If you want, I can pull the full text or English summaries of the Autorité de la concurrence's decision 10-D-28 or 11-D-11, or dig further into whether there have been more recent (2023–2026) cartel proceedings specifically in insurance.</w:t>
      </w:r>
    </w:p>
    <w:p>
      <w:pPr>
        <w:spacing w:after="120" w:before="240"/>
      </w:pPr>
      <w:r>
        <w:rPr>
          <w:rFonts w:ascii="Calibri" w:cs="Calibri" w:eastAsia="Calibri" w:hAnsi="Calibri"/>
          <w:b/>
          <w:bCs/>
          <w:color w:val="1F4E5F"/>
          <w:sz w:val="24"/>
          <w:szCs w:val="24"/>
        </w:rPr>
        <w:t xml:space="preserve">Cited Sources</w:t>
      </w:r>
    </w:p>
    <w:p>
      <w:pPr>
        <w:pStyle w:val="ListParagraph"/>
        <w:numPr>
          <w:ilvl w:val="0"/>
          <w:numId w:val="3"/>
        </w:numPr>
        <w:spacing w:after="80"/>
      </w:pPr>
      <w:hyperlink w:history="1" r:id="rIdcrgqogqw8j4yknwo5qkj9">
        <w:r>
          <w:rPr>
            <w:rStyle w:val="Hyperlink"/>
            <w:rFonts w:ascii="Calibri" w:cs="Calibri" w:eastAsia="Calibri" w:hAnsi="Calibri"/>
            <w:sz w:val="22"/>
            <w:szCs w:val="22"/>
          </w:rPr>
          <w:t xml:space="preserve">https://www.lemondedudroit.fr/communication-agences-cabinets-avocats/26296-cartes-de-voeux--un-point-de-passage-oblige.html</w:t>
        </w:r>
      </w:hyperlink>
    </w:p>
    <w:p>
      <w:pPr>
        <w:pStyle w:val="ListParagraph"/>
        <w:numPr>
          <w:ilvl w:val="0"/>
          <w:numId w:val="3"/>
        </w:numPr>
        <w:spacing w:after="80"/>
      </w:pPr>
      <w:hyperlink w:history="1" r:id="rId2wsizj_ophbfskxddo-ow">
        <w:r>
          <w:rPr>
            <w:rStyle w:val="Hyperlink"/>
            <w:rFonts w:ascii="Calibri" w:cs="Calibri" w:eastAsia="Calibri" w:hAnsi="Calibri"/>
            <w:sz w:val="22"/>
            <w:szCs w:val="22"/>
          </w:rPr>
          <w:t xml:space="preserve">https://cms.law/fr/fra/publication/l-autorite-de-la-concurrence-sanctionne-lourdement-les-banques</w:t>
        </w:r>
      </w:hyperlink>
    </w:p>
    <w:p>
      <w:pPr>
        <w:pStyle w:val="ListParagraph"/>
        <w:numPr>
          <w:ilvl w:val="0"/>
          <w:numId w:val="3"/>
        </w:numPr>
        <w:spacing w:after="80"/>
      </w:pPr>
      <w:hyperlink w:history="1" r:id="rIdlkovomjsvegutgqn258lk">
        <w:r>
          <w:rPr>
            <w:rStyle w:val="Hyperlink"/>
            <w:rFonts w:ascii="Calibri" w:cs="Calibri" w:eastAsia="Calibri" w:hAnsi="Calibri"/>
            <w:sz w:val="22"/>
            <w:szCs w:val="22"/>
          </w:rPr>
          <w:t xml:space="preserve">https://cms.law/fr/fra/publication/commissions-interbancaires-sur-le-traitement-des-cheques-les-banques-mises-hors-de-cause</w:t>
        </w:r>
      </w:hyperlink>
    </w:p>
    <w:p>
      <w:pPr>
        <w:pStyle w:val="ListParagraph"/>
        <w:numPr>
          <w:ilvl w:val="0"/>
          <w:numId w:val="3"/>
        </w:numPr>
        <w:spacing w:after="80"/>
      </w:pPr>
      <w:hyperlink w:history="1" r:id="rIdn1clyisgogjmm2dju10l9">
        <w:r>
          <w:rPr>
            <w:rStyle w:val="Hyperlink"/>
            <w:rFonts w:ascii="Calibri" w:cs="Calibri" w:eastAsia="Calibri" w:hAnsi="Calibri"/>
            <w:sz w:val="22"/>
            <w:szCs w:val="22"/>
          </w:rPr>
          <w:t xml:space="preserve">https://cms.law/fr/fra/publication/reduction-des-commissions-interbancaires-liees-aux-transactions-par-carte</w:t>
        </w:r>
      </w:hyperlink>
    </w:p>
    <w:p>
      <w:pPr>
        <w:pStyle w:val="ListParagraph"/>
        <w:numPr>
          <w:ilvl w:val="0"/>
          <w:numId w:val="3"/>
        </w:numPr>
        <w:spacing w:after="80"/>
      </w:pPr>
      <w:hyperlink w:history="1" r:id="rIdf2p2xg55_4bzarivc46bg">
        <w:r>
          <w:rPr>
            <w:rStyle w:val="Hyperlink"/>
            <w:rFonts w:ascii="Calibri" w:cs="Calibri" w:eastAsia="Calibri" w:hAnsi="Calibri"/>
            <w:sz w:val="22"/>
            <w:szCs w:val="22"/>
          </w:rPr>
          <w:t xml:space="preserve">https://www.competitionpolicyinternational.com/file/view/7329</w:t>
        </w:r>
      </w:hyperlink>
    </w:p>
    <w:p>
      <w:pPr>
        <w:pStyle w:val="ListParagraph"/>
        <w:numPr>
          <w:ilvl w:val="0"/>
          <w:numId w:val="3"/>
        </w:numPr>
        <w:spacing w:after="80"/>
      </w:pPr>
      <w:hyperlink w:history="1" r:id="rIdo3prnmcgfa13jhntm0qrp">
        <w:r>
          <w:rPr>
            <w:rStyle w:val="Hyperlink"/>
            <w:rFonts w:ascii="Calibri" w:cs="Calibri" w:eastAsia="Calibri" w:hAnsi="Calibri"/>
            <w:sz w:val="22"/>
            <w:szCs w:val="22"/>
          </w:rPr>
          <w:t xml:space="preserve">https://concurrences.com/fr/revue/issues/no-4-2014/alertes/Restriction-de-concurrence-par-70313</w:t>
        </w:r>
      </w:hyperlink>
    </w:p>
    <w:p>
      <w:pPr>
        <w:pStyle w:val="ListParagraph"/>
        <w:numPr>
          <w:ilvl w:val="0"/>
          <w:numId w:val="3"/>
        </w:numPr>
        <w:spacing w:after="80"/>
      </w:pPr>
      <w:hyperlink w:history="1" r:id="rIdw0r_zyx4g4aousqpwamnc">
        <w:r>
          <w:rPr>
            <w:rStyle w:val="Hyperlink"/>
            <w:rFonts w:ascii="Calibri" w:cs="Calibri" w:eastAsia="Calibri" w:hAnsi="Calibri"/>
            <w:sz w:val="22"/>
            <w:szCs w:val="22"/>
          </w:rPr>
          <w:t xml:space="preserve">https://www.autoritedelaconcurrence.fr/en/press-release/request-senate-finance-committee-autorite-de-la-concurrence-has-published-opinion</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jnncb3iyckez1pzs_-j5" Type="http://schemas.openxmlformats.org/officeDocument/2006/relationships/hyperlink" Target="https://www.lemondedudroit.fr/communication-agences-cabinets-avocats/26296-cartes-de-voeux--un-point-de-passage-oblige.html" TargetMode="External"/><Relationship Id="rIdspaqq3pah3lq8tvnen3fb" Type="http://schemas.openxmlformats.org/officeDocument/2006/relationships/hyperlink" Target="https://cms.law/fr/fra/publication/l-autorite-de-la-concurrence-sanctionne-lourdement-les-banques" TargetMode="External"/><Relationship Id="rId9-9j9bfm0irezzxkjt-l7" Type="http://schemas.openxmlformats.org/officeDocument/2006/relationships/hyperlink" Target="https://cms.law/fr/fra/publication/commissions-interbancaires-sur-le-traitement-des-cheques-les-banques-mises-hors-de-cause" TargetMode="External"/><Relationship Id="rIddbudroajcpgofdpdolnlr" Type="http://schemas.openxmlformats.org/officeDocument/2006/relationships/hyperlink" Target="https://cms.law/fr/fra/publication/commissions-interbancaires-sur-le-traitement-des-cheques-les-banques-mises-hors-de-cause" TargetMode="External"/><Relationship Id="rIdpyibuy_bmiowlq7uczoxk" Type="http://schemas.openxmlformats.org/officeDocument/2006/relationships/hyperlink" Target="https://cms.law/fr/fra/publication/reduction-des-commissions-interbancaires-liees-aux-transactions-par-carte" TargetMode="External"/><Relationship Id="rIddsfdagd0kc7hrf7alfb9i" Type="http://schemas.openxmlformats.org/officeDocument/2006/relationships/hyperlink" Target="https://www.competitionpolicyinternational.com/file/view/7329" TargetMode="External"/><Relationship Id="rId8t504i7qcyvuhzkz2xm2u" Type="http://schemas.openxmlformats.org/officeDocument/2006/relationships/hyperlink" Target="https://concurrences.com/fr/revue/issues/no-4-2014/alertes/Restriction-de-concurrence-par-70313" TargetMode="External"/><Relationship Id="rIdqxqup-vftewbqmvxkoq3l" Type="http://schemas.openxmlformats.org/officeDocument/2006/relationships/hyperlink" Target="https://www.autoritedelaconcurrence.fr/en/press-release/request-senate-finance-committee-autorite-de-la-concurrence-has-published-opinion" TargetMode="External"/><Relationship Id="rIdcrgqogqw8j4yknwo5qkj9" Type="http://schemas.openxmlformats.org/officeDocument/2006/relationships/hyperlink" Target="https://www.lemondedudroit.fr/communication-agences-cabinets-avocats/26296-cartes-de-voeux--un-point-de-passage-oblige.html" TargetMode="External"/><Relationship Id="rId2wsizj_ophbfskxddo-ow" Type="http://schemas.openxmlformats.org/officeDocument/2006/relationships/hyperlink" Target="https://cms.law/fr/fra/publication/l-autorite-de-la-concurrence-sanctionne-lourdement-les-banques" TargetMode="External"/><Relationship Id="rIdlkovomjsvegutgqn258lk" Type="http://schemas.openxmlformats.org/officeDocument/2006/relationships/hyperlink" Target="https://cms.law/fr/fra/publication/commissions-interbancaires-sur-le-traitement-des-cheques-les-banques-mises-hors-de-cause" TargetMode="External"/><Relationship Id="rIdn1clyisgogjmm2dju10l9" Type="http://schemas.openxmlformats.org/officeDocument/2006/relationships/hyperlink" Target="https://cms.law/fr/fra/publication/reduction-des-commissions-interbancaires-liees-aux-transactions-par-carte" TargetMode="External"/><Relationship Id="rIdf2p2xg55_4bzarivc46bg" Type="http://schemas.openxmlformats.org/officeDocument/2006/relationships/hyperlink" Target="https://www.competitionpolicyinternational.com/file/view/7329" TargetMode="External"/><Relationship Id="rIdo3prnmcgfa13jhntm0qrp" Type="http://schemas.openxmlformats.org/officeDocument/2006/relationships/hyperlink" Target="https://concurrences.com/fr/revue/issues/no-4-2014/alertes/Restriction-de-concurrence-par-70313" TargetMode="External"/><Relationship Id="rIdw0r_zyx4g4aousqpwamnc" Type="http://schemas.openxmlformats.org/officeDocument/2006/relationships/hyperlink" Target="https://www.autoritedelaconcurrence.fr/en/press-release/request-senate-finance-committee-autorite-de-la-concurrence-has-published-opinion"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2026-09-02T12:08:08.829Z</dcterms:created>
  <dcterms:modified xsi:type="dcterms:W3CDTF">2026-09-02T12:08:08.829Z</dcterms:modified>
</cp:coreProperties>
</file>

<file path=docProps/custom.xml><?xml version="1.0" encoding="utf-8"?>
<Properties xmlns="http://schemas.openxmlformats.org/officeDocument/2006/custom-properties" xmlns:vt="http://schemas.openxmlformats.org/officeDocument/2006/docPropsVTypes"/>
</file>