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color w:val="1F4E5F"/>
          <w:sz w:val="36"/>
          <w:szCs w:val="36"/>
        </w:rPr>
        <w:t xml:space="preserve">Response Transcript — Sample 3</w:t>
      </w:r>
    </w:p>
    <w:p>
      <w:pPr>
        <w:pBdr>
          <w:bottom w:val="single" w:color="1F4E5F" w:sz="8" w:space="1"/>
        </w:pBdr>
        <w:spacing w:after="300"/>
      </w:pPr>
    </w:p>
    <w:p>
      <w:pPr>
        <w:spacing w:after="120" w:before="200"/>
      </w:pPr>
      <w:r>
        <w:rPr>
          <w:rFonts w:ascii="Calibri" w:cs="Calibri" w:eastAsia="Calibri" w:hAnsi="Calibri"/>
          <w:b/>
          <w:bCs/>
          <w:color w:val="1F4E5F"/>
          <w:sz w:val="24"/>
          <w:szCs w:val="24"/>
        </w:rPr>
        <w:t xml:space="preserve">User Query</w:t>
      </w:r>
    </w:p>
    <w:p>
      <w:pPr>
        <w:pBdr>
          <w:left w:val="single" w:color="1F4E5F" w:sz="12" w:space="8"/>
        </w:pBdr>
        <w:spacing w:after="240"/>
        <w:ind w:left="431"/>
      </w:pPr>
      <w:r>
        <w:rPr>
          <w:rFonts w:ascii="Calibri" w:cs="Calibri" w:eastAsia="Calibri" w:hAnsi="Calibri"/>
          <w:i/>
          <w:iCs/>
          <w:sz w:val="22"/>
          <w:szCs w:val="22"/>
        </w:rPr>
        <w:t xml:space="preserve">Get me French cartel cases in the financial and insurance markets</w:t>
      </w:r>
    </w:p>
    <w:p>
      <w:pPr>
        <w:spacing w:after="120" w:before="200"/>
      </w:pPr>
      <w:r>
        <w:rPr>
          <w:rFonts w:ascii="Calibri" w:cs="Calibri" w:eastAsia="Calibri" w:hAnsi="Calibri"/>
          <w:b/>
          <w:bCs/>
          <w:color w:val="1F4E5F"/>
          <w:sz w:val="24"/>
          <w:szCs w:val="24"/>
        </w:rPr>
        <w:t xml:space="preserve">System Response</w:t>
      </w:r>
    </w:p>
    <w:p>
      <w:pPr>
        <w:spacing w:after="160"/>
      </w:pPr>
      <w:r>
        <w:rPr>
          <w:rFonts w:ascii="Calibri" w:cs="Calibri" w:eastAsia="Calibri" w:hAnsi="Calibri"/>
          <w:b w:val="false"/>
          <w:bCs w:val="false"/>
          <w:i w:val="false"/>
          <w:iCs w:val="false"/>
          <w:sz w:val="22"/>
          <w:szCs w:val="22"/>
        </w:rPr>
        <w:t xml:space="preserve">Certainly! French cartel cases in the financial and insurance markets are typically investigated by the Autorité des marchés financiers (AMF) and the Autorité de contrôle prudentiel et de résolution (ACPR), respectively. These authorities are responsible for ensuring that financial markets and financial institutions comply with regulations and laws, and for investigating and prosecuting cases of market manipulation and fraud.</w:t>
      </w:r>
    </w:p>
    <w:p>
      <w:pPr>
        <w:spacing w:after="160"/>
      </w:pPr>
      <w:r>
        <w:rPr>
          <w:rFonts w:ascii="Calibri" w:cs="Calibri" w:eastAsia="Calibri" w:hAnsi="Calibri"/>
          <w:b w:val="false"/>
          <w:bCs w:val="false"/>
          <w:i w:val="false"/>
          <w:iCs w:val="false"/>
          <w:sz w:val="22"/>
          <w:szCs w:val="22"/>
        </w:rPr>
        <w:t xml:space="preserve">One notable case in the financial market is the "BNP Paribas LIBOR scandal," which involved the manipulation of the London Interbank Offered Rate (LIBOR), a benchmark interest rate used to set interest rates for loans and other financial products. In 2012, BNP Paribas was fined $8.9 billion by regulators in the United States and the United Kingdom for its role in the scandal.</w:t>
      </w:r>
    </w:p>
    <w:p>
      <w:pPr>
        <w:spacing w:after="160"/>
      </w:pPr>
      <w:r>
        <w:rPr>
          <w:rFonts w:ascii="Calibri" w:cs="Calibri" w:eastAsia="Calibri" w:hAnsi="Calibri"/>
          <w:b w:val="false"/>
          <w:bCs w:val="false"/>
          <w:i w:val="false"/>
          <w:iCs w:val="false"/>
          <w:sz w:val="22"/>
          <w:szCs w:val="22"/>
        </w:rPr>
        <w:t xml:space="preserve">In the insurance market, there have been several notable cartel cases. One example is the "European insurance cartel," which involved a group of insurance companies colluding to fix prices for insurance policies. In 2008, the European Commission fined the companies a total of €2.8 billion for their role in the cartel.</w:t>
      </w:r>
    </w:p>
    <w:p>
      <w:pPr>
        <w:spacing w:after="160"/>
      </w:pPr>
      <w:r>
        <w:rPr>
          <w:rFonts w:ascii="Calibri" w:cs="Calibri" w:eastAsia="Calibri" w:hAnsi="Calibri"/>
          <w:b w:val="false"/>
          <w:bCs w:val="false"/>
          <w:i w:val="false"/>
          <w:iCs w:val="false"/>
          <w:sz w:val="22"/>
          <w:szCs w:val="22"/>
        </w:rPr>
        <w:t xml:space="preserve">Another example is the "German insurance cartel," which involved a group of insurance companies colluding to fix prices for insurance policies in Germany. In 2012, the companies were fined a total of €1.4 billion for their role in the cartel.</w:t>
      </w:r>
    </w:p>
    <w:p>
      <w:pPr>
        <w:spacing w:after="160"/>
      </w:pPr>
      <w:r>
        <w:rPr>
          <w:rFonts w:ascii="Calibri" w:cs="Calibri" w:eastAsia="Calibri" w:hAnsi="Calibri"/>
          <w:b w:val="false"/>
          <w:bCs w:val="false"/>
          <w:i w:val="false"/>
          <w:iCs w:val="false"/>
          <w:sz w:val="22"/>
          <w:szCs w:val="22"/>
        </w:rPr>
        <w:t xml:space="preserve">These cases demonstrate the importance of ensuring fair and transparent financial markets and financial institutions, and the need for regulatory authorities to investigate and prosecute cases of market manipulation and fraud.</w:t>
      </w:r>
    </w:p>
    <w:p>
      <w:pPr>
        <w:spacing w:after="120" w:before="200"/>
      </w:pPr>
      <w:r>
        <w:rPr>
          <w:rFonts w:ascii="Calibri" w:cs="Calibri" w:eastAsia="Calibri" w:hAnsi="Calibri"/>
          <w:b/>
          <w:bCs/>
          <w:color w:val="1F4E5F"/>
          <w:sz w:val="24"/>
          <w:szCs w:val="24"/>
        </w:rPr>
        <w:t xml:space="preserve">Cited Sources</w:t>
      </w:r>
    </w:p>
    <w:p>
      <w:pPr>
        <w:spacing w:after="120"/>
      </w:pPr>
      <w:r>
        <w:rPr>
          <w:rFonts w:ascii="Calibri" w:cs="Calibri" w:eastAsia="Calibri" w:hAnsi="Calibri"/>
          <w:i/>
          <w:iCs/>
          <w:sz w:val="22"/>
          <w:szCs w:val="22"/>
        </w:rPr>
        <w:t xml:space="preserve">No source links were included in the original response.</w:t>
      </w:r>
    </w:p>
    <w:sectPr>
      <w:pgSz w:w="12240" w:h="15840" w:orient="portrait"/>
      <w:pgMar w:top="1350" w:right="1080" w:bottom="13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2026-09-02T11:42:07.298Z</dcterms:created>
  <dcterms:modified xsi:type="dcterms:W3CDTF">2026-09-02T11:42:07.298Z</dcterms:modified>
</cp:coreProperties>
</file>

<file path=docProps/custom.xml><?xml version="1.0" encoding="utf-8"?>
<Properties xmlns="http://schemas.openxmlformats.org/officeDocument/2006/custom-properties" xmlns:vt="http://schemas.openxmlformats.org/officeDocument/2006/docPropsVTypes"/>
</file>