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4E5F"/>
          <w:sz w:val="32"/>
          <w:szCs w:val="32"/>
        </w:rPr>
        <w:t xml:space="preserve">Response Transcript — Sample 4</w:t>
      </w:r>
    </w:p>
    <w:p>
      <w:pPr>
        <w:pBdr>
          <w:bottom w:val="single" w:color="1F4E5F" w:sz="8" w:space="4"/>
        </w:pBdr>
        <w:spacing w:after="240"/>
      </w:pPr>
    </w:p>
    <w:p>
      <w:pPr>
        <w:spacing w:after="120"/>
      </w:pPr>
      <w:r>
        <w:rPr>
          <w:rFonts w:ascii="Calibri" w:cs="Calibri" w:eastAsia="Calibri" w:hAnsi="Calibri"/>
          <w:b/>
          <w:bCs/>
          <w:color w:val="1F4E5F"/>
          <w:sz w:val="22"/>
          <w:szCs w:val="22"/>
        </w:rPr>
        <w:t xml:space="preserve">User Query</w:t>
      </w:r>
    </w:p>
    <w:p>
      <w:pPr>
        <w:pBdr>
          <w:left w:val="single" w:color="1F4E5F" w:sz="12" w:space="8"/>
        </w:pBdr>
        <w:spacing w:after="280"/>
        <w:ind w:left="360"/>
      </w:pPr>
      <w:r>
        <w:rPr>
          <w:rFonts w:ascii="Calibri" w:cs="Calibri" w:eastAsia="Calibri" w:hAnsi="Calibri"/>
          <w:i/>
          <w:iCs/>
          <w:sz w:val="22"/>
          <w:szCs w:val="22"/>
        </w:rPr>
        <w:t xml:space="preserve">Get me French cartel cases in the financial and insurance markets</w:t>
      </w:r>
    </w:p>
    <w:p>
      <w:pPr>
        <w:spacing w:after="120"/>
      </w:pPr>
      <w:r>
        <w:rPr>
          <w:rFonts w:ascii="Calibri" w:cs="Calibri" w:eastAsia="Calibri" w:hAnsi="Calibri"/>
          <w:b/>
          <w:bCs/>
          <w:color w:val="1F4E5F"/>
          <w:sz w:val="22"/>
          <w:szCs w:val="22"/>
        </w:rPr>
        <w:t xml:space="preserve">System Response</w:t>
      </w:r>
    </w:p>
    <w:p>
      <w:pPr>
        <w:spacing w:after="160" w:before="300"/>
      </w:pPr>
      <w:r>
        <w:rPr>
          <w:rFonts w:ascii="Calibri" w:cs="Calibri" w:eastAsia="Calibri" w:hAnsi="Calibri"/>
          <w:b/>
          <w:bCs/>
          <w:color w:val="1F4E5F"/>
          <w:sz w:val="22"/>
          <w:szCs w:val="22"/>
        </w:rPr>
        <w:t xml:space="preserve">Decision No. 16-D-30 regarding practices of the Confédération Nationale du Crédit Mutuel in the banking sector.</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is that there were collusive practices involving exchanges of information and market allocation within the Confédération Nationale du Crédit Mutuel (CNCM), specifically between Crédit Mutuel Arkéa (CMA) and CM11-CIC. </w:t>
      </w:r>
      <w:hyperlink w:history="1" r:id="rIdi3ej4cyh6jddog0vlnxbm">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companies involved in the allegation are Crédit Mutuel Arkéa (CMA) and CM11-CIC, which are inter-federation groupings representing different regions of France. </w:t>
      </w:r>
      <w:hyperlink w:history="1" r:id="rId03fcus22kle2sn8mmbkpj">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year of case initiation was 2014, when CMA referred the practices to the Autorité de la concurrence on October 6. </w:t>
      </w:r>
      <w:hyperlink w:history="1" r:id="rId47ui2lbrwjfltdgrmying">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alleged violation involves the improper exchange of sensitive and strategic information between CMA and CM11-CIC, which CMA claims constitutes a violation of competition law. This was purportedly facilitated by the CNCM's governance structure, which allowed CM11- CIC to access confidential information about CMA, leading to a distortion of competition. </w:t>
      </w:r>
      <w:hyperlink w:history="1" r:id="rIdbihyidojppngrbz8tj7qo">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CMA argued that the practices were not necessary for the CNCM's responsibilities and that the governance mode of the CNCM enabled CM11-CIC to dominate and manipulate the information-sharing processes, thereby harming competition among regional groups. </w:t>
      </w:r>
      <w:hyperlink w:history="1" r:id="rIdb5pumi000rtkaz3surdp0">
        <w:r>
          <w:rPr>
            <w:rStyle w:val="Hyperlink"/>
            <w:rFonts w:ascii="Calibri" w:cs="Calibri" w:eastAsia="Calibri" w:hAnsi="Calibri"/>
            <w:sz w:val="22"/>
            <w:szCs w:val="22"/>
          </w:rPr>
          <w:t xml:space="preserve">[1]</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b/>
          <w:bCs/>
          <w:sz w:val="22"/>
          <w:szCs w:val="22"/>
        </w:rPr>
        <w:t xml:space="preserve">Case Initiation: </w:t>
      </w:r>
      <w:r>
        <w:rPr>
          <w:rFonts w:ascii="Calibri" w:cs="Calibri" w:eastAsia="Calibri" w:hAnsi="Calibri"/>
          <w:sz w:val="22"/>
          <w:szCs w:val="22"/>
        </w:rPr>
        <w:t xml:space="preserve">The case was initiated by Crédit Mutuel Arkéa (CMA) on October 6, 2014, referring practices of the Confédération Nationale du Crédit Mutuel (CNCM) to the Autorité de la concurrence, alleging collusive practices involving information exchange and market allocation </w:t>
      </w:r>
      <w:hyperlink w:history="1" r:id="rIdvyow6jxrrjvzopkc9fong">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Preliminary Investigation: </w:t>
      </w:r>
      <w:r>
        <w:rPr>
          <w:rFonts w:ascii="Calibri" w:cs="Calibri" w:eastAsia="Calibri" w:hAnsi="Calibri"/>
          <w:sz w:val="22"/>
          <w:szCs w:val="22"/>
        </w:rPr>
        <w:t xml:space="preserve">The Autorité de la concurrence examined the referral but found that the legality of CNCM's actions, which involved public power prerogatives, fell under the jurisdiction of the administrative court. Thus, the referral was declared inadmissible </w:t>
      </w:r>
      <w:hyperlink w:history="1" r:id="rIdaebptfsvqu-lt97epnwd5">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Statement of Objections: </w:t>
      </w:r>
      <w:r>
        <w:rPr>
          <w:rFonts w:ascii="Calibri" w:cs="Calibri" w:eastAsia="Calibri" w:hAnsi="Calibri"/>
          <w:sz w:val="22"/>
          <w:szCs w:val="22"/>
        </w:rPr>
        <w:t xml:space="preserve">No formal Statement of Objections was issued in this case due to the inadmissibility of the referral, which meant that the investigation did not progress to this stage </w:t>
      </w:r>
      <w:hyperlink w:history="1" r:id="rId5s2pomsrhyjui5fmy1t7f">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Defense Phase: </w:t>
      </w:r>
      <w:r>
        <w:rPr>
          <w:rFonts w:ascii="Calibri" w:cs="Calibri" w:eastAsia="Calibri" w:hAnsi="Calibri"/>
          <w:sz w:val="22"/>
          <w:szCs w:val="22"/>
        </w:rPr>
        <w:t xml:space="preserve">Since the case did not advance to a formal objection, there was no defense phase involving written responses or oral hearings </w:t>
      </w:r>
      <w:hyperlink w:history="1" r:id="rIdh6vgfzhlujzexha6bdo_p">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Commission Decision: </w:t>
      </w:r>
      <w:r>
        <w:rPr>
          <w:rFonts w:ascii="Calibri" w:cs="Calibri" w:eastAsia="Calibri" w:hAnsi="Calibri"/>
          <w:sz w:val="22"/>
          <w:szCs w:val="22"/>
        </w:rPr>
        <w:t xml:space="preserve">The Autorité de la concurrence did not issue a decision regarding infringement or commitments, as the case was closed due to the jurisdictional issue </w:t>
      </w:r>
      <w:hyperlink w:history="1" r:id="rId4_6yhxb6jycskhvtkrzfo">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General Court and CJEU: </w:t>
      </w:r>
      <w:r>
        <w:rPr>
          <w:rFonts w:ascii="Calibri" w:cs="Calibri" w:eastAsia="Calibri" w:hAnsi="Calibri"/>
          <w:sz w:val="22"/>
          <w:szCs w:val="22"/>
        </w:rPr>
        <w:t xml:space="preserve">As the case did not reach a decision stage, there were no subsequent appeals to the General Court or the CJEU, and thus no further legal review occurred </w:t>
      </w:r>
      <w:hyperlink w:history="1" r:id="rIdxjokx9qy4pqgqmvip2zx9">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market considered in this case involved the banking sector, specifically focusing on the practices of the Confédération Nationale du Crédit Mutuel (CNCM) and its interactions with Crédit Mutuel Arkéa (CMA) and CM11-CIC. </w:t>
      </w:r>
      <w:hyperlink w:history="1" r:id="rIdjvvtmmqoav5q-3tqmqu0o">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process to define the market included assessing the competitive relationship between CMA and CM11-CIC, as both were considered autonomous and competing entities within the banking sector. </w:t>
      </w:r>
      <w:hyperlink w:history="1" r:id="rId-0qpvwszbrjaptely2adn">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Techniques used in the analysis included examining the nature of the alleged collusive practices, such as information exchanges and market allocation, which were reported by CMA. </w:t>
      </w:r>
      <w:hyperlink w:history="1" r:id="rIdn89eo78x5kix8kgf18vsm">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Autorité de la concurrence evaluated the legality of the acts manifesting the public power prerogatives held by the CNCM, which was crucial in determining the competitive dynamics in the market. </w:t>
      </w:r>
      <w:hyperlink w:history="1" r:id="rIdhylhnquwuprvkzsso8vsx">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examination involved considering the implications of the CNCM's role in organizing public service missions and how this affected competition among the entities involved. </w:t>
      </w:r>
      <w:hyperlink w:history="1" r:id="rId8nbrst4rib0rfdmj28cvt">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Evidence of potential anti-competitive behavior was sought through the identification of sensitive information that could influence competitive strategies, as highlighted by CMA's concerns regarding market segments. </w:t>
      </w:r>
      <w:hyperlink w:history="1" r:id="rId1eetzbyj8oile4ca9wdar">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analysis also referenced jurisprudence regarding the existence of agreements and collusion, indicating that converging evidence from communications and market behaviors was necessary to establish anti-competitive practices. </w:t>
      </w:r>
      <w:hyperlink w:history="1" r:id="rIdnzx1iyi8prukkhc7cokry">
        <w:r>
          <w:rPr>
            <w:rStyle w:val="Hyperlink"/>
            <w:rFonts w:ascii="Calibri" w:cs="Calibri" w:eastAsia="Calibri" w:hAnsi="Calibri"/>
            <w:sz w:val="22"/>
            <w:szCs w:val="22"/>
          </w:rPr>
          <w:t xml:space="preserve">[1]</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b/>
          <w:bCs/>
          <w:sz w:val="22"/>
          <w:szCs w:val="22"/>
        </w:rPr>
        <w:t xml:space="preserve">Definition of an Enterprise: </w:t>
      </w:r>
      <w:r>
        <w:rPr>
          <w:rFonts w:ascii="Calibri" w:cs="Calibri" w:eastAsia="Calibri" w:hAnsi="Calibri"/>
          <w:sz w:val="22"/>
          <w:szCs w:val="22"/>
        </w:rPr>
        <w:t xml:space="preserve">The case examines the functional and economic definition of an enterprise under competition law, which includes any entity engaging in economic activities, regardless of its legal status. This test assesses whether the entities involved, such as Crédit Mutuel Arkéa and CM11-CIC, qualify as enterprises based on their economic activities and market engagement. The relevant legal precedent is referenced to clarify this definition </w:t>
      </w:r>
      <w:hyperlink w:history="1" r:id="rId_ioakzfjvych34vmktkfx">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Autonomy Assessment: </w:t>
      </w:r>
      <w:r>
        <w:rPr>
          <w:rFonts w:ascii="Calibri" w:cs="Calibri" w:eastAsia="Calibri" w:hAnsi="Calibri"/>
          <w:sz w:val="22"/>
          <w:szCs w:val="22"/>
        </w:rPr>
        <w:t xml:space="preserve">The autonomy of the entities is evaluated to determine if they can be considered separate enterprises under competition law. This involves analyzing commercial and financial independence, including factors like the parent company's financial participation and management control. The process requires a thorough examination of the operational independence of the subsidiaries within the Crédit Mutuel structure </w:t>
      </w:r>
      <w:hyperlink w:history="1" r:id="rId1nkdbzkjhowtvqdyior45">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Impact on Trade Between Member States: </w:t>
      </w:r>
      <w:r>
        <w:rPr>
          <w:rFonts w:ascii="Calibri" w:cs="Calibri" w:eastAsia="Calibri" w:hAnsi="Calibri"/>
          <w:sz w:val="22"/>
          <w:szCs w:val="22"/>
        </w:rPr>
        <w:t xml:space="preserve">The case also considers whether the practices in question are likely to affect trade between EU Member States, which is a criterion for the applicability of European competition rules. This involves assessing the potential cross- border economic impact of the agreements or practices, ensuring they meet the threshold of affecting trade as defined by EU law </w:t>
      </w:r>
      <w:hyperlink w:history="1" r:id="rIdfrnlabibisvwig3t7osvs">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Autorité de la concurrence declared the referral from Crédit Mutuel Arkéa inadmissible, stating that the examination of the practices could not be separated from the assessment of the legality of acts related to the public power prerogatives of the Confédération Nationale du Crédit Mutuel (CNCM) </w:t>
      </w:r>
      <w:hyperlink w:history="1" r:id="rId-8rhglxgryn6zmv6wurd3">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decision emphasized that the jurisdiction to assess the legality of acts performed by public entities, including the CNCM, falls exclusively under the administrative court, not the competition authority </w:t>
      </w:r>
      <w:hyperlink w:history="1" r:id="rIddyexs6xzaffviv1ekh4oh">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referral did not provide evidence of practices that could be detached from the public power prerogatives of the CNCM, indicating that the information exchange and data circulation were integral to the CNCM's oversight mission </w:t>
      </w:r>
      <w:hyperlink w:history="1" r:id="rIdhxanbvnerwc2fyahxw23w">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Autorité noted that the alleged practices of information exchange did not demonstrate behaviors that exceeded the framework of the CNCM's responsibilities, thus failing to establish a violation of competition law </w:t>
      </w:r>
      <w:hyperlink w:history="1" r:id="rIdmwge1io76ul7zkgbisslg">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decision highlighted that any issues regarding the governance and operational rules of the CNCM, as raised by the referring party, stemmed from the statutes that govern the CNCM and its bodies, which were not subject to competition law scrutiny </w:t>
      </w:r>
      <w:hyperlink w:history="1" r:id="rIdd6aphkltxfnntqn8ehheo">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No fines or specific remedies were imposed as the case was deemed inadmissible, and the authority did not find any actionable anti-competitive behavior based on the information provided </w:t>
      </w:r>
      <w:hyperlink w:history="1" r:id="rId7pf7ngmyhfgcimr4j6rz4">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spacing w:after="160" w:before="300"/>
      </w:pPr>
      <w:r>
        <w:rPr>
          <w:rFonts w:ascii="Calibri" w:cs="Calibri" w:eastAsia="Calibri" w:hAnsi="Calibri"/>
          <w:b/>
          <w:bCs/>
          <w:color w:val="1F4E5F"/>
          <w:sz w:val="22"/>
          <w:szCs w:val="22"/>
        </w:rPr>
        <w:t xml:space="preserve">Decision No. 19-D-18 concerning practices implemented in the sector of card payment methods involving Dstorage, GIE CB, Visa, and Mastercard.</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is that Dstorage faced refusals to conclude "distance selling" contracts and abrupt terminations of these contracts by payment service providers, which it claims constitute anti-competitive practices. </w:t>
      </w:r>
      <w:hyperlink w:history="1" r:id="rIdtqjdigukoawxe9rgyvaj1">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complaint is directed against several payment service providers, including the Groupement des Cartes Bancaires (GIE CB), Visa, Mastercard, and thirty-three banks. </w:t>
      </w:r>
      <w:hyperlink w:history="1" r:id="rIdbm0giuvecgilnuq4mojp6">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year of case initiation is 2019, with the referral registered on January 17, 2019. </w:t>
      </w:r>
      <w:hyperlink w:history="1" r:id="rIdbfjzhp9qpkw8ymuhoomkx">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violation alleged involves anti-competitive practices under Articles L. 420-1 and L. 420- 2 of the Commercial Code, where Dstorage argues that the contractual rules imposed by the payment schemes led to discriminatory practices that hindered its ability to operate in the file hosting market. Dstorage claims these practices were influenced by the providers' obligations to combat illegal downloads, resulting in unilateral contract terminations and refusals to contract. </w:t>
      </w:r>
      <w:hyperlink w:history="1" r:id="rIditdg2xy05ubjn3l-2ifxd">
        <w:r>
          <w:rPr>
            <w:rStyle w:val="Hyperlink"/>
            <w:rFonts w:ascii="Calibri" w:cs="Calibri" w:eastAsia="Calibri" w:hAnsi="Calibri"/>
            <w:sz w:val="22"/>
            <w:szCs w:val="22"/>
          </w:rPr>
          <w:t xml:space="preserve">[2]</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b/>
          <w:bCs/>
          <w:sz w:val="22"/>
          <w:szCs w:val="22"/>
        </w:rPr>
        <w:t xml:space="preserve">Case Initiation: </w:t>
      </w:r>
      <w:r>
        <w:rPr>
          <w:rFonts w:ascii="Calibri" w:cs="Calibri" w:eastAsia="Calibri" w:hAnsi="Calibri"/>
          <w:sz w:val="22"/>
          <w:szCs w:val="22"/>
        </w:rPr>
        <w:t xml:space="preserve">The case was initiated by Dstorage, which referred practices in the card payment sector to the Competition Authority, seeking interim measures due to alleged refusals to contract and abrupt terminations by payment service providers from 2012 to 2018. </w:t>
      </w:r>
      <w:hyperlink w:history="1" r:id="rIdv_jyfsqrssyuoylfmslgx">
        <w:r>
          <w:rPr>
            <w:rStyle w:val="Hyperlink"/>
            <w:rFonts w:ascii="Calibri" w:cs="Calibri" w:eastAsia="Calibri" w:hAnsi="Calibri"/>
            <w:sz w:val="22"/>
            <w:szCs w:val="22"/>
          </w:rPr>
          <w:t xml:space="preserve">[2]</w:t>
        </w:r>
      </w:hyperlink>
    </w:p>
    <w:p>
      <w:pPr>
        <w:pStyle w:val="ListParagraph"/>
        <w:numPr>
          <w:ilvl w:val="0"/>
          <w:numId w:val="1"/>
        </w:numPr>
        <w:spacing w:after="120"/>
      </w:pPr>
      <w:r>
        <w:rPr>
          <w:rFonts w:ascii="Calibri" w:cs="Calibri" w:eastAsia="Calibri" w:hAnsi="Calibri"/>
          <w:b/>
          <w:bCs/>
          <w:sz w:val="22"/>
          <w:szCs w:val="22"/>
        </w:rPr>
        <w:t xml:space="preserve">Preliminary Investigation: </w:t>
      </w:r>
      <w:r>
        <w:rPr>
          <w:rFonts w:ascii="Calibri" w:cs="Calibri" w:eastAsia="Calibri" w:hAnsi="Calibri"/>
          <w:sz w:val="22"/>
          <w:szCs w:val="22"/>
        </w:rPr>
        <w:t xml:space="preserve">The Authority examined the referral and found insufficient probative elements to support Dstorage's claims. It concluded that the practices did not have an anticompetitive object or effect, leading to the rejection of the referral. </w:t>
      </w:r>
      <w:hyperlink w:history="1" r:id="rIdzo1ob9cxz5rb0yyqw7gmr">
        <w:r>
          <w:rPr>
            <w:rStyle w:val="Hyperlink"/>
            <w:rFonts w:ascii="Calibri" w:cs="Calibri" w:eastAsia="Calibri" w:hAnsi="Calibri"/>
            <w:sz w:val="22"/>
            <w:szCs w:val="22"/>
          </w:rPr>
          <w:t xml:space="preserve">[2]</w:t>
        </w:r>
      </w:hyperlink>
    </w:p>
    <w:p>
      <w:pPr>
        <w:pStyle w:val="ListParagraph"/>
        <w:numPr>
          <w:ilvl w:val="0"/>
          <w:numId w:val="1"/>
        </w:numPr>
        <w:spacing w:after="120"/>
      </w:pPr>
      <w:r>
        <w:rPr>
          <w:rFonts w:ascii="Calibri" w:cs="Calibri" w:eastAsia="Calibri" w:hAnsi="Calibri"/>
          <w:b/>
          <w:bCs/>
          <w:sz w:val="22"/>
          <w:szCs w:val="22"/>
        </w:rPr>
        <w:t xml:space="preserve">Statement of Objections issued: </w:t>
      </w:r>
      <w:r>
        <w:rPr>
          <w:rFonts w:ascii="Calibri" w:cs="Calibri" w:eastAsia="Calibri" w:hAnsi="Calibri"/>
          <w:sz w:val="22"/>
          <w:szCs w:val="22"/>
        </w:rPr>
        <w:t xml:space="preserve">No formal Statement of Objections was issued in this case, as the Authority determined that the evidence did not warrant further action. </w:t>
      </w:r>
      <w:hyperlink w:history="1" r:id="rIdjef1o6idlgswu4fmmozqh">
        <w:r>
          <w:rPr>
            <w:rStyle w:val="Hyperlink"/>
            <w:rFonts w:ascii="Calibri" w:cs="Calibri" w:eastAsia="Calibri" w:hAnsi="Calibri"/>
            <w:sz w:val="22"/>
            <w:szCs w:val="22"/>
          </w:rPr>
          <w:t xml:space="preserve">[2]</w:t>
        </w:r>
      </w:hyperlink>
    </w:p>
    <w:p>
      <w:pPr>
        <w:pStyle w:val="ListParagraph"/>
        <w:numPr>
          <w:ilvl w:val="0"/>
          <w:numId w:val="1"/>
        </w:numPr>
        <w:spacing w:after="120"/>
      </w:pPr>
      <w:r>
        <w:rPr>
          <w:rFonts w:ascii="Calibri" w:cs="Calibri" w:eastAsia="Calibri" w:hAnsi="Calibri"/>
          <w:b/>
          <w:bCs/>
          <w:sz w:val="22"/>
          <w:szCs w:val="22"/>
        </w:rPr>
        <w:t xml:space="preserve">Defense Phase: </w:t>
      </w:r>
      <w:r>
        <w:rPr>
          <w:rFonts w:ascii="Calibri" w:cs="Calibri" w:eastAsia="Calibri" w:hAnsi="Calibri"/>
          <w:sz w:val="22"/>
          <w:szCs w:val="22"/>
        </w:rPr>
        <w:t xml:space="preserve">Dstorage's defense involved presenting its case during a session where it argued that the contractual rules imposed by payment service providers were anti- competitive. However, the Authority found that the evidence did not substantiate claims of economic dependence or anti-competitive behavior. </w:t>
      </w:r>
      <w:hyperlink w:history="1" r:id="rIdszf6id8rxn7jbxklgbyt6">
        <w:r>
          <w:rPr>
            <w:rStyle w:val="Hyperlink"/>
            <w:rFonts w:ascii="Calibri" w:cs="Calibri" w:eastAsia="Calibri" w:hAnsi="Calibri"/>
            <w:sz w:val="22"/>
            <w:szCs w:val="22"/>
          </w:rPr>
          <w:t xml:space="preserve">[2]</w:t>
        </w:r>
      </w:hyperlink>
    </w:p>
    <w:p>
      <w:pPr>
        <w:pStyle w:val="ListParagraph"/>
        <w:numPr>
          <w:ilvl w:val="0"/>
          <w:numId w:val="1"/>
        </w:numPr>
        <w:spacing w:after="120"/>
      </w:pPr>
      <w:r>
        <w:rPr>
          <w:rFonts w:ascii="Calibri" w:cs="Calibri" w:eastAsia="Calibri" w:hAnsi="Calibri"/>
          <w:b/>
          <w:bCs/>
          <w:sz w:val="22"/>
          <w:szCs w:val="22"/>
        </w:rPr>
        <w:t xml:space="preserve">Commission Decision: </w:t>
      </w:r>
      <w:r>
        <w:rPr>
          <w:rFonts w:ascii="Calibri" w:cs="Calibri" w:eastAsia="Calibri" w:hAnsi="Calibri"/>
          <w:sz w:val="22"/>
          <w:szCs w:val="22"/>
        </w:rPr>
        <w:t xml:space="preserve">The Authority issued a decision rejecting Dstorage's referral and request for interim measures, concluding that the practices in question did not restrict competition and were justified by legal obligations to combat illegal activities. </w:t>
      </w:r>
      <w:hyperlink w:history="1" r:id="rIdouwtlss-_e7dnxijtidgc">
        <w:r>
          <w:rPr>
            <w:rStyle w:val="Hyperlink"/>
            <w:rFonts w:ascii="Calibri" w:cs="Calibri" w:eastAsia="Calibri" w:hAnsi="Calibri"/>
            <w:sz w:val="22"/>
            <w:szCs w:val="22"/>
          </w:rPr>
          <w:t xml:space="preserve">[2]</w:t>
        </w:r>
      </w:hyperlink>
    </w:p>
    <w:p>
      <w:pPr>
        <w:pStyle w:val="ListParagraph"/>
        <w:numPr>
          <w:ilvl w:val="0"/>
          <w:numId w:val="1"/>
        </w:numPr>
        <w:spacing w:after="120"/>
      </w:pPr>
      <w:r>
        <w:rPr>
          <w:rFonts w:ascii="Calibri" w:cs="Calibri" w:eastAsia="Calibri" w:hAnsi="Calibri"/>
          <w:b/>
          <w:bCs/>
          <w:sz w:val="22"/>
          <w:szCs w:val="22"/>
        </w:rPr>
        <w:t xml:space="preserve">Outcome: </w:t>
      </w:r>
      <w:r>
        <w:rPr>
          <w:rFonts w:ascii="Calibri" w:cs="Calibri" w:eastAsia="Calibri" w:hAnsi="Calibri"/>
          <w:sz w:val="22"/>
          <w:szCs w:val="22"/>
        </w:rPr>
        <w:t xml:space="preserve">Dstorage's referral was rejected, and the request for conservatory measures was also denied, concluding the case without further appeal or investigation. </w:t>
      </w:r>
      <w:hyperlink w:history="1" r:id="rId3pzryf7t6itmrz3tbhj43">
        <w:r>
          <w:rPr>
            <w:rStyle w:val="Hyperlink"/>
            <w:rFonts w:ascii="Calibri" w:cs="Calibri" w:eastAsia="Calibri" w:hAnsi="Calibri"/>
            <w:sz w:val="22"/>
            <w:szCs w:val="22"/>
          </w:rPr>
          <w:t xml:space="preserve">[2]</w:t>
        </w:r>
      </w:hyperlink>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market considered in this case included the acquisition market for bank cards and the market for digital file hosting and sharing services, as indicated in the analysis of competitive conditions </w:t>
      </w:r>
      <w:hyperlink w:history="1" r:id="rIdcn-eakuu_nphfzaayi-co">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The process to define the market involved assessing the competitive dynamics and the actual context in which the services would operate without the contested agreements, focusing on the behaviors of payment service providers and their relationships with hosting services </w:t>
      </w:r>
      <w:hyperlink w:history="1" r:id="rIdg_9_avltbqfhdq6_1vlfs">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Techniques used included examining the contractual rules of the quadripartite payment schemes and their impact on the decisions made by payment institutions regarding distance selling contracts </w:t>
      </w:r>
      <w:hyperlink w:history="1" r:id="rIdl2gio0w0wb7comwzrxfqd">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The analysis also involved evaluating the economic and legal context, particularly the obligations imposed on payment service providers to combat illegal activities, which influenced their decisions independently of the quadripartite rules </w:t>
      </w:r>
      <w:hyperlink w:history="1" r:id="rIdotqf8chlpbir2bkqnwugq">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The Authority assessed whether the actions of payment service providers reflected a parallelism of behavior rather than a concerted practice, emphasizing the autonomy of each provider's decision-making </w:t>
      </w:r>
      <w:hyperlink w:history="1" r:id="rId8qmwuvgqcb1i_vjy0reov">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The examination included a review of the evidence provided by the complainant to establish any anti-competitive effects, which was found insufficient to demonstrate significant competition distortion in either market </w:t>
      </w:r>
      <w:hyperlink w:history="1" r:id="rIdbkftoqyn2pgp8svcavaam">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Finally, the Authority considered the existence of economic dependence and the criteria for establishing such a state, concluding that the evidence did not support the claim of abuse of economic dependence </w:t>
      </w:r>
      <w:hyperlink w:history="1" r:id="rIddirjyo-h7sqbvcbhnz2js">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b/>
          <w:bCs/>
          <w:sz w:val="22"/>
          <w:szCs w:val="22"/>
        </w:rPr>
        <w:t xml:space="preserve">Assessment of Restriction by Object: </w:t>
      </w:r>
      <w:r>
        <w:rPr>
          <w:rFonts w:ascii="Calibri" w:cs="Calibri" w:eastAsia="Calibri" w:hAnsi="Calibri"/>
          <w:sz w:val="22"/>
          <w:szCs w:val="22"/>
        </w:rPr>
        <w:t xml:space="preserve">The legal test involves determining whether the agreement or decision in question presents a sufficient degree of harmfulness regarding its provisions, objectives, and the economic and legal context. This requires evaluating the nature of the goods or services affected and the actual market conditions. In this case, the Authority found that the contractual rules did not aim to prevent, restrict, or distort competition, thus lacking the necessary harmfulness to be considered a restriction by object. </w:t>
      </w:r>
      <w:hyperlink w:history="1" r:id="rIdpuzbrsam2uoao1jcs9ox8">
        <w:r>
          <w:rPr>
            <w:rStyle w:val="Hyperlink"/>
            <w:rFonts w:ascii="Calibri" w:cs="Calibri" w:eastAsia="Calibri" w:hAnsi="Calibri"/>
            <w:sz w:val="22"/>
            <w:szCs w:val="22"/>
          </w:rPr>
          <w:t xml:space="preserve">[2]</w:t>
        </w:r>
      </w:hyperlink>
    </w:p>
    <w:p>
      <w:pPr>
        <w:pStyle w:val="ListParagraph"/>
        <w:numPr>
          <w:ilvl w:val="0"/>
          <w:numId w:val="1"/>
        </w:numPr>
        <w:spacing w:after="120"/>
      </w:pPr>
      <w:r>
        <w:rPr>
          <w:rFonts w:ascii="Calibri" w:cs="Calibri" w:eastAsia="Calibri" w:hAnsi="Calibri"/>
          <w:b/>
          <w:bCs/>
          <w:sz w:val="22"/>
          <w:szCs w:val="22"/>
        </w:rPr>
        <w:t xml:space="preserve">Examination of Anti-Competitive Effects: </w:t>
      </w:r>
      <w:r>
        <w:rPr>
          <w:rFonts w:ascii="Calibri" w:cs="Calibri" w:eastAsia="Calibri" w:hAnsi="Calibri"/>
          <w:sz w:val="22"/>
          <w:szCs w:val="22"/>
        </w:rPr>
        <w:t xml:space="preserve">If a restriction by object is not established, the next step is to analyze the actual or potential effects of the coordination in question. This involves gathering evidence to demonstrate whether competition has been significantly prevented, restricted, or distorted. The Authority concluded that the actions taken by payment service providers were based on their autonomous decisions influenced by external legal obligations, rather than the rules of the payment schemes, indicating no significant anti-competitive effects. </w:t>
      </w:r>
      <w:hyperlink w:history="1" r:id="rIdkhxg8045dam5fs75-m5gk">
        <w:r>
          <w:rPr>
            <w:rStyle w:val="Hyperlink"/>
            <w:rFonts w:ascii="Calibri" w:cs="Calibri" w:eastAsia="Calibri" w:hAnsi="Calibri"/>
            <w:sz w:val="22"/>
            <w:szCs w:val="22"/>
          </w:rPr>
          <w:t xml:space="preserve">[2]</w:t>
        </w:r>
      </w:hyperlink>
    </w:p>
    <w:p>
      <w:pPr>
        <w:pStyle w:val="ListParagraph"/>
        <w:numPr>
          <w:ilvl w:val="0"/>
          <w:numId w:val="1"/>
        </w:numPr>
        <w:spacing w:after="120"/>
      </w:pPr>
      <w:r>
        <w:rPr>
          <w:rFonts w:ascii="Calibri" w:cs="Calibri" w:eastAsia="Calibri" w:hAnsi="Calibri"/>
          <w:b/>
          <w:bCs/>
          <w:sz w:val="22"/>
          <w:szCs w:val="22"/>
        </w:rPr>
        <w:t xml:space="preserve">Evaluation of Economic Dependence: </w:t>
      </w:r>
      <w:r>
        <w:rPr>
          <w:rFonts w:ascii="Calibri" w:cs="Calibri" w:eastAsia="Calibri" w:hAnsi="Calibri"/>
          <w:sz w:val="22"/>
          <w:szCs w:val="22"/>
        </w:rPr>
        <w:t xml:space="preserve">The test for abuse of a state of economic dependence assesses whether a supplier is in a position of economic vulnerability relative to its buyers. This involves examining the notoriety of the supplier's brand, market share, and the importance of the supplier's share in the reseller's turnover. In this case, the Authority determined that Dstorage did not provide sufficient evidence of economic dependence on any specific payment service provider, as the referral concerned a broad category of providers with varying characteristics. </w:t>
      </w:r>
      <w:hyperlink w:history="1" r:id="rIdww9nra2kp7krzlsugmesl">
        <w:r>
          <w:rPr>
            <w:rStyle w:val="Hyperlink"/>
            <w:rFonts w:ascii="Calibri" w:cs="Calibri" w:eastAsia="Calibri" w:hAnsi="Calibri"/>
            <w:sz w:val="22"/>
            <w:szCs w:val="22"/>
          </w:rPr>
          <w:t xml:space="preserve">[2]</w:t>
        </w:r>
      </w:hyperlink>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Competition Authority concluded that the referral from the company Dstorage was rejected due to a lack of sufficiently probative elements to support the claims made against payment service providers </w:t>
      </w:r>
      <w:hyperlink w:history="1" r:id="rIdzhvhl2ctltrpqxe6cybha">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Authority found that the practices implemented by the quadripartite payment schemes (Visa, Mastercard, and GIE CB) did not have an anticompetitive object and were aimed at preventing illegal activities rather than harming competition </w:t>
      </w:r>
      <w:hyperlink w:history="1" r:id="rIdr1zlw7uhiwdtwnssh_qra">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It was determined that the refusals to contract and terminations faced by Dstorage were not directly caused by the rules of the payment schemes but were the result of the autonomous decisions of payment service providers, influenced by legal obligations </w:t>
      </w:r>
      <w:hyperlink w:history="1" r:id="rIdwa_tjtso1i1gnqluzdixo">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Authority assessed that the actions taken by multiple payment service providers towards Dstorage reflected a parallelism of behavior rather than a concerted practice, indicating no collusion among them </w:t>
      </w:r>
      <w:hyperlink w:history="1" r:id="rIdvxfohkd2thvteek3f4ngj">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claim of abuse of economic dependence was also dismissed, as Dstorage did not provide compelling evidence of its dependence on any specific payment service provider </w:t>
      </w:r>
      <w:hyperlink w:history="1" r:id="rId_rifqp0vtyrc5vyiylfsv">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No fines or remedies were imposed as the referral was rejected, and the request for interim measures associated with the referral was also denied </w:t>
      </w:r>
      <w:hyperlink w:history="1" r:id="rIdnka1nbnrwrff43x-9-5gf">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spacing w:after="160" w:before="300"/>
      </w:pPr>
      <w:r>
        <w:rPr>
          <w:rFonts w:ascii="Calibri" w:cs="Calibri" w:eastAsia="Calibri" w:hAnsi="Calibri"/>
          <w:b/>
          <w:bCs/>
          <w:color w:val="1F4E5F"/>
          <w:sz w:val="22"/>
          <w:szCs w:val="22"/>
        </w:rPr>
        <w:t xml:space="preserve">Relative des pratiques mises en œuvre dans le secteur de la vente d'abonnements des. Case number: Not specified. Involved companies: Bureau van Dijk Editions Electroniques Srl, Bureau van Dijk Editions Electroniques Sàrl, Bureau van Dijk Editions Electroniques S.A.S., Bureau van Dijk Electronic Publishing B.V., Moody’s Corporation, Ellisphere, Arthemis.</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is that the involved companies participated in an agreement aimed at jointly setting the prices of certain products and allocating customers among themselves, which constitutes anti-competitive behavior. </w:t>
      </w:r>
      <w:hyperlink w:history="1" r:id="rIdqvinv9nxgu-revi5vmboa">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companies against which the grievance is made include Bureau van Dijk Editions Electroniques Srl (BvD Belgium), Bureau van Dijk Editions Electroniques Sàrl (BvD Switzerland), Bureau van Dijk Editions Electroniques S.A.S. (BvD France), Bureau van Dijk Electronic Publishing B.V. (BvD Netherlands), Moody’s Corporation, Ellisphere, and Arthemis. </w:t>
      </w:r>
      <w:hyperlink w:history="1" r:id="rIdms_cxhneqwhg6mornizbs">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year of case initiation is 2022, with the notification of grievances occurring on August 30, 2022. </w:t>
      </w:r>
      <w:hyperlink w:history="1" r:id="rIdau1qvheu_iiijhttxrhkw">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violation involves the implementation of practices that led to price fixing and customer allocation in the marketing of economic intelligence products. These practices were embedded in co-publishing agreements that included clauses for joint price-setting and customer allocation, effectively eliminating competition by preventing clients from choosing the best offers. The parties monitored compliance with these agreements and resolved disputes internally, indicating a structured approach to maintaining these anti-competitive practices. </w:t>
      </w:r>
      <w:hyperlink w:history="1" r:id="rIdjg7edxaf8uxzsnuqltnwy">
        <w:r>
          <w:rPr>
            <w:rStyle w:val="Hyperlink"/>
            <w:rFonts w:ascii="Calibri" w:cs="Calibri" w:eastAsia="Calibri" w:hAnsi="Calibri"/>
            <w:sz w:val="22"/>
            <w:szCs w:val="22"/>
          </w:rPr>
          <w:t xml:space="preserve">[3]</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b/>
          <w:bCs/>
          <w:sz w:val="22"/>
          <w:szCs w:val="22"/>
        </w:rPr>
        <w:t xml:space="preserve">Case Initiation: </w:t>
      </w:r>
      <w:r>
        <w:rPr>
          <w:rFonts w:ascii="Calibri" w:cs="Calibri" w:eastAsia="Calibri" w:hAnsi="Calibri"/>
          <w:sz w:val="22"/>
          <w:szCs w:val="22"/>
        </w:rPr>
        <w:t xml:space="preserve">The case began with a leniency request submitted by BvD on July 11, 2019, revealing anti-competitive practices related to joint price fixing and customer allocation. This initiated the investigation into the practices of BvD and Ellisphere </w:t>
      </w:r>
      <w:hyperlink w:history="1" r:id="rIducqg7wtdpdiudebphgtir">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Preliminary Investigation: </w:t>
      </w:r>
      <w:r>
        <w:rPr>
          <w:rFonts w:ascii="Calibri" w:cs="Calibri" w:eastAsia="Calibri" w:hAnsi="Calibri"/>
          <w:sz w:val="22"/>
          <w:szCs w:val="22"/>
        </w:rPr>
        <w:t xml:space="preserve">The investigation found sufficient evidence of anti-competitive behavior, leading to the issuance of a Statement of Objections. The evidence included contracts and amendments signed by both companies that contained clauses for joint price setting and customer allocation </w:t>
      </w:r>
      <w:hyperlink w:history="1" r:id="rIdzorud3hafvtub5f3o_gji">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Statement of Objections Issued: </w:t>
      </w:r>
      <w:r>
        <w:rPr>
          <w:rFonts w:ascii="Calibri" w:cs="Calibri" w:eastAsia="Calibri" w:hAnsi="Calibri"/>
          <w:sz w:val="22"/>
          <w:szCs w:val="22"/>
        </w:rPr>
        <w:t xml:space="preserve">Following the preliminary investigation, a Statement of Objections was issued, detailing the anti-competitive practices and the legal basis under Articles 101 TFEU and L. 420-1 of the Commercial Code </w:t>
      </w:r>
      <w:hyperlink w:history="1" r:id="rIdun0acu6e8o6vx4pzv4y2x">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Defense Phase: </w:t>
      </w:r>
      <w:r>
        <w:rPr>
          <w:rFonts w:ascii="Calibri" w:cs="Calibri" w:eastAsia="Calibri" w:hAnsi="Calibri"/>
          <w:sz w:val="22"/>
          <w:szCs w:val="22"/>
        </w:rPr>
        <w:t xml:space="preserve">During this phase, Ellisphere committed not to contest the grievance and agreed to a settlement proposal, confirming its acceptance of the legal consequences, including the potential financial penalty </w:t>
      </w:r>
      <w:hyperlink w:history="1" r:id="rId045kxm_utme-ygsf-asqv">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Commission Decision: </w:t>
      </w:r>
      <w:r>
        <w:rPr>
          <w:rFonts w:ascii="Calibri" w:cs="Calibri" w:eastAsia="Calibri" w:hAnsi="Calibri"/>
          <w:sz w:val="22"/>
          <w:szCs w:val="22"/>
        </w:rPr>
        <w:t xml:space="preserve">The Authority decided to grant BvD a total exemption from monetary sanctions due to its cooperation in revealing the practices, while imposing a fine of €3,500,000 on Ellisphere, reflecting the severity of the infringement </w:t>
      </w:r>
      <w:hyperlink w:history="1" r:id="rId5n0ncfrpwwbxba09nm0sr">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Company Decision: </w:t>
      </w:r>
      <w:r>
        <w:rPr>
          <w:rFonts w:ascii="Calibri" w:cs="Calibri" w:eastAsia="Calibri" w:hAnsi="Calibri"/>
          <w:sz w:val="22"/>
          <w:szCs w:val="22"/>
        </w:rPr>
        <w:t xml:space="preserve">Ellisphere, having accepted the settlement terms, proceeded to pay the imposed fine, concluding the case without further appeal </w:t>
      </w:r>
      <w:hyperlink w:history="1" r:id="rIdknaznni-htpumyiwtvxhu">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market considered in this case is the sector of the sale of subscriptions to economic intelligence products, specifically business information products in France. </w:t>
      </w:r>
      <w:hyperlink w:history="1" r:id="rIdvkywceuwi0-dzh_bpklfi">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obligation to delineate the relevant market arises only when it is necessary to determine whether the agreement affects trade between Member States and has the object or effect of preventing, restricting, or distorting competition. </w:t>
      </w:r>
      <w:hyperlink w:history="1" r:id="rIdasibzen8scbe5vvontwa5">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Under domestic law, a precise market definition is not required as long as the sector is sufficiently identified to attribute the observed practices to the operators involved. </w:t>
      </w:r>
      <w:hyperlink w:history="1" r:id="rIdgh2hjxy1sxx_nz1vmu3ux">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practices in question involved joint price fixing and customer allocation, which are considered serious infringements of competition law and do not require a more precise market delineation. </w:t>
      </w:r>
      <w:hyperlink w:history="1" r:id="rId1lersiannhjizgc_jrd7i">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examination of the practices was based on the existence of agreements and concerted practices, which were evidenced through contracts and amendments signed by the parties involved. </w:t>
      </w:r>
      <w:hyperlink w:history="1" r:id="rIdgz8w2uokxuhowehkngcwu">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assessment of whether the practices significantly affected trade between Member States considered the nature of the practices, the products involved, and the market position of the companies. </w:t>
      </w:r>
      <w:hyperlink w:history="1" r:id="rIdrfwvwtpw3i-ueg4294ssa">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investigation relied on a combination of documentary evidence and statements collected during the investigation to establish the existence of an agreement of intent among the companies. </w:t>
      </w:r>
      <w:hyperlink w:history="1" r:id="rIdtd4mhcehg5ytdkkjkwjdw">
        <w:r>
          <w:rPr>
            <w:rStyle w:val="Hyperlink"/>
            <w:rFonts w:ascii="Calibri" w:cs="Calibri" w:eastAsia="Calibri" w:hAnsi="Calibri"/>
            <w:sz w:val="22"/>
            <w:szCs w:val="22"/>
          </w:rPr>
          <w:t xml:space="preserve">[3]</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b/>
          <w:bCs/>
          <w:sz w:val="22"/>
          <w:szCs w:val="22"/>
        </w:rPr>
        <w:t xml:space="preserve">Delimitation of the Relevant Market: </w:t>
      </w:r>
      <w:r>
        <w:rPr>
          <w:rFonts w:ascii="Calibri" w:cs="Calibri" w:eastAsia="Calibri" w:hAnsi="Calibri"/>
          <w:sz w:val="22"/>
          <w:szCs w:val="22"/>
        </w:rPr>
        <w:t xml:space="preserve">The obligation to delineate the relevant market arises only when it is necessary to determine whether an agreement or practice affects trade between Member States and has the object or effect of preventing, restricting, or distorting competition. In this case, it was established that a precise market definition was not required as the sector was sufficiently identified, allowing for the attribution of the observed practices to the involved operators. This test is crucial for assessing the competitive landscape and understanding the implications of the practices in question. </w:t>
      </w:r>
      <w:hyperlink w:history="1" r:id="rIdmuase6tis-v4voslu7sbt">
        <w:r>
          <w:rPr>
            <w:rStyle w:val="Hyperlink"/>
            <w:rFonts w:ascii="Calibri" w:cs="Calibri" w:eastAsia="Calibri" w:hAnsi="Calibri"/>
            <w:sz w:val="22"/>
            <w:szCs w:val="22"/>
          </w:rPr>
          <w:t xml:space="preserve">[3]</w:t>
        </w:r>
      </w:hyperlink>
    </w:p>
    <w:p>
      <w:pPr>
        <w:pStyle w:val="ListParagraph"/>
        <w:numPr>
          <w:ilvl w:val="0"/>
          <w:numId w:val="1"/>
        </w:numPr>
        <w:spacing w:after="120"/>
      </w:pPr>
      <w:r>
        <w:rPr>
          <w:rFonts w:ascii="Calibri" w:cs="Calibri" w:eastAsia="Calibri" w:hAnsi="Calibri"/>
          <w:b/>
          <w:bCs/>
          <w:sz w:val="22"/>
          <w:szCs w:val="22"/>
        </w:rPr>
        <w:t xml:space="preserve">Existence of an Agreement of Intent: </w:t>
      </w:r>
      <w:r>
        <w:rPr>
          <w:rFonts w:ascii="Calibri" w:cs="Calibri" w:eastAsia="Calibri" w:hAnsi="Calibri"/>
          <w:sz w:val="22"/>
          <w:szCs w:val="22"/>
        </w:rPr>
        <w:t xml:space="preserve">This test examines whether there is evidence of a common intention among companies to behave in a certain manner in the market. In this case, the existence of agreements was established through documentary evidence, including contracts and amendments that contained clauses related to joint price determination and customer allocation. The convergence of various elements collected during the investigation also supported the finding of an agreement of intent. </w:t>
      </w:r>
      <w:hyperlink w:history="1" r:id="rIdccbxrd-hu9rwyy2q0v4ud">
        <w:r>
          <w:rPr>
            <w:rStyle w:val="Hyperlink"/>
            <w:rFonts w:ascii="Calibri" w:cs="Calibri" w:eastAsia="Calibri" w:hAnsi="Calibri"/>
            <w:sz w:val="22"/>
            <w:szCs w:val="22"/>
          </w:rPr>
          <w:t xml:space="preserve">[3]</w:t>
        </w:r>
      </w:hyperlink>
    </w:p>
    <w:p>
      <w:pPr>
        <w:pStyle w:val="ListParagraph"/>
        <w:numPr>
          <w:ilvl w:val="0"/>
          <w:numId w:val="1"/>
        </w:numPr>
        <w:spacing w:after="120"/>
      </w:pPr>
      <w:r>
        <w:rPr>
          <w:rFonts w:ascii="Calibri" w:cs="Calibri" w:eastAsia="Calibri" w:hAnsi="Calibri"/>
          <w:b/>
          <w:bCs/>
          <w:sz w:val="22"/>
          <w:szCs w:val="22"/>
        </w:rPr>
        <w:t xml:space="preserve">Anti-Competitive Nature of the Practices: </w:t>
      </w:r>
      <w:r>
        <w:rPr>
          <w:rFonts w:ascii="Calibri" w:cs="Calibri" w:eastAsia="Calibri" w:hAnsi="Calibri"/>
          <w:sz w:val="22"/>
          <w:szCs w:val="22"/>
        </w:rPr>
        <w:t xml:space="preserve">This test assesses whether the observed practices are inherently harmful to competition, classifying them as a restriction by object. The case law indicates that certain types of coordination, such as horizontal price fixing and customer allocation, are considered harmful by their very nature, making it unnecessary to demonstrate their actual effects on the market. The practices in this case were found to exhibit such harmful characteristics, leading to their classification as anti-competitive. </w:t>
      </w:r>
      <w:hyperlink w:history="1" r:id="rIdxhcga2ob-ia_qpwnq2kc0">
        <w:r>
          <w:rPr>
            <w:rStyle w:val="Hyperlink"/>
            <w:rFonts w:ascii="Calibri" w:cs="Calibri" w:eastAsia="Calibri" w:hAnsi="Calibri"/>
            <w:sz w:val="22"/>
            <w:szCs w:val="22"/>
          </w:rPr>
          <w:t xml:space="preserve">[3]</w:t>
        </w:r>
      </w:hyperlink>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investigation revealed that BvD and Ellisphere engaged in anti-competitive practices, specifically joint price-setting and customer allocation in the marketing of economic intelligence products, which are prohibited under Article 101 TFEU and Article L. 420-1 of the Commercial Code </w:t>
      </w:r>
      <w:hyperlink w:history="1" r:id="rIdsoal6komk4xhaibt1be7v">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BvD received a total exemption from monetary sanctions due to its role in revealing the practices through a leniency request submitted in July 2019, which was acknowledged by the Authority </w:t>
      </w:r>
      <w:hyperlink w:history="1" r:id="rIdbdsyuelehemluzfmnsi-6">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Ellisphere was sanctioned with a fine of €3,500,000, which was determined within the range specified in the settlement report following its participation in the settlement procedure </w:t>
      </w:r>
      <w:hyperlink w:history="1" r:id="rIdl8axctyp2cjzb0ymqfdpu">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practices were found to have persisted until at least the notification of grievances on August 30, 2022, with contractual clauses only formally denounced by BvD on September 22, 2022 </w:t>
      </w:r>
      <w:hyperlink w:history="1" r:id="rIdr8ac18v7khbevrm0ol1v-">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Authority concluded that the severity of the infringement was significant due to the nature of the practices, which included price fixing and customer allocation, both of which are considered serious violations in competition law </w:t>
      </w:r>
      <w:hyperlink w:history="1" r:id="rIddq9s9zqw5xeviqcyht-iq">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practices were deemed likely to have significantly affected trade between Member States, necessitating examination under both Union competition law and national law </w:t>
      </w:r>
      <w:hyperlink w:history="1" r:id="rIdbndzeuu34rgvggpe68ycq">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decision marked the first implementation of the new leniency procedure established by the DDADUE Law and related decrees, reflecting a significant development in the enforcement of competition law </w:t>
      </w:r>
      <w:hyperlink w:history="1" r:id="rIdu7qg0oqbhvbfh-wxynazl">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spacing w:after="160" w:before="300"/>
      </w:pPr>
      <w:r>
        <w:rPr>
          <w:rFonts w:ascii="Calibri" w:cs="Calibri" w:eastAsia="Calibri" w:hAnsi="Calibri"/>
          <w:b/>
          <w:bCs/>
          <w:color w:val="1F4E5F"/>
          <w:sz w:val="22"/>
          <w:szCs w:val="22"/>
        </w:rPr>
        <w:t xml:space="preserve">relative-aux-tarifs-et-aux-conditions-liees-appliquees-par-les-banques-et-les.docx; Case No. 09-S-04; La Banque Postale, LCL, Crédit Agricole, BNP-Paribas, Crédit Mutuel, CIC, Société Générale, Banque de France, Crédit du Nord, Banques Populaires, Caisse Nationale des Caisses d’Epargne, BPCE.</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concerns the collection of interbank commissions for payments made by checks on national territory, which were deemed potentially anti- competitive practices. </w:t>
      </w:r>
      <w:hyperlink w:history="1" r:id="rIdg32buepyxk-0cprjhyng1">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companies involved in this case include Société Générale, Crédit Mutuel, CIC, CE Participations, Banque de France, Banques Populaires, BNP, and Paribas. </w:t>
      </w:r>
      <w:hyperlink w:history="1" r:id="rId-htjgfidojoswpmghk85r">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year of case initiation was 2004, when the investigation was initiated by the general rapporteur of the Competition Council. </w:t>
      </w:r>
      <w:hyperlink w:history="1" r:id="rIdagbaxrzg3vncudi8mfnem">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violation pertains to the excessive duration of the investigation process, which lasted six years, and the alleged failure to provide timely access to relevant data, including a price survey that was initially classified as confidential. This delay hindered the banks' ability to defend themselves effectively against the charges, as they were not made aware of the data until the notification of charges in 2008. </w:t>
      </w:r>
      <w:hyperlink w:history="1" r:id="rIdrxjaim4mvdm8dy_a4jzwx">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Additionally, the parties argued that the short deadlines provided for responding to requests for information and the notification of charges further compromised their defense, as they faced difficulties in gathering necessary documentation due to changes in personnel and the age of the archived documents. </w:t>
      </w:r>
      <w:hyperlink w:history="1" r:id="rId9gptwufgjdxnzcspf0izp">
        <w:r>
          <w:rPr>
            <w:rStyle w:val="Hyperlink"/>
            <w:rFonts w:ascii="Calibri" w:cs="Calibri" w:eastAsia="Calibri" w:hAnsi="Calibri"/>
            <w:sz w:val="22"/>
            <w:szCs w:val="22"/>
          </w:rPr>
          <w:t xml:space="preserve">[4]</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b/>
          <w:bCs/>
          <w:sz w:val="22"/>
          <w:szCs w:val="22"/>
        </w:rPr>
        <w:t xml:space="preserve">Case Initiation: </w:t>
      </w:r>
      <w:r>
        <w:rPr>
          <w:rFonts w:ascii="Calibri" w:cs="Calibri" w:eastAsia="Calibri" w:hAnsi="Calibri"/>
          <w:sz w:val="22"/>
          <w:szCs w:val="22"/>
        </w:rPr>
        <w:t xml:space="preserve">The case began with the initiation of proceedings against twelve credit institutions regarding interbank commissions for check payments, with the investigation initiated by the general rapporteur of the Competition Council in 2004. </w:t>
      </w:r>
      <w:hyperlink w:history="1" r:id="rId7p5xtiqetorye9t9o93o3">
        <w:r>
          <w:rPr>
            <w:rStyle w:val="Hyperlink"/>
            <w:rFonts w:ascii="Calibri" w:cs="Calibri" w:eastAsia="Calibri" w:hAnsi="Calibri"/>
            <w:sz w:val="22"/>
            <w:szCs w:val="22"/>
          </w:rPr>
          <w:t xml:space="preserve">[4]</w:t>
        </w:r>
      </w:hyperlink>
    </w:p>
    <w:p>
      <w:pPr>
        <w:pStyle w:val="ListParagraph"/>
        <w:numPr>
          <w:ilvl w:val="0"/>
          <w:numId w:val="1"/>
        </w:numPr>
        <w:spacing w:after="120"/>
      </w:pPr>
      <w:r>
        <w:rPr>
          <w:rFonts w:ascii="Calibri" w:cs="Calibri" w:eastAsia="Calibri" w:hAnsi="Calibri"/>
          <w:b/>
          <w:bCs/>
          <w:sz w:val="22"/>
          <w:szCs w:val="22"/>
        </w:rPr>
        <w:t xml:space="preserve">Preliminary Investigation: </w:t>
      </w:r>
      <w:r>
        <w:rPr>
          <w:rFonts w:ascii="Calibri" w:cs="Calibri" w:eastAsia="Calibri" w:hAnsi="Calibri"/>
          <w:sz w:val="22"/>
          <w:szCs w:val="22"/>
        </w:rPr>
        <w:t xml:space="preserve">The investigation involved multiple inquiries with banking institutions and client companies, resulting in the collection of over 40,000 documents. This phase aimed to gather evidence on the practices related to check deposits from 2000 to 2006. </w:t>
      </w:r>
      <w:hyperlink w:history="1" r:id="rIdad0igsx5mnqywwmiueb8t">
        <w:r>
          <w:rPr>
            <w:rStyle w:val="Hyperlink"/>
            <w:rFonts w:ascii="Calibri" w:cs="Calibri" w:eastAsia="Calibri" w:hAnsi="Calibri"/>
            <w:sz w:val="22"/>
            <w:szCs w:val="22"/>
          </w:rPr>
          <w:t xml:space="preserve">[4]</w:t>
        </w:r>
      </w:hyperlink>
    </w:p>
    <w:p>
      <w:pPr>
        <w:pStyle w:val="ListParagraph"/>
        <w:numPr>
          <w:ilvl w:val="0"/>
          <w:numId w:val="1"/>
        </w:numPr>
        <w:spacing w:after="120"/>
      </w:pPr>
      <w:r>
        <w:rPr>
          <w:rFonts w:ascii="Calibri" w:cs="Calibri" w:eastAsia="Calibri" w:hAnsi="Calibri"/>
          <w:b/>
          <w:bCs/>
          <w:sz w:val="22"/>
          <w:szCs w:val="22"/>
        </w:rPr>
        <w:t xml:space="preserve">Statement of Objections issued: </w:t>
      </w:r>
      <w:r>
        <w:rPr>
          <w:rFonts w:ascii="Calibri" w:cs="Calibri" w:eastAsia="Calibri" w:hAnsi="Calibri"/>
          <w:sz w:val="22"/>
          <w:szCs w:val="22"/>
        </w:rPr>
        <w:t xml:space="preserve">Following the preliminary investigation, a notification of charges was issued, which included an analysis of the results from a price survey conducted by the investigation services. This survey data was initially classified but later made available to the parties for their defense. </w:t>
      </w:r>
      <w:hyperlink w:history="1" r:id="rIdljinh24tnshbikvvarajw">
        <w:r>
          <w:rPr>
            <w:rStyle w:val="Hyperlink"/>
            <w:rFonts w:ascii="Calibri" w:cs="Calibri" w:eastAsia="Calibri" w:hAnsi="Calibri"/>
            <w:sz w:val="22"/>
            <w:szCs w:val="22"/>
          </w:rPr>
          <w:t xml:space="preserve">[4]</w:t>
        </w:r>
      </w:hyperlink>
    </w:p>
    <w:p>
      <w:pPr>
        <w:pStyle w:val="ListParagraph"/>
        <w:numPr>
          <w:ilvl w:val="0"/>
          <w:numId w:val="1"/>
        </w:numPr>
        <w:spacing w:after="120"/>
      </w:pPr>
      <w:r>
        <w:rPr>
          <w:rFonts w:ascii="Calibri" w:cs="Calibri" w:eastAsia="Calibri" w:hAnsi="Calibri"/>
          <w:b/>
          <w:bCs/>
          <w:sz w:val="22"/>
          <w:szCs w:val="22"/>
        </w:rPr>
        <w:t xml:space="preserve">Defense Phase: </w:t>
      </w:r>
      <w:r>
        <w:rPr>
          <w:rFonts w:ascii="Calibri" w:cs="Calibri" w:eastAsia="Calibri" w:hAnsi="Calibri"/>
          <w:sz w:val="22"/>
          <w:szCs w:val="22"/>
        </w:rPr>
        <w:t xml:space="preserve">The parties were given the opportunity to respond in writing within 8-12 weeks and to participate in an oral hearing. They argued that the late communication of certain documents, including the list of banking conditions, limited their ability to defend themselves effectively. </w:t>
      </w:r>
      <w:hyperlink w:history="1" r:id="rIdh8wmsurpcqkn-dh0w5tsa">
        <w:r>
          <w:rPr>
            <w:rStyle w:val="Hyperlink"/>
            <w:rFonts w:ascii="Calibri" w:cs="Calibri" w:eastAsia="Calibri" w:hAnsi="Calibri"/>
            <w:sz w:val="22"/>
            <w:szCs w:val="22"/>
          </w:rPr>
          <w:t xml:space="preserve">[4]</w:t>
        </w:r>
      </w:hyperlink>
    </w:p>
    <w:p>
      <w:pPr>
        <w:pStyle w:val="ListParagraph"/>
        <w:numPr>
          <w:ilvl w:val="0"/>
          <w:numId w:val="1"/>
        </w:numPr>
        <w:spacing w:after="120"/>
      </w:pPr>
      <w:r>
        <w:rPr>
          <w:rFonts w:ascii="Calibri" w:cs="Calibri" w:eastAsia="Calibri" w:hAnsi="Calibri"/>
          <w:b/>
          <w:bCs/>
          <w:sz w:val="22"/>
          <w:szCs w:val="22"/>
        </w:rPr>
        <w:t xml:space="preserve">Commission Decision: </w:t>
      </w:r>
      <w:r>
        <w:rPr>
          <w:rFonts w:ascii="Calibri" w:cs="Calibri" w:eastAsia="Calibri" w:hAnsi="Calibri"/>
          <w:sz w:val="22"/>
          <w:szCs w:val="22"/>
        </w:rPr>
        <w:t xml:space="preserve">The Commission's decision would determine whether there was an infringement and, if so, impose fines. The parties contested the validity of the expertise and the adequacy of their defense, arguing that the late communication of evidence compromised their rights. </w:t>
      </w:r>
      <w:hyperlink w:history="1" r:id="rIdu_fxgjqjlbuu9zt_nuoeu">
        <w:r>
          <w:rPr>
            <w:rStyle w:val="Hyperlink"/>
            <w:rFonts w:ascii="Calibri" w:cs="Calibri" w:eastAsia="Calibri" w:hAnsi="Calibri"/>
            <w:sz w:val="22"/>
            <w:szCs w:val="22"/>
          </w:rPr>
          <w:t xml:space="preserve">[4]</w:t>
        </w:r>
      </w:hyperlink>
    </w:p>
    <w:p>
      <w:pPr>
        <w:pStyle w:val="ListParagraph"/>
        <w:numPr>
          <w:ilvl w:val="0"/>
          <w:numId w:val="1"/>
        </w:numPr>
        <w:spacing w:after="120"/>
      </w:pPr>
      <w:r>
        <w:rPr>
          <w:rFonts w:ascii="Calibri" w:cs="Calibri" w:eastAsia="Calibri" w:hAnsi="Calibri"/>
          <w:b/>
          <w:bCs/>
          <w:sz w:val="22"/>
          <w:szCs w:val="22"/>
        </w:rPr>
        <w:t xml:space="preserve">General Court and CJEU: </w:t>
      </w:r>
      <w:r>
        <w:rPr>
          <w:rFonts w:ascii="Calibri" w:cs="Calibri" w:eastAsia="Calibri" w:hAnsi="Calibri"/>
          <w:sz w:val="22"/>
          <w:szCs w:val="22"/>
        </w:rPr>
        <w:t xml:space="preserve">If the parties decided to appeal the Commission's decision, the case would progress to the General Court, potentially taking 3-5 years, followed by the CJEU for legal review, which could take an additional 1.5-3 years. The outcome could either uphold the Commission's decision or annul it based on the legal arguments presented. </w:t>
      </w:r>
      <w:hyperlink w:history="1" r:id="rIddnsr-gubexzbhgdshti3b">
        <w:r>
          <w:rPr>
            <w:rStyle w:val="Hyperlink"/>
            <w:rFonts w:ascii="Calibri" w:cs="Calibri" w:eastAsia="Calibri" w:hAnsi="Calibri"/>
            <w:sz w:val="22"/>
            <w:szCs w:val="22"/>
          </w:rPr>
          <w:t xml:space="preserve">[4]</w:t>
        </w:r>
      </w:hyperlink>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market considered in this case involved the pricing conditions governing the submission of checks, particularly by businesses, which was significant due to the widespread use of checks as a payment method in France during the relevant period. </w:t>
      </w:r>
      <w:hyperlink w:history="1" r:id="rId1g9cllzmtg1y_3_ss2nio">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investigation focused on the practices implemented by twelve main credit institutions established in France, which were involved in discussions within the CIR (Interbank Check Clearing). </w:t>
      </w:r>
      <w:hyperlink w:history="1" r:id="rId4yxyebzbr1r7ef_rl9q2l">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analysis of the market was supported by a price survey conducted by the investigation services, which collected data on the prices charged by banks to their corporate clients from 2000 to 2006. </w:t>
      </w:r>
      <w:hyperlink w:history="1" r:id="rIdkcd8s-kataynmqkl9fras">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survey data included responses from seven hundred companies regarding their banking conditions for processing check deposits, allowing for a comprehensive understanding of the market dynamics. </w:t>
      </w:r>
      <w:hyperlink w:history="1" r:id="rIdydnhkdb_uftvkoi_gb8ia">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definition of the market did not require precise delineation as in cases of abuse of a dominant position; instead, it was sufficient to identify the sector and the markets to qualify the observed practices. </w:t>
      </w:r>
      <w:hyperlink w:history="1" r:id="rIdsx3fmanzkqac_r8fq_woc">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investigation utilized expert reports and complementary opinions to assess the economic impact of the practices alleged, ensuring that the parties had opportunities to present observations on the findings. </w:t>
      </w:r>
      <w:hyperlink w:history="1" r:id="rIdde3vcvp2rioiwubal_jf5">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process included a series of hearings and decisions that allowed for the gradual declassification of data, ensuring that parties could access necessary information while balancing trade secret protections. </w:t>
      </w:r>
      <w:hyperlink w:history="1" r:id="rIdcmlkr8wqrvbnoptyk1z3m">
        <w:r>
          <w:rPr>
            <w:rStyle w:val="Hyperlink"/>
            <w:rFonts w:ascii="Calibri" w:cs="Calibri" w:eastAsia="Calibri" w:hAnsi="Calibri"/>
            <w:sz w:val="22"/>
            <w:szCs w:val="22"/>
          </w:rPr>
          <w:t xml:space="preserve">[4]</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b/>
          <w:bCs/>
          <w:sz w:val="22"/>
          <w:szCs w:val="22"/>
        </w:rPr>
        <w:t xml:space="preserve">Accessory Restriction Test: </w:t>
      </w:r>
      <w:r>
        <w:rPr>
          <w:rFonts w:ascii="Calibri" w:cs="Calibri" w:eastAsia="Calibri" w:hAnsi="Calibri"/>
          <w:sz w:val="22"/>
          <w:szCs w:val="22"/>
        </w:rPr>
        <w:t xml:space="preserve">This test assesses whether a restriction is directly linked and necessary for the realization of a main operation. The court specifies that if the main operation does not restrict competition, then accessory restrictions are compatible with competition law. The parties involved must demonstrate that a restriction is objectively necessary for the realization of the main operation, which involves examining if the restriction is essential for the operation's feasibility. This test was applied to evaluate the CEIC's necessity in relation to the dematerialization of interbank compensation. </w:t>
      </w:r>
      <w:hyperlink w:history="1" r:id="rIdidchptqkfyt2q_lv7kqjn">
        <w:r>
          <w:rPr>
            <w:rStyle w:val="Hyperlink"/>
            <w:rFonts w:ascii="Calibri" w:cs="Calibri" w:eastAsia="Calibri" w:hAnsi="Calibri"/>
            <w:sz w:val="22"/>
            <w:szCs w:val="22"/>
          </w:rPr>
          <w:t xml:space="preserve">[4]</w:t>
        </w:r>
      </w:hyperlink>
    </w:p>
    <w:p>
      <w:pPr>
        <w:pStyle w:val="ListParagraph"/>
        <w:numPr>
          <w:ilvl w:val="0"/>
          <w:numId w:val="1"/>
        </w:numPr>
        <w:spacing w:after="120"/>
      </w:pPr>
      <w:r>
        <w:rPr>
          <w:rFonts w:ascii="Calibri" w:cs="Calibri" w:eastAsia="Calibri" w:hAnsi="Calibri"/>
          <w:b/>
          <w:bCs/>
          <w:sz w:val="22"/>
          <w:szCs w:val="22"/>
        </w:rPr>
        <w:t xml:space="preserve">Proportionality and Scope Test: </w:t>
      </w:r>
      <w:r>
        <w:rPr>
          <w:rFonts w:ascii="Calibri" w:cs="Calibri" w:eastAsia="Calibri" w:hAnsi="Calibri"/>
          <w:sz w:val="22"/>
          <w:szCs w:val="22"/>
        </w:rPr>
        <w:t xml:space="preserve">This test examines whether the duration and scope of a restriction exceed what is necessary for the realization of the main operation. If they do, the restriction must undergo a separate analysis under competition law. The court emphasizes that the assessment of necessity should not be based on the competitive situation in the market but rather on the specific context of the main operation. This was relevant in determining whether the commissions related to the CSC were proportionate to the expected efficiency gains. </w:t>
      </w:r>
      <w:hyperlink w:history="1" r:id="rIdtzdn3d_zmk_xc_5vuh1ek">
        <w:r>
          <w:rPr>
            <w:rStyle w:val="Hyperlink"/>
            <w:rFonts w:ascii="Calibri" w:cs="Calibri" w:eastAsia="Calibri" w:hAnsi="Calibri"/>
            <w:sz w:val="22"/>
            <w:szCs w:val="22"/>
          </w:rPr>
          <w:t xml:space="preserve">[4]</w:t>
        </w:r>
      </w:hyperlink>
    </w:p>
    <w:p>
      <w:pPr>
        <w:pStyle w:val="ListParagraph"/>
        <w:numPr>
          <w:ilvl w:val="0"/>
          <w:numId w:val="1"/>
        </w:numPr>
        <w:spacing w:after="120"/>
      </w:pPr>
      <w:r>
        <w:rPr>
          <w:rFonts w:ascii="Calibri" w:cs="Calibri" w:eastAsia="Calibri" w:hAnsi="Calibri"/>
          <w:b/>
          <w:bCs/>
          <w:sz w:val="22"/>
          <w:szCs w:val="22"/>
        </w:rPr>
        <w:t xml:space="preserve">Balancing Test under Article 81(3): </w:t>
      </w:r>
      <w:r>
        <w:rPr>
          <w:rFonts w:ascii="Calibri" w:cs="Calibri" w:eastAsia="Calibri" w:hAnsi="Calibri"/>
          <w:sz w:val="22"/>
          <w:szCs w:val="22"/>
        </w:rPr>
        <w:t xml:space="preserve">This test allows for the balancing of pro-competitive and anti-competitive aspects of a restriction, provided certain conditions are met. It is crucial that this balancing occurs only after establishing that a restriction is objectively necessary. The court noted that if this examination were conducted prematurely, it would undermine the effectiveness of the exemption provisions. This test was referenced in the context of evaluating whether the practices related to the CEIC and CSC could be exempted under competition law. </w:t>
      </w:r>
      <w:hyperlink w:history="1" r:id="rIdjzzdpfrrptyyry4770s9h">
        <w:r>
          <w:rPr>
            <w:rStyle w:val="Hyperlink"/>
            <w:rFonts w:ascii="Calibri" w:cs="Calibri" w:eastAsia="Calibri" w:hAnsi="Calibri"/>
            <w:sz w:val="22"/>
            <w:szCs w:val="22"/>
          </w:rPr>
          <w:t xml:space="preserve">[4]</w:t>
        </w:r>
      </w:hyperlink>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parties involved were found to have had adequate access to the evidence and data necessary to contest the grievances against them, which included the results of a price survey, thus upholding the validity of the procedure followed </w:t>
      </w:r>
      <w:hyperlink w:history="1" r:id="rId_kmcokqbhzmcdmzrqrlca">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late communication of the price survey data was deemed not to infringe upon the rights of defense, as the parties were able to access the relevant information at later stages of the procedure </w:t>
      </w:r>
      <w:hyperlink w:history="1" r:id="rIddeymz3eprcs-n6cm7wu1t">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five banks involved were not classified as leaders or instigators of the cartel but played an active role in promoting the disputed commissions during negotiations, leading to a 10% increase in the fines imposed on them </w:t>
      </w:r>
      <w:hyperlink w:history="1" r:id="rIdlmg-gm_kyxkudh0gyeq3n">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argument that certain banks derived no profit from the cartel was rejected; the court noted that lack of profit does not mitigate the severity of the sanctions imposed for anti- competitive practices </w:t>
      </w:r>
      <w:hyperlink w:history="1" r:id="rIdwj2rh4ddr1j__wub3acmk">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investigation services communicated the referral to the Banking Commission in accordance with legal provisions, and the notification of grievances was found to facilitate the issuance of an informed opinion by the Commission, thus not violating the adversarial principle </w:t>
      </w:r>
      <w:hyperlink w:history="1" r:id="rIdqewd99kmlzwny3z2ajskf">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parties were provided sufficient opportunities to respond to the expert's reports, with multiple chances to submit observations and statements throughout the process, which were considered in the final report </w:t>
      </w:r>
      <w:hyperlink w:history="1" r:id="rIdyf78ym5zddji3ybjo3j62">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claims regarding the violation of trade secrets were dismissed, as the parties did not demonstrate how such violations hindered their ability to respond effectively to the grievances </w:t>
      </w:r>
      <w:hyperlink w:history="1" r:id="rIdbhafdj89liq9c37trg4yw">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spacing w:after="160" w:before="300"/>
      </w:pPr>
      <w:r>
        <w:rPr>
          <w:rFonts w:ascii="Calibri" w:cs="Calibri" w:eastAsia="Calibri" w:hAnsi="Calibri"/>
          <w:b/>
          <w:bCs/>
          <w:color w:val="1F4E5F"/>
          <w:sz w:val="22"/>
          <w:szCs w:val="22"/>
        </w:rPr>
        <w:t xml:space="preserve">Relative des pratiques mises en œuvre par le Groupement des Cartes Bancaires, Case No. 09/0017 F - 10/0008 F.</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is related to practices concerning interbank commissions applied to various means of payment used in France. [Page 1] The complaint was filed against the Groupement des Cartes Bancaires (GIE CB) and its practices regarding interbank payment commissions (IPC). [Page 1] The case was initiated with letters registered on February 27, 2009, and February 3, 2010. [Page 1] The violation involves the establishment of a pricing structure for interbank commissions that may constitute a "price cartel" among banking institutions, which is considered a particularly serious agreement under competition law. This practice was characterized by the joint setting of the IPC, which the complainants argue is unjustifiable and unnecessary. [Pages 292-293] The behaviors in question relate to a horizontal agreement concerning pricing conditions that apply to national transactions, affecting both national and foreign establishments, thereby potentially partitioning the market and impacting intra-community trade. [Pages 285-287]</w:t>
      </w:r>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b/>
          <w:bCs/>
          <w:sz w:val="22"/>
          <w:szCs w:val="22"/>
        </w:rPr>
        <w:t xml:space="preserve">Case Initiation: </w:t>
      </w:r>
      <w:r>
        <w:rPr>
          <w:rFonts w:ascii="Calibri" w:cs="Calibri" w:eastAsia="Calibri" w:hAnsi="Calibri"/>
          <w:sz w:val="22"/>
          <w:szCs w:val="22"/>
        </w:rPr>
        <w:t xml:space="preserve">The case was initiated following complaints regarding the interbank payment commission (IPC) practices of the Groupement des Cartes Bancaires (GIE). The complaints highlighted concerns about potential anti-competitive behavior in the banking sector related to card transactions. [Pages 55-57] Preliminary Investigation: During this phase, the investigation services gathered information from the GIE and assessed the validity of the complaints. The GIE argued that the IPC calculation methods had been validated by the Competition Council in a previous decision, which raised questions about the legal scope of that decision. The investigation determined that there was sufficient evidence to continue. [Pages 55-57] Statement of Objections issued: Following the preliminary investigation, a Statement of Objections was issued, outlining the competition concerns regarding the IPC and its potential impact on trade between Member States. This document detailed the nature of the agreements and the economic context, emphasizing the need for a thorough analysis of the practices involved. [Pages 58-60] Defense Phase: The GIE was given the opportunity to respond in writing and present its defense during an oral hearing. The GIE proposed commitments to address the competition concerns, which were scrutinized by the complainants and other stakeholders who argued that the commitments were insufficient. [Pages 61-63] Commission Decision: The Competition Authority evaluated the proposed commitments against the identified competition concerns. The Authority had to determine whether the commitments adequately addressed the issues raised, considering the evolving economic and legal context since the original decision. [Pages 58-60] Company Decision: After the Commission's decision, the GIE would have the option to accept the commitments and comply or appeal the decision if it found the ruling unfavorable. The outcome would depend on whether the GIE believed the commitments were sufficient to mitigate the competition concerns raised. [Pages 61-63]</w:t>
      </w:r>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market considered in this case primarily revolves around the banking card sector, specifically focusing on interbank payment commissions (IPC) related to card transactions. This sector has seen significant growth, with cards representing over 42% of scriptural payments in France. </w:t>
      </w:r>
      <w:hyperlink w:history="1" r:id="rIdracqqaxhqgoh7aw-slp1n">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analysis of the market involved examining the economic and legal context in which the banking card practices were situated, including the evolution of payment systems and regulations since the Competition Council's decision in 1988. </w:t>
      </w:r>
      <w:hyperlink w:history="1" r:id="rIdcuaux4g_l4vhqeljltg5-">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Techniques used in defining the market included assessing the competitive behaviors and agreements within the banking card sector, particularly focusing on the pricing conditions applicable to national transactions involving both national and foreign establishments. </w:t>
      </w:r>
      <w:hyperlink w:history="1" r:id="rIdf8opiatlpjae3asljmuqz">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assessment also involved evaluating the impact of horizontal agreements on trade between Member States, with a presumption that such agreements are likely to affect intra- community trade unless proven otherwise. </w:t>
      </w:r>
      <w:hyperlink w:history="1" r:id="rIdyot-2yvplllbgbcs--4vv">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Competition Authority considered the legal framework established by European Union law, which applies to practices likely to affect trade between Member States, necessitating a thorough examination of the agreements and their economic implications. </w:t>
      </w:r>
      <w:hyperlink w:history="1" r:id="rIdlfd6ytabdsh1k0f_javx-">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analysis included a review of the changes in the regulatory environment, such as the establishment of the Single Euro Payments Area (SEPA) and its implications for cross-border payments, which contributed to defining the market context. </w:t>
      </w:r>
      <w:hyperlink w:history="1" r:id="rIdk5bkkz5wa-bpqafdozi_l">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Finally, the process involved a detailed examination of the characteristics of the agreements and the market position of the companies involved, assessing whether the practices in question significantly restricted competition or affected trade between Member States. </w:t>
      </w:r>
      <w:hyperlink w:history="1" r:id="rIdttr4bjbilh_2grt2a2yee">
        <w:r>
          <w:rPr>
            <w:rStyle w:val="Hyperlink"/>
            <w:rFonts w:ascii="Calibri" w:cs="Calibri" w:eastAsia="Calibri" w:hAnsi="Calibri"/>
            <w:sz w:val="22"/>
            <w:szCs w:val="22"/>
          </w:rPr>
          <w:t xml:space="preserve">[5]</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b/>
          <w:bCs/>
          <w:sz w:val="22"/>
          <w:szCs w:val="22"/>
        </w:rPr>
        <w:t xml:space="preserve">Legal Certainty and Acquired Rights Test: </w:t>
      </w:r>
      <w:r>
        <w:rPr>
          <w:rFonts w:ascii="Calibri" w:cs="Calibri" w:eastAsia="Calibri" w:hAnsi="Calibri"/>
          <w:sz w:val="22"/>
          <w:szCs w:val="22"/>
        </w:rPr>
        <w:t xml:space="preserve">This test examines whether the Groupement has any acquired rights from previous decisions, particularly focusing on the principle of legal certainty, which ensures that laws are predictable and stable. The analysis indicates that a sanction or injunction decision related to anti-competitive practices does not create rights for the companies involved, allowing the Authority to assess the IPC without the existence of acquired rights being a barrier. This is discussed </w:t>
      </w:r>
      <w:hyperlink w:history="1" r:id="rIdioj675_vwdk4ia1eamjal">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Economic and Legal Context Test: </w:t>
      </w:r>
      <w:r>
        <w:rPr>
          <w:rFonts w:ascii="Calibri" w:cs="Calibri" w:eastAsia="Calibri" w:hAnsi="Calibri"/>
          <w:sz w:val="22"/>
          <w:szCs w:val="22"/>
        </w:rPr>
        <w:t xml:space="preserve">This test evaluates the economic and legal environment surrounding the practices in question, considering changes since the original injunction in 1988. It highlights the evolution of the card payment market and the regulatory framework, including the establishment of the Single Euro Payments Area (SEPA) and changes in the Commercial Code. The Authority must account for these developments when assessing the practices referred to in the referrals. This is detailed </w:t>
      </w:r>
      <w:hyperlink w:history="1" r:id="rIdi_etdoxupm5u3ee6ln4rb">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Impact on Trade Between Member States Test: </w:t>
      </w:r>
      <w:r>
        <w:rPr>
          <w:rFonts w:ascii="Calibri" w:cs="Calibri" w:eastAsia="Calibri" w:hAnsi="Calibri"/>
          <w:sz w:val="22"/>
          <w:szCs w:val="22"/>
        </w:rPr>
        <w:t xml:space="preserve">This test assesses whether the practices in question significantly affect trade between Member States, which is a requirement under EU law. It involves analyzing the nature of the agreements and their potential to influence intra- community trade. The guidelines suggest that horizontal agreements covering an entire Member State are typically presumed to affect trade, but this presumption must be supported by specific circumstances of the case. This is outlined </w:t>
      </w:r>
      <w:hyperlink w:history="1" r:id="rIdeox2y3nezjtbjn03amwg5">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Competition Authority determined that the commitments proposed by the Groupement des Cartes Bancaires (GIE) were necessary to address competition concerns related to the interbank payment commission (IPC) system, which was not classified as a particularly serious agreement akin to a cartel </w:t>
      </w:r>
      <w:hyperlink w:history="1" r:id="rIdaotfbtv5ykz365syiwjei">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GIE's initial commitments included a reduction of the multilateral component of the IPC from an average of 0.47% to a ceiling of 0.28%, which was seen as a significant improvement in response to market concerns </w:t>
      </w:r>
      <w:hyperlink w:history="1" r:id="rIdwcosgjydxd5pzvlexet27">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commitments also expanded to include both consumer and professional cards, reflecting a broader scope of application and addressing various transaction types </w:t>
      </w:r>
      <w:hyperlink w:history="1" r:id="rIdajhcqbtxaf7mszxwsskhf">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duration of the commitments was set to four years, with a revision clause modified to require the Authority's decision for any changes, ensuring greater regulatory oversight </w:t>
      </w:r>
      <w:hyperlink w:history="1" r:id="rIdws6fleznghenhvhs83-th">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Authority emphasized that the commitment procedure aims to resolve competition concerns rather than simply fulfill the demands of complainants, highlighting its role in maintaining economic public order </w:t>
      </w:r>
      <w:hyperlink w:history="1" r:id="rIdudcjjjs49egirxix1co-p">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No specific fines were mentioned in the context provided, indicating that the focus was on the acceptance of commitments rather than punitive measures </w:t>
      </w:r>
      <w:hyperlink w:history="1" r:id="rId5yrp-0bg-v81co29o8vjc">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analysis concluded that the economic and legal context had evolved significantly since the original decisions, necessitating a reassessment of the IPC practices in light of current market conditions </w:t>
      </w:r>
      <w:hyperlink w:history="1" r:id="rIdwq6dris2uo1emaks8qsmr">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spacing w:after="120" w:before="280"/>
      </w:pPr>
      <w:r>
        <w:rPr>
          <w:rFonts w:ascii="Calibri" w:cs="Calibri" w:eastAsia="Calibri" w:hAnsi="Calibri"/>
          <w:b/>
          <w:bCs/>
          <w:color w:val="1F4E5F"/>
          <w:sz w:val="22"/>
          <w:szCs w:val="22"/>
        </w:rPr>
        <w:t xml:space="preserve">Cited Sources</w:t>
      </w:r>
    </w:p>
    <w:p>
      <w:pPr>
        <w:pStyle w:val="ListParagraph"/>
        <w:numPr>
          <w:ilvl w:val="0"/>
          <w:numId w:val="2"/>
        </w:numPr>
        <w:spacing w:after="100"/>
      </w:pPr>
      <w:hyperlink w:history="1" r:id="rIdkpqwfpvw6nyxgarfsswzs">
        <w:r>
          <w:rPr>
            <w:rStyle w:val="Hyperlink"/>
            <w:rFonts w:ascii="Calibri" w:cs="Calibri" w:eastAsia="Calibri" w:hAnsi="Calibri"/>
            <w:sz w:val="22"/>
            <w:szCs w:val="22"/>
          </w:rPr>
          <w:t xml:space="preserve">Decision No. 16-D-30 regarding practices of the Confédération Nationale du Crédit Mutuel in the banking sector.</w:t>
        </w:r>
      </w:hyperlink>
    </w:p>
    <w:p>
      <w:pPr>
        <w:pStyle w:val="ListParagraph"/>
        <w:numPr>
          <w:ilvl w:val="0"/>
          <w:numId w:val="2"/>
        </w:numPr>
        <w:spacing w:after="100"/>
      </w:pPr>
      <w:hyperlink w:history="1" r:id="rIdajl1zc70ypf_kxwnlmgon">
        <w:r>
          <w:rPr>
            <w:rStyle w:val="Hyperlink"/>
            <w:rFonts w:ascii="Calibri" w:cs="Calibri" w:eastAsia="Calibri" w:hAnsi="Calibri"/>
            <w:sz w:val="22"/>
            <w:szCs w:val="22"/>
          </w:rPr>
          <w:t xml:space="preserve">Decision No. 19-D-18 concerning practices implemented in the sector of card payment methods involving Dstorage, GIE CB, Visa, and Mastercard.</w:t>
        </w:r>
      </w:hyperlink>
    </w:p>
    <w:p>
      <w:pPr>
        <w:pStyle w:val="ListParagraph"/>
        <w:numPr>
          <w:ilvl w:val="0"/>
          <w:numId w:val="2"/>
        </w:numPr>
        <w:spacing w:after="100"/>
      </w:pPr>
      <w:hyperlink w:history="1" r:id="rIdqfm2ilvgvwsw6nmq1ifw_">
        <w:r>
          <w:rPr>
            <w:rStyle w:val="Hyperlink"/>
            <w:rFonts w:ascii="Calibri" w:cs="Calibri" w:eastAsia="Calibri" w:hAnsi="Calibri"/>
            <w:sz w:val="22"/>
            <w:szCs w:val="22"/>
          </w:rPr>
          <w:t xml:space="preserve">Relative des pratiques mises en œuvre dans le secteur de la vente d'abonnements des. Case number: Not specified. Involved companies: Bureau van Dijk Editions Electroniques Srl, Bureau van Dijk Editions Electroniques Sàrl, Bureau van Dijk Editions Electroniques S.A.S., Bureau van Dijk Electronic Publishing B.V., Moody’s Corporation, Ellisphere, Arthemis.</w:t>
        </w:r>
      </w:hyperlink>
    </w:p>
    <w:p>
      <w:pPr>
        <w:pStyle w:val="ListParagraph"/>
        <w:numPr>
          <w:ilvl w:val="0"/>
          <w:numId w:val="2"/>
        </w:numPr>
        <w:spacing w:after="100"/>
      </w:pPr>
      <w:hyperlink w:history="1" r:id="rIdu0-qndvwrunbkiifmj8xv">
        <w:r>
          <w:rPr>
            <w:rStyle w:val="Hyperlink"/>
            <w:rFonts w:ascii="Calibri" w:cs="Calibri" w:eastAsia="Calibri" w:hAnsi="Calibri"/>
            <w:sz w:val="22"/>
            <w:szCs w:val="22"/>
          </w:rPr>
          <w:t xml:space="preserve">relative-aux-tarifs-et-aux-conditions-liees-appliquees-par-les-banques-et-les.docx; Case No. 09-S-04; La Banque Postale, LCL, Crédit Agricole, BNP-Paribas, Crédit Mutuel, CIC, Société Générale, Banque de France, Crédit du Nord, Banques Populaires, Caisse Nationale des Caisses d’Epargne, BPCE.</w:t>
        </w:r>
      </w:hyperlink>
    </w:p>
    <w:p>
      <w:pPr>
        <w:pStyle w:val="ListParagraph"/>
        <w:numPr>
          <w:ilvl w:val="0"/>
          <w:numId w:val="2"/>
        </w:numPr>
        <w:spacing w:after="100"/>
      </w:pPr>
      <w:hyperlink w:history="1" r:id="rIdvli2pgvfknrhpvtp6aob1">
        <w:r>
          <w:rPr>
            <w:rStyle w:val="Hyperlink"/>
            <w:rFonts w:ascii="Calibri" w:cs="Calibri" w:eastAsia="Calibri" w:hAnsi="Calibri"/>
            <w:sz w:val="22"/>
            <w:szCs w:val="22"/>
          </w:rPr>
          <w:t xml:space="preserve">Relative des pratiques mises en œuvre par le Groupement des Cartes Bancaires, Case No. 09/0017 F - 10/0008 F.</w:t>
        </w:r>
      </w:hyperlink>
    </w:p>
    <w:sectPr>
      <w:headerReference w:type="default" r:id="rId7"/>
      <w:footerReference w:type="default" r:id="rId8"/>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Competition-Law Assistant Evaluation — Blinded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3ej4cyh6jddog0vlnxbm" Type="http://schemas.openxmlformats.org/officeDocument/2006/relationships/hyperlink" Target="https://www.autoritedelaconcurrence.fr/fr/decision/relative-des-pratiques-mises-en-oeuvre-par-la-confederation-nationale-du-credit-mutuel" TargetMode="External"/><Relationship Id="rId03fcus22kle2sn8mmbkpj" Type="http://schemas.openxmlformats.org/officeDocument/2006/relationships/hyperlink" Target="https://www.autoritedelaconcurrence.fr/fr/decision/relative-des-pratiques-mises-en-oeuvre-par-la-confederation-nationale-du-credit-mutuel" TargetMode="External"/><Relationship Id="rId47ui2lbrwjfltdgrmying" Type="http://schemas.openxmlformats.org/officeDocument/2006/relationships/hyperlink" Target="https://www.autoritedelaconcurrence.fr/fr/decision/relative-des-pratiques-mises-en-oeuvre-par-la-confederation-nationale-du-credit-mutuel" TargetMode="External"/><Relationship Id="rIdbihyidojppngrbz8tj7qo" Type="http://schemas.openxmlformats.org/officeDocument/2006/relationships/hyperlink" Target="https://www.autoritedelaconcurrence.fr/fr/decision/relative-des-pratiques-mises-en-oeuvre-par-la-confederation-nationale-du-credit-mutuel" TargetMode="External"/><Relationship Id="rIdb5pumi000rtkaz3surdp0" Type="http://schemas.openxmlformats.org/officeDocument/2006/relationships/hyperlink" Target="https://www.autoritedelaconcurrence.fr/fr/decision/relative-des-pratiques-mises-en-oeuvre-par-la-confederation-nationale-du-credit-mutuel" TargetMode="External"/><Relationship Id="rIdvyow6jxrrjvzopkc9fong" Type="http://schemas.openxmlformats.org/officeDocument/2006/relationships/hyperlink" Target="https://www.autoritedelaconcurrence.fr/fr/decision/relative-des-pratiques-mises-en-oeuvre-par-la-confederation-nationale-du-credit-mutuel" TargetMode="External"/><Relationship Id="rIdaebptfsvqu-lt97epnwd5" Type="http://schemas.openxmlformats.org/officeDocument/2006/relationships/hyperlink" Target="https://www.autoritedelaconcurrence.fr/fr/decision/relative-des-pratiques-mises-en-oeuvre-par-la-confederation-nationale-du-credit-mutuel" TargetMode="External"/><Relationship Id="rId5s2pomsrhyjui5fmy1t7f" Type="http://schemas.openxmlformats.org/officeDocument/2006/relationships/hyperlink" Target="https://www.autoritedelaconcurrence.fr/fr/decision/relative-des-pratiques-mises-en-oeuvre-par-la-confederation-nationale-du-credit-mutuel" TargetMode="External"/><Relationship Id="rIdh6vgfzhlujzexha6bdo_p" Type="http://schemas.openxmlformats.org/officeDocument/2006/relationships/hyperlink" Target="https://www.autoritedelaconcurrence.fr/fr/decision/relative-des-pratiques-mises-en-oeuvre-par-la-confederation-nationale-du-credit-mutuel" TargetMode="External"/><Relationship Id="rId4_6yhxb6jycskhvtkrzfo" Type="http://schemas.openxmlformats.org/officeDocument/2006/relationships/hyperlink" Target="https://www.autoritedelaconcurrence.fr/fr/decision/relative-des-pratiques-mises-en-oeuvre-par-la-confederation-nationale-du-credit-mutuel" TargetMode="External"/><Relationship Id="rIdxjokx9qy4pqgqmvip2zx9" Type="http://schemas.openxmlformats.org/officeDocument/2006/relationships/hyperlink" Target="https://www.autoritedelaconcurrence.fr/fr/decision/relative-des-pratiques-mises-en-oeuvre-par-la-confederation-nationale-du-credit-mutuel" TargetMode="External"/><Relationship Id="rIdjvvtmmqoav5q-3tqmqu0o" Type="http://schemas.openxmlformats.org/officeDocument/2006/relationships/hyperlink" Target="https://www.autoritedelaconcurrence.fr/fr/decision/relative-des-pratiques-mises-en-oeuvre-par-la-confederation-nationale-du-credit-mutuel" TargetMode="External"/><Relationship Id="rId-0qpvwszbrjaptely2adn" Type="http://schemas.openxmlformats.org/officeDocument/2006/relationships/hyperlink" Target="https://www.autoritedelaconcurrence.fr/fr/decision/relative-des-pratiques-mises-en-oeuvre-par-la-confederation-nationale-du-credit-mutuel" TargetMode="External"/><Relationship Id="rIdn89eo78x5kix8kgf18vsm" Type="http://schemas.openxmlformats.org/officeDocument/2006/relationships/hyperlink" Target="https://www.autoritedelaconcurrence.fr/fr/decision/relative-des-pratiques-mises-en-oeuvre-par-la-confederation-nationale-du-credit-mutuel" TargetMode="External"/><Relationship Id="rIdhylhnquwuprvkzsso8vsx" Type="http://schemas.openxmlformats.org/officeDocument/2006/relationships/hyperlink" Target="https://www.autoritedelaconcurrence.fr/fr/decision/relative-des-pratiques-mises-en-oeuvre-par-la-confederation-nationale-du-credit-mutuel" TargetMode="External"/><Relationship Id="rId8nbrst4rib0rfdmj28cvt" Type="http://schemas.openxmlformats.org/officeDocument/2006/relationships/hyperlink" Target="https://www.autoritedelaconcurrence.fr/fr/decision/relative-des-pratiques-mises-en-oeuvre-par-la-confederation-nationale-du-credit-mutuel" TargetMode="External"/><Relationship Id="rId1eetzbyj8oile4ca9wdar" Type="http://schemas.openxmlformats.org/officeDocument/2006/relationships/hyperlink" Target="https://www.autoritedelaconcurrence.fr/fr/decision/relative-des-pratiques-mises-en-oeuvre-par-la-confederation-nationale-du-credit-mutuel" TargetMode="External"/><Relationship Id="rIdnzx1iyi8prukkhc7cokry" Type="http://schemas.openxmlformats.org/officeDocument/2006/relationships/hyperlink" Target="https://www.autoritedelaconcurrence.fr/fr/decision/relative-des-pratiques-mises-en-oeuvre-par-la-confederation-nationale-du-credit-mutuel" TargetMode="External"/><Relationship Id="rId_ioakzfjvych34vmktkfx" Type="http://schemas.openxmlformats.org/officeDocument/2006/relationships/hyperlink" Target="https://www.autoritedelaconcurrence.fr/fr/decision/relative-des-pratiques-mises-en-oeuvre-par-la-confederation-nationale-du-credit-mutuel" TargetMode="External"/><Relationship Id="rId1nkdbzkjhowtvqdyior45" Type="http://schemas.openxmlformats.org/officeDocument/2006/relationships/hyperlink" Target="https://www.autoritedelaconcurrence.fr/fr/decision/relative-des-pratiques-mises-en-oeuvre-par-la-confederation-nationale-du-credit-mutuel" TargetMode="External"/><Relationship Id="rIdfrnlabibisvwig3t7osvs" Type="http://schemas.openxmlformats.org/officeDocument/2006/relationships/hyperlink" Target="https://www.autoritedelaconcurrence.fr/fr/decision/relative-des-pratiques-mises-en-oeuvre-par-la-confederation-nationale-du-credit-mutuel" TargetMode="External"/><Relationship Id="rId-8rhglxgryn6zmv6wurd3" Type="http://schemas.openxmlformats.org/officeDocument/2006/relationships/hyperlink" Target="https://www.autoritedelaconcurrence.fr/fr/decision/relative-des-pratiques-mises-en-oeuvre-par-la-confederation-nationale-du-credit-mutuel" TargetMode="External"/><Relationship Id="rIddyexs6xzaffviv1ekh4oh" Type="http://schemas.openxmlformats.org/officeDocument/2006/relationships/hyperlink" Target="https://www.autoritedelaconcurrence.fr/fr/decision/relative-des-pratiques-mises-en-oeuvre-par-la-confederation-nationale-du-credit-mutuel" TargetMode="External"/><Relationship Id="rIdhxanbvnerwc2fyahxw23w" Type="http://schemas.openxmlformats.org/officeDocument/2006/relationships/hyperlink" Target="https://www.autoritedelaconcurrence.fr/fr/decision/relative-des-pratiques-mises-en-oeuvre-par-la-confederation-nationale-du-credit-mutuel" TargetMode="External"/><Relationship Id="rIdmwge1io76ul7zkgbisslg" Type="http://schemas.openxmlformats.org/officeDocument/2006/relationships/hyperlink" Target="https://www.autoritedelaconcurrence.fr/fr/decision/relative-des-pratiques-mises-en-oeuvre-par-la-confederation-nationale-du-credit-mutuel" TargetMode="External"/><Relationship Id="rIdd6aphkltxfnntqn8ehheo" Type="http://schemas.openxmlformats.org/officeDocument/2006/relationships/hyperlink" Target="https://www.autoritedelaconcurrence.fr/fr/decision/relative-des-pratiques-mises-en-oeuvre-par-la-confederation-nationale-du-credit-mutuel" TargetMode="External"/><Relationship Id="rId7pf7ngmyhfgcimr4j6rz4" Type="http://schemas.openxmlformats.org/officeDocument/2006/relationships/hyperlink" Target="https://www.autoritedelaconcurrence.fr/fr/decision/relative-des-pratiques-mises-en-oeuvre-par-la-confederation-nationale-du-credit-mutuel" TargetMode="External"/><Relationship Id="rIdtqjdigukoawxe9rgyvaj1" Type="http://schemas.openxmlformats.org/officeDocument/2006/relationships/hyperlink" Target="https://www.autoritedelaconcurrence.fr/fr/decision/relative-des-pratiques-mises-en-oeuvre-dans-le-secteur-des-moyens-de-paiement-par-carte" TargetMode="External"/><Relationship Id="rIdbm0giuvecgilnuq4mojp6" Type="http://schemas.openxmlformats.org/officeDocument/2006/relationships/hyperlink" Target="https://www.autoritedelaconcurrence.fr/fr/decision/relative-des-pratiques-mises-en-oeuvre-dans-le-secteur-des-moyens-de-paiement-par-carte" TargetMode="External"/><Relationship Id="rIdbfjzhp9qpkw8ymuhoomkx" Type="http://schemas.openxmlformats.org/officeDocument/2006/relationships/hyperlink" Target="https://www.autoritedelaconcurrence.fr/fr/decision/relative-des-pratiques-mises-en-oeuvre-dans-le-secteur-des-moyens-de-paiement-par-carte" TargetMode="External"/><Relationship Id="rIditdg2xy05ubjn3l-2ifxd" Type="http://schemas.openxmlformats.org/officeDocument/2006/relationships/hyperlink" Target="https://www.autoritedelaconcurrence.fr/fr/decision/relative-des-pratiques-mises-en-oeuvre-dans-le-secteur-des-moyens-de-paiement-par-carte" TargetMode="External"/><Relationship Id="rIdv_jyfsqrssyuoylfmslgx" Type="http://schemas.openxmlformats.org/officeDocument/2006/relationships/hyperlink" Target="https://www.autoritedelaconcurrence.fr/fr/decision/relative-des-pratiques-mises-en-oeuvre-dans-le-secteur-des-moyens-de-paiement-par-carte" TargetMode="External"/><Relationship Id="rIdzo1ob9cxz5rb0yyqw7gmr" Type="http://schemas.openxmlformats.org/officeDocument/2006/relationships/hyperlink" Target="https://www.autoritedelaconcurrence.fr/fr/decision/relative-des-pratiques-mises-en-oeuvre-dans-le-secteur-des-moyens-de-paiement-par-carte" TargetMode="External"/><Relationship Id="rIdjef1o6idlgswu4fmmozqh" Type="http://schemas.openxmlformats.org/officeDocument/2006/relationships/hyperlink" Target="https://www.autoritedelaconcurrence.fr/fr/decision/relative-des-pratiques-mises-en-oeuvre-dans-le-secteur-des-moyens-de-paiement-par-carte" TargetMode="External"/><Relationship Id="rIdszf6id8rxn7jbxklgbyt6" Type="http://schemas.openxmlformats.org/officeDocument/2006/relationships/hyperlink" Target="https://www.autoritedelaconcurrence.fr/fr/decision/relative-des-pratiques-mises-en-oeuvre-dans-le-secteur-des-moyens-de-paiement-par-carte" TargetMode="External"/><Relationship Id="rIdouwtlss-_e7dnxijtidgc" Type="http://schemas.openxmlformats.org/officeDocument/2006/relationships/hyperlink" Target="https://www.autoritedelaconcurrence.fr/fr/decision/relative-des-pratiques-mises-en-oeuvre-dans-le-secteur-des-moyens-de-paiement-par-carte" TargetMode="External"/><Relationship Id="rId3pzryf7t6itmrz3tbhj43" Type="http://schemas.openxmlformats.org/officeDocument/2006/relationships/hyperlink" Target="https://www.autoritedelaconcurrence.fr/fr/decision/relative-des-pratiques-mises-en-oeuvre-dans-le-secteur-des-moyens-de-paiement-par-carte" TargetMode="External"/><Relationship Id="rIdcn-eakuu_nphfzaayi-co" Type="http://schemas.openxmlformats.org/officeDocument/2006/relationships/hyperlink" Target="https://www.autoritedelaconcurrence.fr/fr/decision/relative-des-pratiques-mises-en-oeuvre-dans-le-secteur-des-moyens-de-paiement-par-carte" TargetMode="External"/><Relationship Id="rIdg_9_avltbqfhdq6_1vlfs" Type="http://schemas.openxmlformats.org/officeDocument/2006/relationships/hyperlink" Target="https://www.autoritedelaconcurrence.fr/fr/decision/relative-des-pratiques-mises-en-oeuvre-dans-le-secteur-des-moyens-de-paiement-par-carte" TargetMode="External"/><Relationship Id="rIdl2gio0w0wb7comwzrxfqd" Type="http://schemas.openxmlformats.org/officeDocument/2006/relationships/hyperlink" Target="https://www.autoritedelaconcurrence.fr/fr/decision/relative-des-pratiques-mises-en-oeuvre-dans-le-secteur-des-moyens-de-paiement-par-carte" TargetMode="External"/><Relationship Id="rIdotqf8chlpbir2bkqnwugq" Type="http://schemas.openxmlformats.org/officeDocument/2006/relationships/hyperlink" Target="https://www.autoritedelaconcurrence.fr/fr/decision/relative-des-pratiques-mises-en-oeuvre-dans-le-secteur-des-moyens-de-paiement-par-carte" TargetMode="External"/><Relationship Id="rId8qmwuvgqcb1i_vjy0reov" Type="http://schemas.openxmlformats.org/officeDocument/2006/relationships/hyperlink" Target="https://www.autoritedelaconcurrence.fr/fr/decision/relative-des-pratiques-mises-en-oeuvre-dans-le-secteur-des-moyens-de-paiement-par-carte" TargetMode="External"/><Relationship Id="rIdbkftoqyn2pgp8svcavaam" Type="http://schemas.openxmlformats.org/officeDocument/2006/relationships/hyperlink" Target="https://www.autoritedelaconcurrence.fr/fr/decision/relative-des-pratiques-mises-en-oeuvre-dans-le-secteur-des-moyens-de-paiement-par-carte" TargetMode="External"/><Relationship Id="rIddirjyo-h7sqbvcbhnz2js" Type="http://schemas.openxmlformats.org/officeDocument/2006/relationships/hyperlink" Target="https://www.autoritedelaconcurrence.fr/fr/decision/relative-des-pratiques-mises-en-oeuvre-dans-le-secteur-des-moyens-de-paiement-par-carte" TargetMode="External"/><Relationship Id="rIdpuzbrsam2uoao1jcs9ox8" Type="http://schemas.openxmlformats.org/officeDocument/2006/relationships/hyperlink" Target="https://www.autoritedelaconcurrence.fr/fr/decision/relative-des-pratiques-mises-en-oeuvre-dans-le-secteur-des-moyens-de-paiement-par-carte" TargetMode="External"/><Relationship Id="rIdkhxg8045dam5fs75-m5gk" Type="http://schemas.openxmlformats.org/officeDocument/2006/relationships/hyperlink" Target="https://www.autoritedelaconcurrence.fr/fr/decision/relative-des-pratiques-mises-en-oeuvre-dans-le-secteur-des-moyens-de-paiement-par-carte" TargetMode="External"/><Relationship Id="rIdww9nra2kp7krzlsugmesl" Type="http://schemas.openxmlformats.org/officeDocument/2006/relationships/hyperlink" Target="https://www.autoritedelaconcurrence.fr/fr/decision/relative-des-pratiques-mises-en-oeuvre-dans-le-secteur-des-moyens-de-paiement-par-carte" TargetMode="External"/><Relationship Id="rIdzhvhl2ctltrpqxe6cybha" Type="http://schemas.openxmlformats.org/officeDocument/2006/relationships/hyperlink" Target="https://www.autoritedelaconcurrence.fr/fr/decision/relative-des-pratiques-mises-en-oeuvre-dans-le-secteur-des-moyens-de-paiement-par-carte" TargetMode="External"/><Relationship Id="rIdr1zlw7uhiwdtwnssh_qra" Type="http://schemas.openxmlformats.org/officeDocument/2006/relationships/hyperlink" Target="https://www.autoritedelaconcurrence.fr/fr/decision/relative-des-pratiques-mises-en-oeuvre-dans-le-secteur-des-moyens-de-paiement-par-carte" TargetMode="External"/><Relationship Id="rIdwa_tjtso1i1gnqluzdixo" Type="http://schemas.openxmlformats.org/officeDocument/2006/relationships/hyperlink" Target="https://www.autoritedelaconcurrence.fr/fr/decision/relative-des-pratiques-mises-en-oeuvre-dans-le-secteur-des-moyens-de-paiement-par-carte" TargetMode="External"/><Relationship Id="rIdvxfohkd2thvteek3f4ngj" Type="http://schemas.openxmlformats.org/officeDocument/2006/relationships/hyperlink" Target="https://www.autoritedelaconcurrence.fr/fr/decision/relative-des-pratiques-mises-en-oeuvre-dans-le-secteur-des-moyens-de-paiement-par-carte" TargetMode="External"/><Relationship Id="rId_rifqp0vtyrc5vyiylfsv" Type="http://schemas.openxmlformats.org/officeDocument/2006/relationships/hyperlink" Target="https://www.autoritedelaconcurrence.fr/fr/decision/relative-des-pratiques-mises-en-oeuvre-dans-le-secteur-des-moyens-de-paiement-par-carte" TargetMode="External"/><Relationship Id="rIdnka1nbnrwrff43x-9-5gf" Type="http://schemas.openxmlformats.org/officeDocument/2006/relationships/hyperlink" Target="https://www.autoritedelaconcurrence.fr/fr/decision/relative-des-pratiques-mises-en-oeuvre-dans-le-secteur-des-moyens-de-paiement-par-carte" TargetMode="External"/><Relationship Id="rIdqvinv9nxgu-revi5vmboa" Type="http://schemas.openxmlformats.org/officeDocument/2006/relationships/hyperlink" Target="https://www.autoritedelaconcurrence.fr/fr/decision/relative-des-pratiques-mises-en-oeuvre-dans-le-secteur-de-la-vente-dabonnements-des" TargetMode="External"/><Relationship Id="rIdms_cxhneqwhg6mornizbs" Type="http://schemas.openxmlformats.org/officeDocument/2006/relationships/hyperlink" Target="https://www.autoritedelaconcurrence.fr/fr/decision/relative-des-pratiques-mises-en-oeuvre-dans-le-secteur-de-la-vente-dabonnements-des" TargetMode="External"/><Relationship Id="rIdau1qvheu_iiijhttxrhkw" Type="http://schemas.openxmlformats.org/officeDocument/2006/relationships/hyperlink" Target="https://www.autoritedelaconcurrence.fr/fr/decision/relative-des-pratiques-mises-en-oeuvre-dans-le-secteur-de-la-vente-dabonnements-des" TargetMode="External"/><Relationship Id="rIdjg7edxaf8uxzsnuqltnwy" Type="http://schemas.openxmlformats.org/officeDocument/2006/relationships/hyperlink" Target="https://www.autoritedelaconcurrence.fr/fr/decision/relative-des-pratiques-mises-en-oeuvre-dans-le-secteur-de-la-vente-dabonnements-des" TargetMode="External"/><Relationship Id="rIducqg7wtdpdiudebphgtir" Type="http://schemas.openxmlformats.org/officeDocument/2006/relationships/hyperlink" Target="https://www.autoritedelaconcurrence.fr/fr/decision/relative-des-pratiques-mises-en-oeuvre-dans-le-secteur-de-la-vente-dabonnements-des" TargetMode="External"/><Relationship Id="rIdzorud3hafvtub5f3o_gji" Type="http://schemas.openxmlformats.org/officeDocument/2006/relationships/hyperlink" Target="https://www.autoritedelaconcurrence.fr/fr/decision/relative-des-pratiques-mises-en-oeuvre-dans-le-secteur-de-la-vente-dabonnements-des" TargetMode="External"/><Relationship Id="rIdun0acu6e8o6vx4pzv4y2x" Type="http://schemas.openxmlformats.org/officeDocument/2006/relationships/hyperlink" Target="https://www.autoritedelaconcurrence.fr/fr/decision/relative-des-pratiques-mises-en-oeuvre-dans-le-secteur-de-la-vente-dabonnements-des" TargetMode="External"/><Relationship Id="rId045kxm_utme-ygsf-asqv" Type="http://schemas.openxmlformats.org/officeDocument/2006/relationships/hyperlink" Target="https://www.autoritedelaconcurrence.fr/fr/decision/relative-des-pratiques-mises-en-oeuvre-dans-le-secteur-de-la-vente-dabonnements-des" TargetMode="External"/><Relationship Id="rId5n0ncfrpwwbxba09nm0sr" Type="http://schemas.openxmlformats.org/officeDocument/2006/relationships/hyperlink" Target="https://www.autoritedelaconcurrence.fr/fr/decision/relative-des-pratiques-mises-en-oeuvre-dans-le-secteur-de-la-vente-dabonnements-des" TargetMode="External"/><Relationship Id="rIdknaznni-htpumyiwtvxhu" Type="http://schemas.openxmlformats.org/officeDocument/2006/relationships/hyperlink" Target="https://www.autoritedelaconcurrence.fr/fr/decision/relative-des-pratiques-mises-en-oeuvre-dans-le-secteur-de-la-vente-dabonnements-des" TargetMode="External"/><Relationship Id="rIdvkywceuwi0-dzh_bpklfi" Type="http://schemas.openxmlformats.org/officeDocument/2006/relationships/hyperlink" Target="https://www.autoritedelaconcurrence.fr/fr/decision/relative-des-pratiques-mises-en-oeuvre-dans-le-secteur-de-la-vente-dabonnements-des" TargetMode="External"/><Relationship Id="rIdasibzen8scbe5vvontwa5" Type="http://schemas.openxmlformats.org/officeDocument/2006/relationships/hyperlink" Target="https://www.autoritedelaconcurrence.fr/fr/decision/relative-des-pratiques-mises-en-oeuvre-dans-le-secteur-de-la-vente-dabonnements-des" TargetMode="External"/><Relationship Id="rIdgh2hjxy1sxx_nz1vmu3ux" Type="http://schemas.openxmlformats.org/officeDocument/2006/relationships/hyperlink" Target="https://www.autoritedelaconcurrence.fr/fr/decision/relative-des-pratiques-mises-en-oeuvre-dans-le-secteur-de-la-vente-dabonnements-des" TargetMode="External"/><Relationship Id="rId1lersiannhjizgc_jrd7i" Type="http://schemas.openxmlformats.org/officeDocument/2006/relationships/hyperlink" Target="https://www.autoritedelaconcurrence.fr/fr/decision/relative-des-pratiques-mises-en-oeuvre-dans-le-secteur-de-la-vente-dabonnements-des" TargetMode="External"/><Relationship Id="rIdgz8w2uokxuhowehkngcwu" Type="http://schemas.openxmlformats.org/officeDocument/2006/relationships/hyperlink" Target="https://www.autoritedelaconcurrence.fr/fr/decision/relative-des-pratiques-mises-en-oeuvre-dans-le-secteur-de-la-vente-dabonnements-des" TargetMode="External"/><Relationship Id="rIdrfwvwtpw3i-ueg4294ssa" Type="http://schemas.openxmlformats.org/officeDocument/2006/relationships/hyperlink" Target="https://www.autoritedelaconcurrence.fr/fr/decision/relative-des-pratiques-mises-en-oeuvre-dans-le-secteur-de-la-vente-dabonnements-des" TargetMode="External"/><Relationship Id="rIdtd4mhcehg5ytdkkjkwjdw" Type="http://schemas.openxmlformats.org/officeDocument/2006/relationships/hyperlink" Target="https://www.autoritedelaconcurrence.fr/fr/decision/relative-des-pratiques-mises-en-oeuvre-dans-le-secteur-de-la-vente-dabonnements-des" TargetMode="External"/><Relationship Id="rIdmuase6tis-v4voslu7sbt" Type="http://schemas.openxmlformats.org/officeDocument/2006/relationships/hyperlink" Target="https://www.autoritedelaconcurrence.fr/fr/decision/relative-des-pratiques-mises-en-oeuvre-dans-le-secteur-de-la-vente-dabonnements-des" TargetMode="External"/><Relationship Id="rIdccbxrd-hu9rwyy2q0v4ud" Type="http://schemas.openxmlformats.org/officeDocument/2006/relationships/hyperlink" Target="https://www.autoritedelaconcurrence.fr/fr/decision/relative-des-pratiques-mises-en-oeuvre-dans-le-secteur-de-la-vente-dabonnements-des" TargetMode="External"/><Relationship Id="rIdxhcga2ob-ia_qpwnq2kc0" Type="http://schemas.openxmlformats.org/officeDocument/2006/relationships/hyperlink" Target="https://www.autoritedelaconcurrence.fr/fr/decision/relative-des-pratiques-mises-en-oeuvre-dans-le-secteur-de-la-vente-dabonnements-des" TargetMode="External"/><Relationship Id="rIdsoal6komk4xhaibt1be7v" Type="http://schemas.openxmlformats.org/officeDocument/2006/relationships/hyperlink" Target="https://www.autoritedelaconcurrence.fr/fr/decision/relative-des-pratiques-mises-en-oeuvre-dans-le-secteur-de-la-vente-dabonnements-des" TargetMode="External"/><Relationship Id="rIdbdsyuelehemluzfmnsi-6" Type="http://schemas.openxmlformats.org/officeDocument/2006/relationships/hyperlink" Target="https://www.autoritedelaconcurrence.fr/fr/decision/relative-des-pratiques-mises-en-oeuvre-dans-le-secteur-de-la-vente-dabonnements-des" TargetMode="External"/><Relationship Id="rIdl8axctyp2cjzb0ymqfdpu" Type="http://schemas.openxmlformats.org/officeDocument/2006/relationships/hyperlink" Target="https://www.autoritedelaconcurrence.fr/fr/decision/relative-des-pratiques-mises-en-oeuvre-dans-le-secteur-de-la-vente-dabonnements-des" TargetMode="External"/><Relationship Id="rIdr8ac18v7khbevrm0ol1v-" Type="http://schemas.openxmlformats.org/officeDocument/2006/relationships/hyperlink" Target="https://www.autoritedelaconcurrence.fr/fr/decision/relative-des-pratiques-mises-en-oeuvre-dans-le-secteur-de-la-vente-dabonnements-des" TargetMode="External"/><Relationship Id="rIddq9s9zqw5xeviqcyht-iq" Type="http://schemas.openxmlformats.org/officeDocument/2006/relationships/hyperlink" Target="https://www.autoritedelaconcurrence.fr/fr/decision/relative-des-pratiques-mises-en-oeuvre-dans-le-secteur-de-la-vente-dabonnements-des" TargetMode="External"/><Relationship Id="rIdbndzeuu34rgvggpe68ycq" Type="http://schemas.openxmlformats.org/officeDocument/2006/relationships/hyperlink" Target="https://www.autoritedelaconcurrence.fr/fr/decision/relative-des-pratiques-mises-en-oeuvre-dans-le-secteur-de-la-vente-dabonnements-des" TargetMode="External"/><Relationship Id="rIdu7qg0oqbhvbfh-wxynazl" Type="http://schemas.openxmlformats.org/officeDocument/2006/relationships/hyperlink" Target="https://www.autoritedelaconcurrence.fr/fr/decision/relative-des-pratiques-mises-en-oeuvre-dans-le-secteur-de-la-vente-dabonnements-des" TargetMode="External"/><Relationship Id="rIdg32buepyxk-0cprjhyng1" Type="http://schemas.openxmlformats.org/officeDocument/2006/relationships/hyperlink" Target="https://www.autoritedelaconcurrence.fr/fr/decision/relative-aux-tarifs-et-aux-conditions-liees-appliquees-par-les-banques-et-les" TargetMode="External"/><Relationship Id="rId-htjgfidojoswpmghk85r" Type="http://schemas.openxmlformats.org/officeDocument/2006/relationships/hyperlink" Target="https://www.autoritedelaconcurrence.fr/fr/decision/relative-aux-tarifs-et-aux-conditions-liees-appliquees-par-les-banques-et-les" TargetMode="External"/><Relationship Id="rIdagbaxrzg3vncudi8mfnem" Type="http://schemas.openxmlformats.org/officeDocument/2006/relationships/hyperlink" Target="https://www.autoritedelaconcurrence.fr/fr/decision/relative-aux-tarifs-et-aux-conditions-liees-appliquees-par-les-banques-et-les" TargetMode="External"/><Relationship Id="rIdrxjaim4mvdm8dy_a4jzwx" Type="http://schemas.openxmlformats.org/officeDocument/2006/relationships/hyperlink" Target="https://www.autoritedelaconcurrence.fr/fr/decision/relative-aux-tarifs-et-aux-conditions-liees-appliquees-par-les-banques-et-les" TargetMode="External"/><Relationship Id="rId9gptwufgjdxnzcspf0izp" Type="http://schemas.openxmlformats.org/officeDocument/2006/relationships/hyperlink" Target="https://www.autoritedelaconcurrence.fr/fr/decision/relative-aux-tarifs-et-aux-conditions-liees-appliquees-par-les-banques-et-les" TargetMode="External"/><Relationship Id="rId7p5xtiqetorye9t9o93o3" Type="http://schemas.openxmlformats.org/officeDocument/2006/relationships/hyperlink" Target="https://www.autoritedelaconcurrence.fr/fr/decision/relative-aux-tarifs-et-aux-conditions-liees-appliquees-par-les-banques-et-les" TargetMode="External"/><Relationship Id="rIdad0igsx5mnqywwmiueb8t" Type="http://schemas.openxmlformats.org/officeDocument/2006/relationships/hyperlink" Target="https://www.autoritedelaconcurrence.fr/fr/decision/relative-aux-tarifs-et-aux-conditions-liees-appliquees-par-les-banques-et-les" TargetMode="External"/><Relationship Id="rIdljinh24tnshbikvvarajw" Type="http://schemas.openxmlformats.org/officeDocument/2006/relationships/hyperlink" Target="https://www.autoritedelaconcurrence.fr/fr/decision/relative-aux-tarifs-et-aux-conditions-liees-appliquees-par-les-banques-et-les" TargetMode="External"/><Relationship Id="rIdh8wmsurpcqkn-dh0w5tsa" Type="http://schemas.openxmlformats.org/officeDocument/2006/relationships/hyperlink" Target="https://www.autoritedelaconcurrence.fr/fr/decision/relative-aux-tarifs-et-aux-conditions-liees-appliquees-par-les-banques-et-les" TargetMode="External"/><Relationship Id="rIdu_fxgjqjlbuu9zt_nuoeu" Type="http://schemas.openxmlformats.org/officeDocument/2006/relationships/hyperlink" Target="https://www.autoritedelaconcurrence.fr/fr/decision/relative-aux-tarifs-et-aux-conditions-liees-appliquees-par-les-banques-et-les" TargetMode="External"/><Relationship Id="rIddnsr-gubexzbhgdshti3b" Type="http://schemas.openxmlformats.org/officeDocument/2006/relationships/hyperlink" Target="https://www.autoritedelaconcurrence.fr/fr/decision/relative-aux-tarifs-et-aux-conditions-liees-appliquees-par-les-banques-et-les" TargetMode="External"/><Relationship Id="rId1g9cllzmtg1y_3_ss2nio" Type="http://schemas.openxmlformats.org/officeDocument/2006/relationships/hyperlink" Target="https://www.autoritedelaconcurrence.fr/fr/decision/relative-aux-tarifs-et-aux-conditions-liees-appliquees-par-les-banques-et-les" TargetMode="External"/><Relationship Id="rId4yxyebzbr1r7ef_rl9q2l" Type="http://schemas.openxmlformats.org/officeDocument/2006/relationships/hyperlink" Target="https://www.autoritedelaconcurrence.fr/fr/decision/relative-aux-tarifs-et-aux-conditions-liees-appliquees-par-les-banques-et-les" TargetMode="External"/><Relationship Id="rIdkcd8s-kataynmqkl9fras" Type="http://schemas.openxmlformats.org/officeDocument/2006/relationships/hyperlink" Target="https://www.autoritedelaconcurrence.fr/fr/decision/relative-aux-tarifs-et-aux-conditions-liees-appliquees-par-les-banques-et-les" TargetMode="External"/><Relationship Id="rIdydnhkdb_uftvkoi_gb8ia" Type="http://schemas.openxmlformats.org/officeDocument/2006/relationships/hyperlink" Target="https://www.autoritedelaconcurrence.fr/fr/decision/relative-aux-tarifs-et-aux-conditions-liees-appliquees-par-les-banques-et-les" TargetMode="External"/><Relationship Id="rIdsx3fmanzkqac_r8fq_woc" Type="http://schemas.openxmlformats.org/officeDocument/2006/relationships/hyperlink" Target="https://www.autoritedelaconcurrence.fr/fr/decision/relative-aux-tarifs-et-aux-conditions-liees-appliquees-par-les-banques-et-les" TargetMode="External"/><Relationship Id="rIdde3vcvp2rioiwubal_jf5" Type="http://schemas.openxmlformats.org/officeDocument/2006/relationships/hyperlink" Target="https://www.autoritedelaconcurrence.fr/fr/decision/relative-aux-tarifs-et-aux-conditions-liees-appliquees-par-les-banques-et-les" TargetMode="External"/><Relationship Id="rIdcmlkr8wqrvbnoptyk1z3m" Type="http://schemas.openxmlformats.org/officeDocument/2006/relationships/hyperlink" Target="https://www.autoritedelaconcurrence.fr/fr/decision/relative-aux-tarifs-et-aux-conditions-liees-appliquees-par-les-banques-et-les" TargetMode="External"/><Relationship Id="rIdidchptqkfyt2q_lv7kqjn" Type="http://schemas.openxmlformats.org/officeDocument/2006/relationships/hyperlink" Target="https://www.autoritedelaconcurrence.fr/fr/decision/relative-aux-tarifs-et-aux-conditions-liees-appliquees-par-les-banques-et-les" TargetMode="External"/><Relationship Id="rIdtzdn3d_zmk_xc_5vuh1ek" Type="http://schemas.openxmlformats.org/officeDocument/2006/relationships/hyperlink" Target="https://www.autoritedelaconcurrence.fr/fr/decision/relative-aux-tarifs-et-aux-conditions-liees-appliquees-par-les-banques-et-les" TargetMode="External"/><Relationship Id="rIdjzzdpfrrptyyry4770s9h" Type="http://schemas.openxmlformats.org/officeDocument/2006/relationships/hyperlink" Target="https://www.autoritedelaconcurrence.fr/fr/decision/relative-aux-tarifs-et-aux-conditions-liees-appliquees-par-les-banques-et-les" TargetMode="External"/><Relationship Id="rId_kmcokqbhzmcdmzrqrlca" Type="http://schemas.openxmlformats.org/officeDocument/2006/relationships/hyperlink" Target="https://www.autoritedelaconcurrence.fr/fr/decision/relative-aux-tarifs-et-aux-conditions-liees-appliquees-par-les-banques-et-les" TargetMode="External"/><Relationship Id="rIddeymz3eprcs-n6cm7wu1t" Type="http://schemas.openxmlformats.org/officeDocument/2006/relationships/hyperlink" Target="https://www.autoritedelaconcurrence.fr/fr/decision/relative-aux-tarifs-et-aux-conditions-liees-appliquees-par-les-banques-et-les" TargetMode="External"/><Relationship Id="rIdlmg-gm_kyxkudh0gyeq3n" Type="http://schemas.openxmlformats.org/officeDocument/2006/relationships/hyperlink" Target="https://www.autoritedelaconcurrence.fr/fr/decision/relative-aux-tarifs-et-aux-conditions-liees-appliquees-par-les-banques-et-les" TargetMode="External"/><Relationship Id="rIdwj2rh4ddr1j__wub3acmk" Type="http://schemas.openxmlformats.org/officeDocument/2006/relationships/hyperlink" Target="https://www.autoritedelaconcurrence.fr/fr/decision/relative-aux-tarifs-et-aux-conditions-liees-appliquees-par-les-banques-et-les" TargetMode="External"/><Relationship Id="rIdqewd99kmlzwny3z2ajskf" Type="http://schemas.openxmlformats.org/officeDocument/2006/relationships/hyperlink" Target="https://www.autoritedelaconcurrence.fr/fr/decision/relative-aux-tarifs-et-aux-conditions-liees-appliquees-par-les-banques-et-les" TargetMode="External"/><Relationship Id="rIdyf78ym5zddji3ybjo3j62" Type="http://schemas.openxmlformats.org/officeDocument/2006/relationships/hyperlink" Target="https://www.autoritedelaconcurrence.fr/fr/decision/relative-aux-tarifs-et-aux-conditions-liees-appliquees-par-les-banques-et-les" TargetMode="External"/><Relationship Id="rIdbhafdj89liq9c37trg4yw" Type="http://schemas.openxmlformats.org/officeDocument/2006/relationships/hyperlink" Target="https://www.autoritedelaconcurrence.fr/fr/decision/relative-aux-tarifs-et-aux-conditions-liees-appliquees-par-les-banques-et-les" TargetMode="External"/><Relationship Id="rIdracqqaxhqgoh7aw-slp1n" Type="http://schemas.openxmlformats.org/officeDocument/2006/relationships/hyperlink" Target="https://www.autoritedelaconcurrence.fr/fr/decision/relative-des-pratiques-mises-en-oeuvre-par-le-groupement-des-cartes-bancaires" TargetMode="External"/><Relationship Id="rIdcuaux4g_l4vhqeljltg5-" Type="http://schemas.openxmlformats.org/officeDocument/2006/relationships/hyperlink" Target="https://www.autoritedelaconcurrence.fr/fr/decision/relative-des-pratiques-mises-en-oeuvre-par-le-groupement-des-cartes-bancaires" TargetMode="External"/><Relationship Id="rIdf8opiatlpjae3asljmuqz" Type="http://schemas.openxmlformats.org/officeDocument/2006/relationships/hyperlink" Target="https://www.autoritedelaconcurrence.fr/fr/decision/relative-des-pratiques-mises-en-oeuvre-par-le-groupement-des-cartes-bancaires" TargetMode="External"/><Relationship Id="rIdyot-2yvplllbgbcs--4vv" Type="http://schemas.openxmlformats.org/officeDocument/2006/relationships/hyperlink" Target="https://www.autoritedelaconcurrence.fr/fr/decision/relative-des-pratiques-mises-en-oeuvre-par-le-groupement-des-cartes-bancaires" TargetMode="External"/><Relationship Id="rIdlfd6ytabdsh1k0f_javx-" Type="http://schemas.openxmlformats.org/officeDocument/2006/relationships/hyperlink" Target="https://www.autoritedelaconcurrence.fr/fr/decision/relative-des-pratiques-mises-en-oeuvre-par-le-groupement-des-cartes-bancaires" TargetMode="External"/><Relationship Id="rIdk5bkkz5wa-bpqafdozi_l" Type="http://schemas.openxmlformats.org/officeDocument/2006/relationships/hyperlink" Target="https://www.autoritedelaconcurrence.fr/fr/decision/relative-des-pratiques-mises-en-oeuvre-par-le-groupement-des-cartes-bancaires" TargetMode="External"/><Relationship Id="rIdttr4bjbilh_2grt2a2yee" Type="http://schemas.openxmlformats.org/officeDocument/2006/relationships/hyperlink" Target="https://www.autoritedelaconcurrence.fr/fr/decision/relative-des-pratiques-mises-en-oeuvre-par-le-groupement-des-cartes-bancaires" TargetMode="External"/><Relationship Id="rIdioj675_vwdk4ia1eamjal" Type="http://schemas.openxmlformats.org/officeDocument/2006/relationships/hyperlink" Target="https://www.autoritedelaconcurrence.fr/fr/decision/relative-des-pratiques-mises-en-oeuvre-par-le-groupement-des-cartes-bancaires" TargetMode="External"/><Relationship Id="rIdi_etdoxupm5u3ee6ln4rb" Type="http://schemas.openxmlformats.org/officeDocument/2006/relationships/hyperlink" Target="https://www.autoritedelaconcurrence.fr/fr/decision/relative-des-pratiques-mises-en-oeuvre-par-le-groupement-des-cartes-bancaires" TargetMode="External"/><Relationship Id="rIdeox2y3nezjtbjn03amwg5" Type="http://schemas.openxmlformats.org/officeDocument/2006/relationships/hyperlink" Target="https://www.autoritedelaconcurrence.fr/fr/decision/relative-des-pratiques-mises-en-oeuvre-par-le-groupement-des-cartes-bancaires" TargetMode="External"/><Relationship Id="rIdaotfbtv5ykz365syiwjei" Type="http://schemas.openxmlformats.org/officeDocument/2006/relationships/hyperlink" Target="https://www.autoritedelaconcurrence.fr/fr/decision/relative-des-pratiques-mises-en-oeuvre-par-le-groupement-des-cartes-bancaires" TargetMode="External"/><Relationship Id="rIdwcosgjydxd5pzvlexet27" Type="http://schemas.openxmlformats.org/officeDocument/2006/relationships/hyperlink" Target="https://www.autoritedelaconcurrence.fr/fr/decision/relative-des-pratiques-mises-en-oeuvre-par-le-groupement-des-cartes-bancaires" TargetMode="External"/><Relationship Id="rIdajhcqbtxaf7mszxwsskhf" Type="http://schemas.openxmlformats.org/officeDocument/2006/relationships/hyperlink" Target="https://www.autoritedelaconcurrence.fr/fr/decision/relative-des-pratiques-mises-en-oeuvre-par-le-groupement-des-cartes-bancaires" TargetMode="External"/><Relationship Id="rIdws6fleznghenhvhs83-th" Type="http://schemas.openxmlformats.org/officeDocument/2006/relationships/hyperlink" Target="https://www.autoritedelaconcurrence.fr/fr/decision/relative-des-pratiques-mises-en-oeuvre-par-le-groupement-des-cartes-bancaires" TargetMode="External"/><Relationship Id="rIdudcjjjs49egirxix1co-p" Type="http://schemas.openxmlformats.org/officeDocument/2006/relationships/hyperlink" Target="https://www.autoritedelaconcurrence.fr/fr/decision/relative-des-pratiques-mises-en-oeuvre-par-le-groupement-des-cartes-bancaires" TargetMode="External"/><Relationship Id="rId5yrp-0bg-v81co29o8vjc" Type="http://schemas.openxmlformats.org/officeDocument/2006/relationships/hyperlink" Target="https://www.autoritedelaconcurrence.fr/fr/decision/relative-des-pratiques-mises-en-oeuvre-par-le-groupement-des-cartes-bancaires" TargetMode="External"/><Relationship Id="rIdwq6dris2uo1emaks8qsmr" Type="http://schemas.openxmlformats.org/officeDocument/2006/relationships/hyperlink" Target="https://www.autoritedelaconcurrence.fr/fr/decision/relative-des-pratiques-mises-en-oeuvre-par-le-groupement-des-cartes-bancaires" TargetMode="External"/><Relationship Id="rIdkpqwfpvw6nyxgarfsswzs" Type="http://schemas.openxmlformats.org/officeDocument/2006/relationships/hyperlink" Target="https://www.autoritedelaconcurrence.fr/fr/decision/relative-des-pratiques-mises-en-oeuvre-par-la-confederation-nationale-du-credit-mutuel" TargetMode="External"/><Relationship Id="rIdajl1zc70ypf_kxwnlmgon" Type="http://schemas.openxmlformats.org/officeDocument/2006/relationships/hyperlink" Target="https://www.autoritedelaconcurrence.fr/fr/decision/relative-des-pratiques-mises-en-oeuvre-dans-le-secteur-des-moyens-de-paiement-par-carte" TargetMode="External"/><Relationship Id="rIdqfm2ilvgvwsw6nmq1ifw_" Type="http://schemas.openxmlformats.org/officeDocument/2006/relationships/hyperlink" Target="https://www.autoritedelaconcurrence.fr/fr/decision/relative-des-pratiques-mises-en-oeuvre-dans-le-secteur-de-la-vente-dabonnements-des" TargetMode="External"/><Relationship Id="rIdu0-qndvwrunbkiifmj8xv" Type="http://schemas.openxmlformats.org/officeDocument/2006/relationships/hyperlink" Target="https://www.autoritedelaconcurrence.fr/fr/decision/relative-aux-tarifs-et-aux-conditions-liees-appliquees-par-les-banques-et-les" TargetMode="External"/><Relationship Id="rIdvli2pgvfknrhpvtp6aob1" Type="http://schemas.openxmlformats.org/officeDocument/2006/relationships/hyperlink" Target="https://www.autoritedelaconcurrence.fr/fr/decision/relative-des-pratiques-mises-en-oeuvre-par-le-groupement-des-cartes-bancaires" TargetMode="External"/><Relationship Id="rId1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2026-09-02T11:17:18.493Z</dcterms:created>
  <dcterms:modified xsi:type="dcterms:W3CDTF">2026-09-02T11:17:18.493Z</dcterms:modified>
</cp:coreProperties>
</file>

<file path=docProps/custom.xml><?xml version="1.0" encoding="utf-8"?>
<Properties xmlns="http://schemas.openxmlformats.org/officeDocument/2006/custom-properties" xmlns:vt="http://schemas.openxmlformats.org/officeDocument/2006/docPropsVTypes"/>
</file>