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Calibri" w:cs="Calibri" w:eastAsia="Calibri" w:hAnsi="Calibri"/>
          <w:b/>
          <w:bCs/>
          <w:color w:val="1F4E5F"/>
          <w:sz w:val="36"/>
          <w:szCs w:val="36"/>
        </w:rPr>
        <w:t xml:space="preserve">Response Transcript — Sample 5</w:t>
      </w:r>
    </w:p>
    <w:p>
      <w:pPr>
        <w:pBdr>
          <w:bottom w:val="single" w:color="BFBFBF" w:sz="6" w:space="1"/>
        </w:pBdr>
        <w:spacing w:after="240"/>
      </w:pPr>
    </w:p>
    <w:p>
      <w:pPr>
        <w:pStyle w:val="Heading1"/>
        <w:pBdr>
          <w:bottom w:val="single" w:color="1F4E5F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User Query</w:t>
      </w:r>
    </w:p>
    <w:p>
      <w:pPr>
        <w:pBdr>
          <w:left w:val="single" w:color="1F4E5F" w:sz="12" w:space="8"/>
        </w:pBdr>
        <w:spacing w:after="280"/>
        <w:ind w:left="431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Get me French cartel cases in the financial and insurance markets</w:t>
      </w:r>
    </w:p>
    <w:p>
      <w:pPr>
        <w:pStyle w:val="Heading1"/>
        <w:pBdr>
          <w:bottom w:val="single" w:color="1F4E5F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System Response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Here are the French cartel cases in the financial and insurance markets that I found: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Case 16-D-30 — relative à des pratiques mises en oeuvre par la Confédération Nationale du Crédit Mutuel dans le secteur bancaire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1F4E5F"/>
          <w:sz w:val="22"/>
          <w:szCs w:val="22"/>
        </w:rPr>
        <w:t xml:space="preserve">Case Background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case involves practices implemented by the Confédération Nationale du Crédit Mutuel (CNCM) in the banking sector.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Crédit Mutuel Arkéa (CMA) referred the practices to the Autorité de la concurrence, alleging collusive practices involving exchanges of information and market allocation.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Autorité de la concurrence declared the referral inadmissible, as the practices fell within the jurisdiction of the administrative court due to the public power prerogatives exercised by the CNCM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dgrufdq6aun8cru69bul2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[1]</w:t>
        </w:r>
      </w:hyperlink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1F4E5F"/>
          <w:sz w:val="22"/>
          <w:szCs w:val="22"/>
        </w:rPr>
        <w:t xml:space="preserve">Case Progression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case was initiated by a referral from CMA on October 6, 2014.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Autorité de la concurrence examined the practices but declared the referral inadmissible on December 21, 2016, as the practices were linked to public power prerogatives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ydfrekvzz7oonsclhixpi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[1]</w:t>
        </w:r>
      </w:hyperlink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1F4E5F"/>
          <w:sz w:val="22"/>
          <w:szCs w:val="22"/>
        </w:rPr>
        <w:t xml:space="preserve">Market Definition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case involved the banking sector, specifically focusing on the practices of the CNCM and its influence over Crédit Mutuel entities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x7s9q6uqvbu3tymadtlof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[1]</w:t>
        </w:r>
      </w:hyperlink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1F4E5F"/>
          <w:sz w:val="22"/>
          <w:szCs w:val="22"/>
        </w:rPr>
        <w:t xml:space="preserve">Legal &amp; Economic Tests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Autorité de la concurrence considered whether the practices constituted an agreement under Article 101 TFEU and French competition law.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practices were linked to the exercise of public power prerogatives, which fell outside the jurisdiction of the competition authority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1lavydsrfoaix_xr7fezj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[1]</w:t>
        </w:r>
      </w:hyperlink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1F4E5F"/>
          <w:sz w:val="22"/>
          <w:szCs w:val="22"/>
        </w:rPr>
        <w:t xml:space="preserve">Conclusion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referral was declared inadmissible as it involved acts manifesting public power prerogatives, which are under the jurisdiction of the administrative court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xz0hwbnddlaj16ydfwuxd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[1]</w:t>
        </w:r>
      </w:hyperlink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Case 19-D-18 — relative à des pratiques mises en œuvre dans le secteur des moyens de paiement par carte bancaire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1F4E5F"/>
          <w:sz w:val="22"/>
          <w:szCs w:val="22"/>
        </w:rPr>
        <w:t xml:space="preserve">Case Background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case involves practices in the card payment methods sector, with companies like Visa, Groupement des Cartes Bancaires, and Mastercard involved.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Dstorage, a company active in the e-commerce sector, referred the practices to the Autorité de la concurrence, alleging anti-competitive practices by payment service providers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aekuoapw3fafdfvipwffn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[2]</w:t>
        </w:r>
      </w:hyperlink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1F4E5F"/>
          <w:sz w:val="22"/>
          <w:szCs w:val="22"/>
        </w:rPr>
        <w:t xml:space="preserve">Case Progression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referral was registered on January 17, 2019.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Autorité de la concurrence rejected the substantive referral for lack of sufficiently probative elements and the request for interim measures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sukq05_6zqwek-eeii6d7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[2]</w:t>
        </w:r>
      </w:hyperlink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1F4E5F"/>
          <w:sz w:val="22"/>
          <w:szCs w:val="22"/>
        </w:rPr>
        <w:t xml:space="preserve">Market Definition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relevant markets include the upstream market for card payment systems and the downstream markets for card issuance and acquisition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n92jde21ca6dznalohqt5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[2]</w:t>
        </w:r>
      </w:hyperlink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1F4E5F"/>
          <w:sz w:val="22"/>
          <w:szCs w:val="22"/>
        </w:rPr>
        <w:t xml:space="preserve">Legal &amp; Economic Tests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Autorité examined whether the practices constituted anti-competitive agreements under Article 101 TFEU and French competition law.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practices were not found to have an anti-competitive object or effect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4gjcrvtonr3ph0azi9lj7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[2]</w:t>
        </w:r>
      </w:hyperlink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1F4E5F"/>
          <w:sz w:val="22"/>
          <w:szCs w:val="22"/>
        </w:rPr>
        <w:t xml:space="preserve">Conclusion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Autorité concluded that the collusion practices denounced by Dstorage were not supported by sufficiently probative elements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hpq6fvz0zu-ro0v8nnvnn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[2]</w:t>
        </w:r>
      </w:hyperlink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Case 23-D-04 — relative à des pratiques mises en œuvre dans le secteur de la vente d’abonnements à des produits d’intelligence économique (business intelligence) et d’information d’entreprise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1F4E5F"/>
          <w:sz w:val="22"/>
          <w:szCs w:val="22"/>
        </w:rPr>
        <w:t xml:space="preserve">Case Background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case involves practices in the sale of subscriptions to business intelligence products, with companies like Ellisphere and Bureau van Dijk involved.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Autorité de la concurrence sanctioned several companies for price-fixing and customer allocation practices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tisyjhkct70m5gkmp1vzj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[3]</w:t>
        </w:r>
      </w:hyperlink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1F4E5F"/>
          <w:sz w:val="22"/>
          <w:szCs w:val="22"/>
        </w:rPr>
        <w:t xml:space="preserve">Case Progression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case was initiated by a request from Moody's Corporation and its subsidiaries on July 11, 2019.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Autorité imposed a fine on Ellisphere and granted a total exemption from monetary sanctions to Bureau van Dijk and Moody’s Corporation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nlg5ozbgrnmstsghxixcm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[3]</w:t>
        </w:r>
      </w:hyperlink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1F4E5F"/>
          <w:sz w:val="22"/>
          <w:szCs w:val="22"/>
        </w:rPr>
        <w:t xml:space="preserve">Market Definition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relevant market is the sale of subscriptions to economic intelligence products, specifically business information products in France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urawfduiberi8afcjojbi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[3]</w:t>
        </w:r>
      </w:hyperlink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1F4E5F"/>
          <w:sz w:val="22"/>
          <w:szCs w:val="22"/>
        </w:rPr>
        <w:t xml:space="preserve">Legal &amp; Economic Tests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Autorité examined whether the practices constituted anti-competitive agreements under Article 101 TFEU and French competition law.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practices were found to have an anti-competitive object, involving joint price-setting and customer allocation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sq0m3emp19jz3tjhcmrox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[3]</w:t>
        </w:r>
      </w:hyperlink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1F4E5F"/>
          <w:sz w:val="22"/>
          <w:szCs w:val="22"/>
        </w:rPr>
        <w:t xml:space="preserve">Conclusion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Autorité imposed a fine of 3,500,000 euros on Ellisphere and granted a total exemption from monetary sanctions to Bureau van Dijk and Moody’s Corporation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ajvfatk19qckcnvcnzz0p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[3]</w:t>
        </w:r>
      </w:hyperlink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Case 10-D-28 — relative aux tarifs et aux conditions liées appliquées par les banques et les établissements financiers pour le traitement des chèques remis aux fins d’encaissement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1F4E5F"/>
          <w:sz w:val="22"/>
          <w:szCs w:val="22"/>
        </w:rPr>
        <w:t xml:space="preserve">Case Background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case involves price-fixing practices related to the processing of checks by banks and financial institutions.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Autorité de la concurrence found that several banks, including BNP-Paribas and Société Générale, violated competition law by establishing interbank commissions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8rboe1c-v7vfsqz5bd8ym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[4]</w:t>
        </w:r>
      </w:hyperlink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1F4E5F"/>
          <w:sz w:val="22"/>
          <w:szCs w:val="22"/>
        </w:rPr>
        <w:t xml:space="preserve">Case Progression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case was initiated by the Autorité de la concurrence, which conducted investigations and hearings.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Autorité imposed fines on several banks for their involvement in the collusion practices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mbdnogjpvrzeo7hwiugbj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[4]</w:t>
        </w:r>
      </w:hyperlink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1F4E5F"/>
          <w:sz w:val="22"/>
          <w:szCs w:val="22"/>
        </w:rPr>
        <w:t xml:space="preserve">Market Definition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relevant market involves the processing of checks and related banking services in France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hsxpbs2kh0j5zofihrkba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[4]</w:t>
        </w:r>
      </w:hyperlink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1F4E5F"/>
          <w:sz w:val="22"/>
          <w:szCs w:val="22"/>
        </w:rPr>
        <w:t xml:space="preserve">Legal &amp; Economic Tests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Autorité examined whether the practices constituted anti-competitive agreements under Article 101 TFEU and French competition law.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practices were found to have an anti-competitive object, involving the establishment of interbank commissions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ejlsxhlj8g0zlx321cawo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[4]</w:t>
        </w:r>
      </w:hyperlink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1F4E5F"/>
          <w:sz w:val="22"/>
          <w:szCs w:val="22"/>
        </w:rPr>
        <w:t xml:space="preserve">Conclusion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Autorité imposed fines on several banks, including BNP-Paribas and Société Générale, for their involvement in the collusion practices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bpg7w1ez_m1jgiw6cvnnq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[4]</w:t>
        </w:r>
      </w:hyperlink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Case 11-D-11 — relative à des pratiques mises en œuvre par le Groupement des Cartes Bancaires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1F4E5F"/>
          <w:sz w:val="22"/>
          <w:szCs w:val="22"/>
        </w:rPr>
        <w:t xml:space="preserve">Case Background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case involves price-fixing practices by the Groupement des Cartes Bancaires (CB) related to interbank commissions.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Autorité de la concurrence examined the practices and accepted commitments proposed by the Groupement to address competition concerns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zqfnolzpsgo0_4_-zfrxh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[5]</w:t>
        </w:r>
      </w:hyperlink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1F4E5F"/>
          <w:sz w:val="22"/>
          <w:szCs w:val="22"/>
        </w:rPr>
        <w:t xml:space="preserve">Case Progression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case was initiated by referrals from the Federation of Commerce and Distribution Enterprises and the Council of Commerce of France.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Autorité accepted commitments from the Groupement to address competition concerns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j_i9mpbanbosjcov5zrd7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[5]</w:t>
        </w:r>
      </w:hyperlink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1F4E5F"/>
          <w:sz w:val="22"/>
          <w:szCs w:val="22"/>
        </w:rPr>
        <w:t xml:space="preserve">Market Definition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relevant market involves card payment systems and related interbank commissions in France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tvu6tbptomxikfxeesymg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[5]</w:t>
        </w:r>
      </w:hyperlink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1F4E5F"/>
          <w:sz w:val="22"/>
          <w:szCs w:val="22"/>
        </w:rPr>
        <w:t xml:space="preserve">Legal &amp; Economic Tests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Autorité examined whether the practices constituted anti-competitive agreements under Article 101 TFEU and French competition law.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practices were found to have an anti-competitive object, involving the setting of interbank commissions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e0du51h1hfg64-av8n-eh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[5]</w:t>
        </w:r>
      </w:hyperlink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1F4E5F"/>
          <w:sz w:val="22"/>
          <w:szCs w:val="22"/>
        </w:rPr>
        <w:t xml:space="preserve">Conclusion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Autorité accepted commitments from the Groupement to address competition concerns and ensure compliance with competition law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hyperlink w:history="1" r:id="rId_as6sa0bsmk06vm4gqsae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[5]</w:t>
        </w:r>
      </w:hyperlink>
    </w:p>
    <w:p>
      <w:pPr>
        <w:pStyle w:val="Heading1"/>
        <w:pBdr>
          <w:bottom w:val="single" w:color="1F4E5F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Cited Sources</w:t>
      </w:r>
    </w:p>
    <w:p>
      <w:pPr>
        <w:pStyle w:val="ListParagraph"/>
        <w:numPr>
          <w:ilvl w:val="0"/>
          <w:numId w:val="2"/>
        </w:numPr>
        <w:spacing w:after="100"/>
      </w:pPr>
      <w:hyperlink w:history="1" r:id="rIdnp1o44e5rutgfeqfpj_ow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Autorité de la concurrence — Decision 16-D-30</w:t>
        </w:r>
      </w:hyperlink>
    </w:p>
    <w:p>
      <w:pPr>
        <w:pStyle w:val="ListParagraph"/>
        <w:numPr>
          <w:ilvl w:val="0"/>
          <w:numId w:val="2"/>
        </w:numPr>
        <w:spacing w:after="100"/>
      </w:pPr>
      <w:hyperlink w:history="1" r:id="rId0c6qc0cj0myttcqtv6upn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Autorité de la concurrence — Decision 19-D-18</w:t>
        </w:r>
      </w:hyperlink>
    </w:p>
    <w:p>
      <w:pPr>
        <w:pStyle w:val="ListParagraph"/>
        <w:numPr>
          <w:ilvl w:val="0"/>
          <w:numId w:val="2"/>
        </w:numPr>
        <w:spacing w:after="100"/>
      </w:pPr>
      <w:hyperlink w:history="1" r:id="rIddkvg2ambz3sgvjbqybjre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Autorité de la concurrence — Decision 23-D-04</w:t>
        </w:r>
      </w:hyperlink>
    </w:p>
    <w:p>
      <w:pPr>
        <w:pStyle w:val="ListParagraph"/>
        <w:numPr>
          <w:ilvl w:val="0"/>
          <w:numId w:val="2"/>
        </w:numPr>
        <w:spacing w:after="100"/>
      </w:pPr>
      <w:hyperlink w:history="1" r:id="rId5tk_ffbjra2w6y-wjfow6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Autorité de la concurrence — Decision 10-D-28</w:t>
        </w:r>
      </w:hyperlink>
    </w:p>
    <w:p>
      <w:pPr>
        <w:pStyle w:val="ListParagraph"/>
        <w:numPr>
          <w:ilvl w:val="0"/>
          <w:numId w:val="2"/>
        </w:numPr>
        <w:spacing w:after="100"/>
      </w:pPr>
      <w:hyperlink w:history="1" r:id="rIdb8o0jrllq-irfxaepdbzt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Autorité de la concurrence — Decision 11-D-11</w:t>
        </w:r>
      </w:hyperlink>
    </w:p>
    <w:sectPr>
      <w:headerReference w:type="default" r:id="rId7"/>
      <w:footerReference w:type="default" r:id="rId8"/>
      <w:pgSz w:w="12240" w:h="15840" w:orient="portrait"/>
      <w:pgMar w:top="1080" w:right="1350" w:bottom="108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t xml:space="preserve">Page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8"/>
        <w:szCs w:val="18"/>
      </w:rPr>
      <w:t xml:space="preserve">Competition-Law Assistant Evaluation — Blinded Transcript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dgrufdq6aun8cru69bul2" Type="http://schemas.openxmlformats.org/officeDocument/2006/relationships/hyperlink" Target="https://www.autoritedelaconcurrence.fr/fr/decision/relative-des-pratiques-mises-en-oeuvre-par-la-confederation-nationale-du-credit-mutuel" TargetMode="External"/><Relationship Id="rIdydfrekvzz7oonsclhixpi" Type="http://schemas.openxmlformats.org/officeDocument/2006/relationships/hyperlink" Target="https://www.autoritedelaconcurrence.fr/fr/decision/relative-des-pratiques-mises-en-oeuvre-par-la-confederation-nationale-du-credit-mutuel" TargetMode="External"/><Relationship Id="rIdx7s9q6uqvbu3tymadtlof" Type="http://schemas.openxmlformats.org/officeDocument/2006/relationships/hyperlink" Target="https://www.autoritedelaconcurrence.fr/fr/decision/relative-des-pratiques-mises-en-oeuvre-par-la-confederation-nationale-du-credit-mutuel" TargetMode="External"/><Relationship Id="rId1lavydsrfoaix_xr7fezj" Type="http://schemas.openxmlformats.org/officeDocument/2006/relationships/hyperlink" Target="https://www.autoritedelaconcurrence.fr/fr/decision/relative-des-pratiques-mises-en-oeuvre-par-la-confederation-nationale-du-credit-mutuel" TargetMode="External"/><Relationship Id="rIdxz0hwbnddlaj16ydfwuxd" Type="http://schemas.openxmlformats.org/officeDocument/2006/relationships/hyperlink" Target="https://www.autoritedelaconcurrence.fr/fr/decision/relative-des-pratiques-mises-en-oeuvre-par-la-confederation-nationale-du-credit-mutuel" TargetMode="External"/><Relationship Id="rIdaekuoapw3fafdfvipwffn" Type="http://schemas.openxmlformats.org/officeDocument/2006/relationships/hyperlink" Target="https://www.autoritedelaconcurrence.fr/fr/decision/relative-des-pratiques-mises-en-oeuvre-dans-le-secteur-des-moyens-de-paiement-par-carte" TargetMode="External"/><Relationship Id="rIdsukq05_6zqwek-eeii6d7" Type="http://schemas.openxmlformats.org/officeDocument/2006/relationships/hyperlink" Target="https://www.autoritedelaconcurrence.fr/fr/decision/relative-des-pratiques-mises-en-oeuvre-dans-le-secteur-des-moyens-de-paiement-par-carte" TargetMode="External"/><Relationship Id="rIdn92jde21ca6dznalohqt5" Type="http://schemas.openxmlformats.org/officeDocument/2006/relationships/hyperlink" Target="https://www.autoritedelaconcurrence.fr/fr/decision/relative-des-pratiques-mises-en-oeuvre-dans-le-secteur-des-moyens-de-paiement-par-carte" TargetMode="External"/><Relationship Id="rId4gjcrvtonr3ph0azi9lj7" Type="http://schemas.openxmlformats.org/officeDocument/2006/relationships/hyperlink" Target="https://www.autoritedelaconcurrence.fr/fr/decision/relative-des-pratiques-mises-en-oeuvre-dans-le-secteur-des-moyens-de-paiement-par-carte" TargetMode="External"/><Relationship Id="rIdhpq6fvz0zu-ro0v8nnvnn" Type="http://schemas.openxmlformats.org/officeDocument/2006/relationships/hyperlink" Target="https://www.autoritedelaconcurrence.fr/fr/decision/relative-des-pratiques-mises-en-oeuvre-dans-le-secteur-des-moyens-de-paiement-par-carte" TargetMode="External"/><Relationship Id="rIdtisyjhkct70m5gkmp1vzj" Type="http://schemas.openxmlformats.org/officeDocument/2006/relationships/hyperlink" Target="https://www.autoritedelaconcurrence.fr/fr/decision/relative-des-pratiques-mises-en-oeuvre-dans-le-secteur-de-la-vente-dabonnements-des" TargetMode="External"/><Relationship Id="rIdnlg5ozbgrnmstsghxixcm" Type="http://schemas.openxmlformats.org/officeDocument/2006/relationships/hyperlink" Target="https://www.autoritedelaconcurrence.fr/fr/decision/relative-des-pratiques-mises-en-oeuvre-dans-le-secteur-de-la-vente-dabonnements-des" TargetMode="External"/><Relationship Id="rIdurawfduiberi8afcjojbi" Type="http://schemas.openxmlformats.org/officeDocument/2006/relationships/hyperlink" Target="https://www.autoritedelaconcurrence.fr/fr/decision/relative-des-pratiques-mises-en-oeuvre-dans-le-secteur-de-la-vente-dabonnements-des" TargetMode="External"/><Relationship Id="rIdsq0m3emp19jz3tjhcmrox" Type="http://schemas.openxmlformats.org/officeDocument/2006/relationships/hyperlink" Target="https://www.autoritedelaconcurrence.fr/fr/decision/relative-des-pratiques-mises-en-oeuvre-dans-le-secteur-de-la-vente-dabonnements-des" TargetMode="External"/><Relationship Id="rIdajvfatk19qckcnvcnzz0p" Type="http://schemas.openxmlformats.org/officeDocument/2006/relationships/hyperlink" Target="https://www.autoritedelaconcurrence.fr/fr/decision/relative-des-pratiques-mises-en-oeuvre-dans-le-secteur-de-la-vente-dabonnements-des" TargetMode="External"/><Relationship Id="rId8rboe1c-v7vfsqz5bd8ym" Type="http://schemas.openxmlformats.org/officeDocument/2006/relationships/hyperlink" Target="https://www.autoritedelaconcurrence.fr/fr/decision/relative-aux-tarifs-et-aux-conditions-liees-appliquees-par-les-banques-et-les" TargetMode="External"/><Relationship Id="rIdmbdnogjpvrzeo7hwiugbj" Type="http://schemas.openxmlformats.org/officeDocument/2006/relationships/hyperlink" Target="https://www.autoritedelaconcurrence.fr/fr/decision/relative-aux-tarifs-et-aux-conditions-liees-appliquees-par-les-banques-et-les" TargetMode="External"/><Relationship Id="rIdhsxpbs2kh0j5zofihrkba" Type="http://schemas.openxmlformats.org/officeDocument/2006/relationships/hyperlink" Target="https://www.autoritedelaconcurrence.fr/fr/decision/relative-aux-tarifs-et-aux-conditions-liees-appliquees-par-les-banques-et-les" TargetMode="External"/><Relationship Id="rIdejlsxhlj8g0zlx321cawo" Type="http://schemas.openxmlformats.org/officeDocument/2006/relationships/hyperlink" Target="https://www.autoritedelaconcurrence.fr/fr/decision/relative-aux-tarifs-et-aux-conditions-liees-appliquees-par-les-banques-et-les" TargetMode="External"/><Relationship Id="rIdbpg7w1ez_m1jgiw6cvnnq" Type="http://schemas.openxmlformats.org/officeDocument/2006/relationships/hyperlink" Target="https://www.autoritedelaconcurrence.fr/fr/decision/relative-aux-tarifs-et-aux-conditions-liees-appliquees-par-les-banques-et-les" TargetMode="External"/><Relationship Id="rIdzqfnolzpsgo0_4_-zfrxh" Type="http://schemas.openxmlformats.org/officeDocument/2006/relationships/hyperlink" Target="https://www.autoritedelaconcurrence.fr/fr/decision/relative-des-pratiques-mises-en-oeuvre-par-le-groupement-des-cartes-bancaires" TargetMode="External"/><Relationship Id="rIdj_i9mpbanbosjcov5zrd7" Type="http://schemas.openxmlformats.org/officeDocument/2006/relationships/hyperlink" Target="https://www.autoritedelaconcurrence.fr/fr/decision/relative-des-pratiques-mises-en-oeuvre-par-le-groupement-des-cartes-bancaires" TargetMode="External"/><Relationship Id="rIdtvu6tbptomxikfxeesymg" Type="http://schemas.openxmlformats.org/officeDocument/2006/relationships/hyperlink" Target="https://www.autoritedelaconcurrence.fr/fr/decision/relative-des-pratiques-mises-en-oeuvre-par-le-groupement-des-cartes-bancaires" TargetMode="External"/><Relationship Id="rIde0du51h1hfg64-av8n-eh" Type="http://schemas.openxmlformats.org/officeDocument/2006/relationships/hyperlink" Target="https://www.autoritedelaconcurrence.fr/fr/decision/relative-des-pratiques-mises-en-oeuvre-par-le-groupement-des-cartes-bancaires" TargetMode="External"/><Relationship Id="rId_as6sa0bsmk06vm4gqsae" Type="http://schemas.openxmlformats.org/officeDocument/2006/relationships/hyperlink" Target="https://www.autoritedelaconcurrence.fr/fr/decision/relative-des-pratiques-mises-en-oeuvre-par-le-groupement-des-cartes-bancaires" TargetMode="External"/><Relationship Id="rIdnp1o44e5rutgfeqfpj_ow" Type="http://schemas.openxmlformats.org/officeDocument/2006/relationships/hyperlink" Target="https://www.autoritedelaconcurrence.fr/fr/decision/relative-des-pratiques-mises-en-oeuvre-par-la-confederation-nationale-du-credit-mutuel" TargetMode="External"/><Relationship Id="rId0c6qc0cj0myttcqtv6upn" Type="http://schemas.openxmlformats.org/officeDocument/2006/relationships/hyperlink" Target="https://www.autoritedelaconcurrence.fr/fr/decision/relative-des-pratiques-mises-en-oeuvre-dans-le-secteur-des-moyens-de-paiement-par-carte" TargetMode="External"/><Relationship Id="rIddkvg2ambz3sgvjbqybjre" Type="http://schemas.openxmlformats.org/officeDocument/2006/relationships/hyperlink" Target="https://www.autoritedelaconcurrence.fr/fr/decision/relative-des-pratiques-mises-en-oeuvre-dans-le-secteur-de-la-vente-dabonnements-des" TargetMode="External"/><Relationship Id="rId5tk_ffbjra2w6y-wjfow6" Type="http://schemas.openxmlformats.org/officeDocument/2006/relationships/hyperlink" Target="https://www.autoritedelaconcurrence.fr/fr/decision/relative-aux-tarifs-et-aux-conditions-liees-appliquees-par-les-banques-et-les" TargetMode="External"/><Relationship Id="rIdb8o0jrllq-irfxaepdbzt" Type="http://schemas.openxmlformats.org/officeDocument/2006/relationships/hyperlink" Target="https://www.autoritedelaconcurrence.fr/fr/decision/relative-des-pratiques-mises-en-oeuvre-par-le-groupement-des-cartes-bancaires" TargetMode="External"/><Relationship Id="rId3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2026-09-02T10:54:52.939Z</dcterms:created>
  <dcterms:modified xsi:type="dcterms:W3CDTF">2026-09-02T10:54:52.939Z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