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color w:val="1F4E5F"/>
          <w:sz w:val="32"/>
          <w:szCs w:val="32"/>
        </w:rPr>
        <w:t xml:space="preserve">Response Transcript — Sample 6</w:t>
      </w:r>
    </w:p>
    <w:p>
      <w:pPr>
        <w:pBdr>
          <w:bottom w:val="single" w:color="999999" w:sz="6" w:space="1"/>
        </w:pBdr>
        <w:spacing w:after="120" w:before="120"/>
      </w:pPr>
    </w:p>
    <w:p>
      <w:pPr>
        <w:spacing w:after="120" w:before="200"/>
      </w:pPr>
      <w:r>
        <w:rPr>
          <w:rFonts w:ascii="Calibri" w:cs="Calibri" w:eastAsia="Calibri" w:hAnsi="Calibri"/>
          <w:b/>
          <w:bCs/>
          <w:color w:val="1F4E5F"/>
          <w:sz w:val="28"/>
          <w:szCs w:val="28"/>
        </w:rPr>
        <w:t xml:space="preserve">User Query</w:t>
      </w:r>
    </w:p>
    <w:p>
      <w:pPr>
        <w:pBdr>
          <w:left w:val="single" w:color="1F4E5F" w:sz="12" w:space="8"/>
        </w:pBdr>
        <w:spacing w:after="240"/>
        <w:ind w:left="360"/>
      </w:pPr>
      <w:r>
        <w:rPr>
          <w:rFonts w:ascii="Calibri" w:cs="Calibri" w:eastAsia="Calibri" w:hAnsi="Calibri"/>
          <w:i/>
          <w:iCs/>
          <w:sz w:val="22"/>
          <w:szCs w:val="22"/>
        </w:rPr>
        <w:t xml:space="preserve">Get me French cartel cases in the financial and insurance markets</w:t>
      </w:r>
    </w:p>
    <w:p>
      <w:pPr>
        <w:spacing w:after="120" w:before="200"/>
      </w:pPr>
      <w:r>
        <w:rPr>
          <w:rFonts w:ascii="Calibri" w:cs="Calibri" w:eastAsia="Calibri" w:hAnsi="Calibri"/>
          <w:b/>
          <w:bCs/>
          <w:color w:val="1F4E5F"/>
          <w:sz w:val="28"/>
          <w:szCs w:val="28"/>
        </w:rPr>
        <w:t xml:space="preserve">System Response</w:t>
      </w:r>
    </w:p>
    <w:p>
      <w:pPr>
        <w:spacing w:after="160"/>
      </w:pPr>
      <w:r>
        <w:rPr>
          <w:rFonts w:ascii="Calibri" w:cs="Calibri" w:eastAsia="Calibri" w:hAnsi="Calibri"/>
          <w:b w:val="false"/>
          <w:bCs w:val="false"/>
          <w:i w:val="false"/>
          <w:iCs w:val="false"/>
          <w:sz w:val="22"/>
          <w:szCs w:val="22"/>
        </w:rPr>
        <w:t xml:space="preserve">If by </w:t>
      </w:r>
      <w:r>
        <w:rPr>
          <w:rFonts w:ascii="Calibri" w:cs="Calibri" w:eastAsia="Calibri" w:hAnsi="Calibri"/>
          <w:b/>
          <w:bCs/>
          <w:i w:val="false"/>
          <w:iCs w:val="false"/>
          <w:sz w:val="22"/>
          <w:szCs w:val="22"/>
        </w:rPr>
        <w:t xml:space="preserve">“French cartel cases”</w:t>
      </w:r>
      <w:r>
        <w:rPr>
          <w:rFonts w:ascii="Calibri" w:cs="Calibri" w:eastAsia="Calibri" w:hAnsi="Calibri"/>
          <w:b w:val="false"/>
          <w:bCs w:val="false"/>
          <w:i w:val="false"/>
          <w:iCs w:val="false"/>
          <w:sz w:val="22"/>
          <w:szCs w:val="22"/>
        </w:rPr>
        <w:t xml:space="preserve"> you mean competition-law cases involving </w:t>
      </w:r>
      <w:r>
        <w:rPr>
          <w:rFonts w:ascii="Calibri" w:cs="Calibri" w:eastAsia="Calibri" w:hAnsi="Calibri"/>
          <w:b/>
          <w:bCs/>
          <w:i w:val="false"/>
          <w:iCs w:val="false"/>
          <w:sz w:val="22"/>
          <w:szCs w:val="22"/>
        </w:rPr>
        <w:t xml:space="preserve">cartels/anticompetitive agreements in France’s financial and insurance markets</w:t>
      </w:r>
      <w:r>
        <w:rPr>
          <w:rFonts w:ascii="Calibri" w:cs="Calibri" w:eastAsia="Calibri" w:hAnsi="Calibri"/>
          <w:b w:val="false"/>
          <w:bCs w:val="false"/>
          <w:i w:val="false"/>
          <w:iCs w:val="false"/>
          <w:sz w:val="22"/>
          <w:szCs w:val="22"/>
        </w:rPr>
        <w:t xml:space="preserve">, there are several important precedents.</w:t>
      </w:r>
    </w:p>
    <w:p>
      <w:pPr>
        <w:spacing w:after="120" w:before="240"/>
      </w:pPr>
      <w:r>
        <w:rPr>
          <w:rFonts w:ascii="Calibri" w:cs="Calibri" w:eastAsia="Calibri" w:hAnsi="Calibri"/>
          <w:b/>
          <w:bCs/>
          <w:i w:val="false"/>
          <w:iCs w:val="false"/>
          <w:sz w:val="22"/>
          <w:szCs w:val="22"/>
        </w:rPr>
        <w:t xml:space="preserve">Banking / financial markets</w:t>
      </w:r>
    </w:p>
    <w:p>
      <w:pPr>
        <w:pStyle w:val="ListParagraph"/>
        <w:numPr>
          <w:ilvl w:val="0"/>
          <w:numId w:val="1"/>
        </w:numPr>
        <w:spacing w:after="12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Mortgage lending cartel — Decision 00-D-28 (2000).</w:t>
      </w:r>
      <w:r>
        <w:rPr>
          <w:rFonts w:ascii="Calibri" w:cs="Calibri" w:eastAsia="Calibri" w:hAnsi="Calibri"/>
          <w:b w:val="false"/>
          <w:bCs w:val="false"/>
          <w:i w:val="false"/>
          <w:iCs w:val="false"/>
          <w:sz w:val="22"/>
          <w:szCs w:val="22"/>
        </w:rPr>
        <w:t xml:space="preserve"> The French Competition Council found that major banks had entered a </w:t>
      </w:r>
      <w:r>
        <w:rPr>
          <w:rFonts w:ascii="Calibri" w:cs="Calibri" w:eastAsia="Calibri" w:hAnsi="Calibri"/>
          <w:b/>
          <w:bCs/>
          <w:i w:val="false"/>
          <w:iCs w:val="false"/>
          <w:sz w:val="22"/>
          <w:szCs w:val="22"/>
        </w:rPr>
        <w:t xml:space="preserve">“pacte de non-agression interbanque”</w:t>
      </w:r>
      <w:r>
        <w:rPr>
          <w:rFonts w:ascii="Calibri" w:cs="Calibri" w:eastAsia="Calibri" w:hAnsi="Calibri"/>
          <w:b w:val="false"/>
          <w:bCs w:val="false"/>
          <w:i w:val="false"/>
          <w:iCs w:val="false"/>
          <w:sz w:val="22"/>
          <w:szCs w:val="22"/>
        </w:rPr>
        <w:t xml:space="preserve"> in 1993–94: banks agreed not to approach one another’s customers who wanted to renegotiate their mortgages. Nine banking groups were sanctioned, with total fines exceeding </w:t>
      </w:r>
      <w:r>
        <w:rPr>
          <w:rFonts w:ascii="Calibri" w:cs="Calibri" w:eastAsia="Calibri" w:hAnsi="Calibri"/>
          <w:b/>
          <w:bCs/>
          <w:i w:val="false"/>
          <w:iCs w:val="false"/>
          <w:sz w:val="22"/>
          <w:szCs w:val="22"/>
        </w:rPr>
        <w:t xml:space="preserve">FRF 1 billion</w:t>
      </w:r>
      <w:r>
        <w:rPr>
          <w:rFonts w:ascii="Calibri" w:cs="Calibri" w:eastAsia="Calibri" w:hAnsi="Calibri"/>
          <w:b w:val="false"/>
          <w:bCs w:val="false"/>
          <w:i w:val="false"/>
          <w:iCs w:val="false"/>
          <w:sz w:val="22"/>
          <w:szCs w:val="22"/>
        </w:rPr>
        <w:t xml:space="preserve">. </w:t>
      </w:r>
      <w:hyperlink w:history="1" r:id="rId_6s6hwe_vkh6zaqhgzwav">
        <w:r>
          <w:rPr>
            <w:rStyle w:val="Hyperlink"/>
            <w:rFonts w:ascii="Calibri" w:cs="Calibri" w:eastAsia="Calibri" w:hAnsi="Calibri"/>
            <w:sz w:val="22"/>
            <w:szCs w:val="22"/>
          </w:rPr>
          <w:t xml:space="preserve">[1]</w:t>
        </w:r>
      </w:hyperlink>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
</w:t>
      </w:r>
      <w:hyperlink w:history="1" r:id="rId4czemb5flcgm_1jhiwdyl">
        <w:r>
          <w:rPr>
            <w:rStyle w:val="Hyperlink"/>
            <w:rFonts w:ascii="Calibri" w:cs="Calibri" w:eastAsia="Calibri" w:hAnsi="Calibri"/>
            <w:sz w:val="22"/>
            <w:szCs w:val="22"/>
          </w:rPr>
          <w:t xml:space="preserve">[1]</w:t>
        </w:r>
      </w:hyperlink>
      <w:r>
        <w:rPr>
          <w:rFonts w:ascii="Calibri" w:cs="Calibri" w:eastAsia="Calibri" w:hAnsi="Calibri"/>
          <w:b w:val="false"/>
          <w:bCs w:val="false"/>
          <w:i w:val="false"/>
          <w:iCs w:val="false"/>
          <w:sz w:val="22"/>
          <w:szCs w:val="22"/>
        </w:rPr>
        <w:t xml:space="preserve">
</w:t>
      </w:r>
    </w:p>
    <w:p>
      <w:pPr>
        <w:pStyle w:val="ListParagraph"/>
        <w:numPr>
          <w:ilvl w:val="0"/>
          <w:numId w:val="1"/>
        </w:numPr>
        <w:spacing w:after="12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Cheque-processing cartel — Decision in 2010.</w:t>
      </w:r>
      <w:r>
        <w:rPr>
          <w:rFonts w:ascii="Calibri" w:cs="Calibri" w:eastAsia="Calibri" w:hAnsi="Calibri"/>
          <w:b w:val="false"/>
          <w:bCs w:val="false"/>
          <w:i w:val="false"/>
          <w:iCs w:val="false"/>
          <w:sz w:val="22"/>
          <w:szCs w:val="22"/>
        </w:rPr>
        <w:t xml:space="preserve"> Eleven banks, including BNP Paribas, Société Générale, Crédit Agricole, Crédit Mutuel, LCL, HSBC and others, were fined a combined </w:t>
      </w:r>
      <w:r>
        <w:rPr>
          <w:rFonts w:ascii="Calibri" w:cs="Calibri" w:eastAsia="Calibri" w:hAnsi="Calibri"/>
          <w:b/>
          <w:bCs/>
          <w:i w:val="false"/>
          <w:iCs w:val="false"/>
          <w:sz w:val="22"/>
          <w:szCs w:val="22"/>
        </w:rPr>
        <w:t xml:space="preserve">€384.9 million</w:t>
      </w:r>
      <w:r>
        <w:rPr>
          <w:rFonts w:ascii="Calibri" w:cs="Calibri" w:eastAsia="Calibri" w:hAnsi="Calibri"/>
          <w:b w:val="false"/>
          <w:bCs w:val="false"/>
          <w:i w:val="false"/>
          <w:iCs w:val="false"/>
          <w:sz w:val="22"/>
          <w:szCs w:val="22"/>
        </w:rPr>
        <w:t xml:space="preserve"> for concerted interbank commissions associated with the dematerialisation of cheque processing. The Authority characterized the conduct as a horizontal agreement, although it noted that it was not a secret cartel. </w:t>
      </w:r>
      <w:hyperlink w:history="1" r:id="rIdz7otvtr1ugyub6t-znurw">
        <w:r>
          <w:rPr>
            <w:rStyle w:val="Hyperlink"/>
            <w:rFonts w:ascii="Calibri" w:cs="Calibri" w:eastAsia="Calibri" w:hAnsi="Calibri"/>
            <w:sz w:val="22"/>
            <w:szCs w:val="22"/>
          </w:rPr>
          <w:t xml:space="preserve">[2]</w:t>
        </w:r>
      </w:hyperlink>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
</w:t>
      </w:r>
      <w:hyperlink w:history="1" r:id="rId56yjhtbjzjtqpysfk8mf8">
        <w:r>
          <w:rPr>
            <w:rStyle w:val="Hyperlink"/>
            <w:rFonts w:ascii="Calibri" w:cs="Calibri" w:eastAsia="Calibri" w:hAnsi="Calibri"/>
            <w:sz w:val="22"/>
            <w:szCs w:val="22"/>
          </w:rPr>
          <w:t xml:space="preserve">[2]</w:t>
        </w:r>
      </w:hyperlink>
      <w:r>
        <w:rPr>
          <w:rFonts w:ascii="Calibri" w:cs="Calibri" w:eastAsia="Calibri" w:hAnsi="Calibri"/>
          <w:b w:val="false"/>
          <w:bCs w:val="false"/>
          <w:i w:val="false"/>
          <w:iCs w:val="false"/>
          <w:sz w:val="22"/>
          <w:szCs w:val="22"/>
        </w:rPr>
        <w:t xml:space="preserve">
</w:t>
      </w:r>
    </w:p>
    <w:p>
      <w:pPr>
        <w:pStyle w:val="ListParagraph"/>
        <w:numPr>
          <w:ilvl w:val="0"/>
          <w:numId w:val="1"/>
        </w:numPr>
        <w:spacing w:after="12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Bank-card interchange fees — 2011.</w:t>
      </w:r>
      <w:r>
        <w:rPr>
          <w:rFonts w:ascii="Calibri" w:cs="Calibri" w:eastAsia="Calibri" w:hAnsi="Calibri"/>
          <w:b w:val="false"/>
          <w:bCs w:val="false"/>
          <w:i w:val="false"/>
          <w:iCs w:val="false"/>
          <w:sz w:val="22"/>
          <w:szCs w:val="22"/>
        </w:rPr>
        <w:t xml:space="preserve"> The Authority raised competition concerns over the </w:t>
      </w:r>
      <w:r>
        <w:rPr>
          <w:rFonts w:ascii="Calibri" w:cs="Calibri" w:eastAsia="Calibri" w:hAnsi="Calibri"/>
          <w:b/>
          <w:bCs/>
          <w:i w:val="false"/>
          <w:iCs w:val="false"/>
          <w:sz w:val="22"/>
          <w:szCs w:val="22"/>
        </w:rPr>
        <w:t xml:space="preserve">joint setting of interbank card-payment commissions</w:t>
      </w:r>
      <w:r>
        <w:rPr>
          <w:rFonts w:ascii="Calibri" w:cs="Calibri" w:eastAsia="Calibri" w:hAnsi="Calibri"/>
          <w:b w:val="false"/>
          <w:bCs w:val="false"/>
          <w:i w:val="false"/>
          <w:iCs w:val="false"/>
          <w:sz w:val="22"/>
          <w:szCs w:val="22"/>
        </w:rPr>
        <w:t xml:space="preserve"> by the Groupement des Cartes Bancaires, considering that the arrangement could serve as a vehicle for coordination among France's major banks. The case was handled through commitments rather than a cartel fine. </w:t>
      </w:r>
      <w:hyperlink w:history="1" r:id="rId_vb6ljkib6n5l3knbsikq">
        <w:r>
          <w:rPr>
            <w:rStyle w:val="Hyperlink"/>
            <w:rFonts w:ascii="Calibri" w:cs="Calibri" w:eastAsia="Calibri" w:hAnsi="Calibri"/>
            <w:sz w:val="22"/>
            <w:szCs w:val="22"/>
          </w:rPr>
          <w:t xml:space="preserve">[3]</w:t>
        </w:r>
      </w:hyperlink>
      <w:hyperlink w:history="1" r:id="rIddq8mxukhbv10-o1qxmuad">
        <w:r>
          <w:rPr>
            <w:rStyle w:val="Hyperlink"/>
            <w:rFonts w:ascii="Calibri" w:cs="Calibri" w:eastAsia="Calibri" w:hAnsi="Calibri"/>
            <w:sz w:val="22"/>
            <w:szCs w:val="22"/>
          </w:rPr>
          <w:t xml:space="preserve">[4]</w:t>
        </w:r>
      </w:hyperlink>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
</w:t>
      </w:r>
      <w:hyperlink w:history="1" r:id="rIdada9zptzs_rdyni104ic-">
        <w:r>
          <w:rPr>
            <w:rStyle w:val="Hyperlink"/>
            <w:rFonts w:ascii="Calibri" w:cs="Calibri" w:eastAsia="Calibri" w:hAnsi="Calibri"/>
            <w:sz w:val="22"/>
            <w:szCs w:val="22"/>
          </w:rPr>
          <w:t xml:space="preserve">[4]</w:t>
        </w:r>
      </w:hyperlink>
      <w:r>
        <w:rPr>
          <w:rFonts w:ascii="Calibri" w:cs="Calibri" w:eastAsia="Calibri" w:hAnsi="Calibri"/>
          <w:b w:val="false"/>
          <w:bCs w:val="false"/>
          <w:i w:val="false"/>
          <w:iCs w:val="false"/>
          <w:sz w:val="22"/>
          <w:szCs w:val="22"/>
        </w:rPr>
        <w:t xml:space="preserve">
</w:t>
      </w:r>
    </w:p>
    <w:p>
      <w:pPr>
        <w:spacing w:after="120" w:before="240"/>
      </w:pPr>
      <w:r>
        <w:rPr>
          <w:rFonts w:ascii="Calibri" w:cs="Calibri" w:eastAsia="Calibri" w:hAnsi="Calibri"/>
          <w:b/>
          <w:bCs/>
          <w:i w:val="false"/>
          <w:iCs w:val="false"/>
          <w:sz w:val="22"/>
          <w:szCs w:val="22"/>
        </w:rPr>
        <w:t xml:space="preserve">Insurance</w:t>
      </w:r>
    </w:p>
    <w:p>
      <w:pPr>
        <w:pStyle w:val="ListParagraph"/>
        <w:numPr>
          <w:ilvl w:val="0"/>
          <w:numId w:val="1"/>
        </w:numPr>
        <w:spacing w:after="12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Assurpol environmental-liability insurance pool — European Commission Decision 92/96/EEC.</w:t>
      </w:r>
      <w:r>
        <w:rPr>
          <w:rFonts w:ascii="Calibri" w:cs="Calibri" w:eastAsia="Calibri" w:hAnsi="Calibri"/>
          <w:b w:val="false"/>
          <w:bCs w:val="false"/>
          <w:i w:val="false"/>
          <w:iCs w:val="false"/>
          <w:sz w:val="22"/>
          <w:szCs w:val="22"/>
        </w:rPr>
        <w:t xml:space="preserve"> This is a particularly useful French insurance cartel precedent. Assurpol was a </w:t>
      </w:r>
      <w:r>
        <w:rPr>
          <w:rFonts w:ascii="Calibri" w:cs="Calibri" w:eastAsia="Calibri" w:hAnsi="Calibri"/>
          <w:b/>
          <w:bCs/>
          <w:i w:val="false"/>
          <w:iCs w:val="false"/>
          <w:sz w:val="22"/>
          <w:szCs w:val="22"/>
        </w:rPr>
        <w:t xml:space="preserve">co-reinsurance pool involving insurance and reinsurance companies covering environmental-damage risks from industrial and commercial installations in France</w:t>
      </w:r>
      <w:r>
        <w:rPr>
          <w:rFonts w:ascii="Calibri" w:cs="Calibri" w:eastAsia="Calibri" w:hAnsi="Calibri"/>
          <w:b w:val="false"/>
          <w:bCs w:val="false"/>
          <w:i w:val="false"/>
          <w:iCs w:val="false"/>
          <w:sz w:val="22"/>
          <w:szCs w:val="22"/>
        </w:rPr>
        <w:t xml:space="preserve">. The Commission found that the arrangements coordinated the insurers' competitive behaviour and restricted competition in direct insurance, reinsurance and retrocession. In particular, participating insurers lost independence over policy conditions and certain premium-setting decisions. </w:t>
      </w:r>
      <w:hyperlink w:history="1" r:id="rIdd5z0argp5qxk-wb3kpbp0">
        <w:r>
          <w:rPr>
            <w:rStyle w:val="Hyperlink"/>
            <w:rFonts w:ascii="Calibri" w:cs="Calibri" w:eastAsia="Calibri" w:hAnsi="Calibri"/>
            <w:sz w:val="22"/>
            <w:szCs w:val="22"/>
          </w:rPr>
          <w:t xml:space="preserve">[5]</w:t>
        </w:r>
      </w:hyperlink>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
</w:t>
      </w:r>
      <w:hyperlink w:history="1" r:id="rIduyns_b_qnrpjyavr657dm">
        <w:r>
          <w:rPr>
            <w:rStyle w:val="Hyperlink"/>
            <w:rFonts w:ascii="Calibri" w:cs="Calibri" w:eastAsia="Calibri" w:hAnsi="Calibri"/>
            <w:sz w:val="22"/>
            <w:szCs w:val="22"/>
          </w:rPr>
          <w:t xml:space="preserve">[5]</w:t>
        </w:r>
      </w:hyperlink>
      <w:r>
        <w:rPr>
          <w:rFonts w:ascii="Calibri" w:cs="Calibri" w:eastAsia="Calibri" w:hAnsi="Calibri"/>
          <w:b w:val="false"/>
          <w:bCs w:val="false"/>
          <w:i w:val="false"/>
          <w:iCs w:val="false"/>
          <w:sz w:val="22"/>
          <w:szCs w:val="22"/>
        </w:rPr>
        <w:t xml:space="preserve">
</w:t>
      </w:r>
    </w:p>
    <w:p>
      <w:pPr>
        <w:pStyle w:val="ListParagraph"/>
        <w:numPr>
          <w:ilvl w:val="0"/>
          <w:numId w:val="1"/>
        </w:numPr>
        <w:spacing w:after="12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Insurance cooperation / information exchange — French Competition Authority, 2021.</w:t>
      </w:r>
      <w:r>
        <w:rPr>
          <w:rFonts w:ascii="Calibri" w:cs="Calibri" w:eastAsia="Calibri" w:hAnsi="Calibri"/>
          <w:b w:val="false"/>
          <w:bCs w:val="false"/>
          <w:i w:val="false"/>
          <w:iCs w:val="false"/>
          <w:sz w:val="22"/>
          <w:szCs w:val="22"/>
        </w:rPr>
        <w:t xml:space="preserve"> In its insurance-sector opinion, the Authority discussed the risk that insurers forming co-insurance/co-reinsurance groups or pooling claims data could constitute an </w:t>
      </w:r>
      <w:r>
        <w:rPr>
          <w:rFonts w:ascii="Calibri" w:cs="Calibri" w:eastAsia="Calibri" w:hAnsi="Calibri"/>
          <w:b/>
          <w:bCs/>
          <w:i w:val="false"/>
          <w:iCs w:val="false"/>
          <w:sz w:val="22"/>
          <w:szCs w:val="22"/>
        </w:rPr>
        <w:t xml:space="preserve">“entente”</w:t>
      </w:r>
      <w:r>
        <w:rPr>
          <w:rFonts w:ascii="Calibri" w:cs="Calibri" w:eastAsia="Calibri" w:hAnsi="Calibri"/>
          <w:b w:val="false"/>
          <w:bCs w:val="false"/>
          <w:i w:val="false"/>
          <w:iCs w:val="false"/>
          <w:sz w:val="22"/>
          <w:szCs w:val="22"/>
        </w:rPr>
        <w:t xml:space="preserve"> under French and EU competition law. It expressly referred to the Assurpol precedent and to earlier French cases concerning information exchanges. </w:t>
      </w:r>
      <w:hyperlink w:history="1" r:id="rIdtpqqr1d9fcyf6wp1h4cps">
        <w:r>
          <w:rPr>
            <w:rStyle w:val="Hyperlink"/>
            <w:rFonts w:ascii="Calibri" w:cs="Calibri" w:eastAsia="Calibri" w:hAnsi="Calibri"/>
            <w:sz w:val="22"/>
            <w:szCs w:val="22"/>
          </w:rPr>
          <w:t xml:space="preserve">[6]</w:t>
        </w:r>
      </w:hyperlink>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
</w:t>
      </w:r>
      <w:hyperlink w:history="1" r:id="rId_zkjc_mcqngfdza_3-nph">
        <w:r>
          <w:rPr>
            <w:rStyle w:val="Hyperlink"/>
            <w:rFonts w:ascii="Calibri" w:cs="Calibri" w:eastAsia="Calibri" w:hAnsi="Calibri"/>
            <w:sz w:val="22"/>
            <w:szCs w:val="22"/>
          </w:rPr>
          <w:t xml:space="preserve">[6]</w:t>
        </w:r>
      </w:hyperlink>
      <w:r>
        <w:rPr>
          <w:rFonts w:ascii="Calibri" w:cs="Calibri" w:eastAsia="Calibri" w:hAnsi="Calibri"/>
          <w:b w:val="false"/>
          <w:bCs w:val="false"/>
          <w:i w:val="false"/>
          <w:iCs w:val="false"/>
          <w:sz w:val="22"/>
          <w:szCs w:val="22"/>
        </w:rPr>
        <w:t xml:space="preserve">
</w:t>
      </w:r>
    </w:p>
    <w:p>
      <w:pPr>
        <w:spacing w:after="120" w:before="240"/>
      </w:pPr>
      <w:r>
        <w:rPr>
          <w:rFonts w:ascii="Calibri" w:cs="Calibri" w:eastAsia="Calibri" w:hAnsi="Calibri"/>
          <w:b/>
          <w:bCs/>
          <w:i w:val="false"/>
          <w:iCs w:val="false"/>
          <w:sz w:val="22"/>
          <w:szCs w:val="22"/>
        </w:rPr>
        <w:t xml:space="preserve">A useful distinction</w:t>
      </w:r>
    </w:p>
    <w:p>
      <w:pPr>
        <w:spacing w:after="160"/>
      </w:pPr>
      <w:r>
        <w:rPr>
          <w:rFonts w:ascii="Calibri" w:cs="Calibri" w:eastAsia="Calibri" w:hAnsi="Calibri"/>
          <w:b w:val="false"/>
          <w:bCs w:val="false"/>
          <w:i w:val="false"/>
          <w:iCs w:val="false"/>
          <w:sz w:val="22"/>
          <w:szCs w:val="22"/>
        </w:rPr>
        <w:t xml:space="preserve">Not every French financial/insurance competition case is technically a </w:t>
      </w:r>
      <w:r>
        <w:rPr>
          <w:rFonts w:ascii="Calibri" w:cs="Calibri" w:eastAsia="Calibri" w:hAnsi="Calibri"/>
          <w:b/>
          <w:bCs/>
          <w:i w:val="false"/>
          <w:iCs w:val="false"/>
          <w:sz w:val="22"/>
          <w:szCs w:val="22"/>
        </w:rPr>
        <w:t xml:space="preserve">cartel</w:t>
      </w:r>
      <w:r>
        <w:rPr>
          <w:rFonts w:ascii="Calibri" w:cs="Calibri" w:eastAsia="Calibri" w:hAnsi="Calibri"/>
          <w:b w:val="false"/>
          <w:bCs w:val="false"/>
          <w:i w:val="false"/>
          <w:iCs w:val="false"/>
          <w:sz w:val="22"/>
          <w:szCs w:val="22"/>
        </w:rPr>
        <w:t xml:space="preserve">. For example, the 2011 card-commission matter involved competition concerns and commitments, while the 2000 mortgage and 2010 cheque cases resulted in substantial sanctions. The </w:t>
      </w:r>
      <w:r>
        <w:rPr>
          <w:rFonts w:ascii="Calibri" w:cs="Calibri" w:eastAsia="Calibri" w:hAnsi="Calibri"/>
          <w:b/>
          <w:bCs/>
          <w:i w:val="false"/>
          <w:iCs w:val="false"/>
          <w:sz w:val="22"/>
          <w:szCs w:val="22"/>
        </w:rPr>
        <w:t xml:space="preserve">Assurpol</w:t>
      </w:r>
      <w:r>
        <w:rPr>
          <w:rFonts w:ascii="Calibri" w:cs="Calibri" w:eastAsia="Calibri" w:hAnsi="Calibri"/>
          <w:b w:val="false"/>
          <w:bCs w:val="false"/>
          <w:i w:val="false"/>
          <w:iCs w:val="false"/>
          <w:sz w:val="22"/>
          <w:szCs w:val="22"/>
        </w:rPr>
        <w:t xml:space="preserve"> case is particularly valuable if you're researching </w:t>
      </w:r>
      <w:r>
        <w:rPr>
          <w:rFonts w:ascii="Calibri" w:cs="Calibri" w:eastAsia="Calibri" w:hAnsi="Calibri"/>
          <w:b w:val="false"/>
          <w:bCs w:val="false"/>
          <w:i/>
          <w:iCs/>
          <w:sz w:val="22"/>
          <w:szCs w:val="22"/>
        </w:rPr>
        <w:t xml:space="preserve">insurance-sector cartel/co-reinsurance arrangements</w:t>
      </w:r>
      <w:r>
        <w:rPr>
          <w:rFonts w:ascii="Calibri" w:cs="Calibri" w:eastAsia="Calibri" w:hAnsi="Calibri"/>
          <w:b w:val="false"/>
          <w:bCs w:val="false"/>
          <w:i w:val="false"/>
          <w:iCs w:val="false"/>
          <w:sz w:val="22"/>
          <w:szCs w:val="22"/>
        </w:rPr>
        <w:t xml:space="preserve"> specifically.</w:t>
      </w:r>
    </w:p>
    <w:p>
      <w:pPr>
        <w:spacing w:after="160"/>
      </w:pPr>
      <w:r>
        <w:rPr>
          <w:rFonts w:ascii="Calibri" w:cs="Calibri" w:eastAsia="Calibri" w:hAnsi="Calibri"/>
          <w:b w:val="false"/>
          <w:bCs w:val="false"/>
          <w:i w:val="false"/>
          <w:iCs w:val="false"/>
          <w:sz w:val="22"/>
          <w:szCs w:val="22"/>
        </w:rPr>
        <w:t xml:space="preserve">If you're using these for </w:t>
      </w:r>
      <w:r>
        <w:rPr>
          <w:rFonts w:ascii="Calibri" w:cs="Calibri" w:eastAsia="Calibri" w:hAnsi="Calibri"/>
          <w:b/>
          <w:bCs/>
          <w:i w:val="false"/>
          <w:iCs w:val="false"/>
          <w:sz w:val="22"/>
          <w:szCs w:val="22"/>
        </w:rPr>
        <w:t xml:space="preserve">legal research, litigation, compliance, or an academic paper</w:t>
      </w:r>
      <w:r>
        <w:rPr>
          <w:rFonts w:ascii="Calibri" w:cs="Calibri" w:eastAsia="Calibri" w:hAnsi="Calibri"/>
          <w:b w:val="false"/>
          <w:bCs w:val="false"/>
          <w:i w:val="false"/>
          <w:iCs w:val="false"/>
          <w:sz w:val="22"/>
          <w:szCs w:val="22"/>
        </w:rPr>
        <w:t xml:space="preserve">, I can also compile a </w:t>
      </w:r>
      <w:r>
        <w:rPr>
          <w:rFonts w:ascii="Calibri" w:cs="Calibri" w:eastAsia="Calibri" w:hAnsi="Calibri"/>
          <w:b/>
          <w:bCs/>
          <w:i w:val="false"/>
          <w:iCs w:val="false"/>
          <w:sz w:val="22"/>
          <w:szCs w:val="22"/>
        </w:rPr>
        <w:t xml:space="preserve">case table of ~15–20 French banking/insurance cartel decisions with case number, date, parties, conduct, fine, legal provisions (L.420-1 / Article 101 TFEU), and outcome</w:t>
      </w:r>
      <w:r>
        <w:rPr>
          <w:rFonts w:ascii="Calibri" w:cs="Calibri" w:eastAsia="Calibri" w:hAnsi="Calibri"/>
          <w:b w:val="false"/>
          <w:bCs w:val="false"/>
          <w:i w:val="false"/>
          <w:iCs w:val="false"/>
          <w:sz w:val="22"/>
          <w:szCs w:val="22"/>
        </w:rPr>
        <w:t xml:space="preserve">, with links to the original decisions.</w:t>
      </w:r>
    </w:p>
    <w:p>
      <w:pPr>
        <w:spacing w:after="120" w:before="240"/>
      </w:pPr>
      <w:r>
        <w:rPr>
          <w:rFonts w:ascii="Calibri" w:cs="Calibri" w:eastAsia="Calibri" w:hAnsi="Calibri"/>
          <w:b/>
          <w:bCs/>
          <w:color w:val="1F4E5F"/>
          <w:sz w:val="28"/>
          <w:szCs w:val="28"/>
        </w:rPr>
        <w:t xml:space="preserve">Cited Sources</w:t>
      </w:r>
    </w:p>
    <w:p>
      <w:pPr>
        <w:pStyle w:val="ListParagraph"/>
        <w:numPr>
          <w:ilvl w:val="0"/>
          <w:numId w:val="2"/>
        </w:numPr>
        <w:spacing w:after="80"/>
      </w:pPr>
      <w:hyperlink w:history="1" r:id="rIdvgjeioxeil2c2vt0e0ya9">
        <w:r>
          <w:rPr>
            <w:rStyle w:val="Hyperlink"/>
            <w:rFonts w:ascii="Calibri" w:cs="Calibri" w:eastAsia="Calibri" w:hAnsi="Calibri"/>
            <w:sz w:val="22"/>
            <w:szCs w:val="22"/>
          </w:rPr>
          <w:t xml:space="preserve">https://www.autoritedelaconcurrence.fr/fr/communiques-de-presse/sanction-de-plusieurs-grandes-banques-et-etablissements-de-credit-pour</w:t>
        </w:r>
      </w:hyperlink>
    </w:p>
    <w:p>
      <w:pPr>
        <w:pStyle w:val="ListParagraph"/>
        <w:numPr>
          <w:ilvl w:val="0"/>
          <w:numId w:val="2"/>
        </w:numPr>
        <w:spacing w:after="80"/>
      </w:pPr>
      <w:hyperlink w:history="1" r:id="rIdpaeh9feegoax0ty5mituh">
        <w:r>
          <w:rPr>
            <w:rStyle w:val="Hyperlink"/>
            <w:rFonts w:ascii="Calibri" w:cs="Calibri" w:eastAsia="Calibri" w:hAnsi="Calibri"/>
            <w:sz w:val="22"/>
            <w:szCs w:val="22"/>
          </w:rPr>
          <w:t xml:space="preserve">https://www.autoritedelaconcurrence.fr/fr/communiques-de-presse/lautorite-de-la-concurrence-sanctionne-11-banques-hauteur-de-3849-millions</w:t>
        </w:r>
      </w:hyperlink>
    </w:p>
    <w:p>
      <w:pPr>
        <w:pStyle w:val="ListParagraph"/>
        <w:numPr>
          <w:ilvl w:val="0"/>
          <w:numId w:val="2"/>
        </w:numPr>
        <w:spacing w:after="80"/>
      </w:pPr>
      <w:hyperlink w:history="1" r:id="rId5drmwiz3kpbqgusf6l9mu">
        <w:r>
          <w:rPr>
            <w:rStyle w:val="Hyperlink"/>
            <w:rFonts w:ascii="Calibri" w:cs="Calibri" w:eastAsia="Calibri" w:hAnsi="Calibri"/>
            <w:sz w:val="22"/>
            <w:szCs w:val="22"/>
          </w:rPr>
          <w:t xml:space="preserve">https://www.autoritedelaconcurrence.fr/fr/communiques-de-presse/lautorite-de-la-concurrence-obtient-du-groupement-des-cartes-bancaires-une</w:t>
        </w:r>
      </w:hyperlink>
    </w:p>
    <w:p>
      <w:pPr>
        <w:pStyle w:val="ListParagraph"/>
        <w:numPr>
          <w:ilvl w:val="0"/>
          <w:numId w:val="2"/>
        </w:numPr>
        <w:spacing w:after="80"/>
      </w:pPr>
      <w:hyperlink w:history="1" r:id="rIdyb288zdccrcjoeedxul3q">
        <w:r>
          <w:rPr>
            <w:rStyle w:val="Hyperlink"/>
            <w:rFonts w:ascii="Calibri" w:cs="Calibri" w:eastAsia="Calibri" w:hAnsi="Calibri"/>
            <w:sz w:val="22"/>
            <w:szCs w:val="22"/>
          </w:rPr>
          <w:t xml:space="preserve">https://www.autoritedelaconcurrence.fr/fr/communiques-de-presse/commissions-interbancaires-appliquees-aux-transactions-par-carte</w:t>
        </w:r>
      </w:hyperlink>
    </w:p>
    <w:p>
      <w:pPr>
        <w:pStyle w:val="ListParagraph"/>
        <w:numPr>
          <w:ilvl w:val="0"/>
          <w:numId w:val="2"/>
        </w:numPr>
        <w:spacing w:after="80"/>
      </w:pPr>
      <w:hyperlink w:history="1" r:id="rIdigdwwjqtgaefitsbayk0q">
        <w:r>
          <w:rPr>
            <w:rStyle w:val="Hyperlink"/>
            <w:rFonts w:ascii="Calibri" w:cs="Calibri" w:eastAsia="Calibri" w:hAnsi="Calibri"/>
            <w:sz w:val="22"/>
            <w:szCs w:val="22"/>
          </w:rPr>
          <w:t xml:space="preserve">https://eur-lex.europa.eu/legal-content/EN/TXT/?uri=CELEX%3A31992D0096</w:t>
        </w:r>
      </w:hyperlink>
    </w:p>
    <w:p>
      <w:pPr>
        <w:pStyle w:val="ListParagraph"/>
        <w:numPr>
          <w:ilvl w:val="0"/>
          <w:numId w:val="2"/>
        </w:numPr>
        <w:spacing w:after="80"/>
      </w:pPr>
      <w:hyperlink w:history="1" r:id="rId82gtalb5e6f2kc0fax_h8">
        <w:r>
          <w:rPr>
            <w:rStyle w:val="Hyperlink"/>
            <w:rFonts w:ascii="Calibri" w:cs="Calibri" w:eastAsia="Calibri" w:hAnsi="Calibri"/>
            <w:sz w:val="22"/>
            <w:szCs w:val="22"/>
          </w:rPr>
          <w:t xml:space="preserve">https://www.autoritedelaconcurrence.fr/sites/default/files/integral_texts/2021-12/21a16.pdf</w:t>
        </w:r>
      </w:hyperlink>
    </w:p>
    <w:sectPr>
      <w:pgSz w:w="12240" w:h="15840" w:orient="portrait"/>
      <w:pgMar w:top="1350" w:right="1080" w:bottom="135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6s6hwe_vkh6zaqhgzwav" Type="http://schemas.openxmlformats.org/officeDocument/2006/relationships/hyperlink" Target="https://www.autoritedelaconcurrence.fr/fr/communiques-de-presse/sanction-de-plusieurs-grandes-banques-et-etablissements-de-credit-pour" TargetMode="External"/><Relationship Id="rId4czemb5flcgm_1jhiwdyl" Type="http://schemas.openxmlformats.org/officeDocument/2006/relationships/hyperlink" Target="https://www.autoritedelaconcurrence.fr/fr/communiques-de-presse/sanction-de-plusieurs-grandes-banques-et-etablissements-de-credit-pour" TargetMode="External"/><Relationship Id="rIdz7otvtr1ugyub6t-znurw" Type="http://schemas.openxmlformats.org/officeDocument/2006/relationships/hyperlink" Target="https://www.autoritedelaconcurrence.fr/fr/communiques-de-presse/lautorite-de-la-concurrence-sanctionne-11-banques-hauteur-de-3849-millions" TargetMode="External"/><Relationship Id="rId56yjhtbjzjtqpysfk8mf8" Type="http://schemas.openxmlformats.org/officeDocument/2006/relationships/hyperlink" Target="https://www.autoritedelaconcurrence.fr/fr/communiques-de-presse/lautorite-de-la-concurrence-sanctionne-11-banques-hauteur-de-3849-millions" TargetMode="External"/><Relationship Id="rId_vb6ljkib6n5l3knbsikq" Type="http://schemas.openxmlformats.org/officeDocument/2006/relationships/hyperlink" Target="https://www.autoritedelaconcurrence.fr/fr/communiques-de-presse/lautorite-de-la-concurrence-obtient-du-groupement-des-cartes-bancaires-une" TargetMode="External"/><Relationship Id="rIddq8mxukhbv10-o1qxmuad" Type="http://schemas.openxmlformats.org/officeDocument/2006/relationships/hyperlink" Target="https://www.autoritedelaconcurrence.fr/fr/communiques-de-presse/commissions-interbancaires-appliquees-aux-transactions-par-carte" TargetMode="External"/><Relationship Id="rIdada9zptzs_rdyni104ic-" Type="http://schemas.openxmlformats.org/officeDocument/2006/relationships/hyperlink" Target="https://www.autoritedelaconcurrence.fr/fr/communiques-de-presse/commissions-interbancaires-appliquees-aux-transactions-par-carte" TargetMode="External"/><Relationship Id="rIdd5z0argp5qxk-wb3kpbp0" Type="http://schemas.openxmlformats.org/officeDocument/2006/relationships/hyperlink" Target="https://eur-lex.europa.eu/legal-content/EN/TXT/?uri=CELEX%3A31992D0096" TargetMode="External"/><Relationship Id="rIduyns_b_qnrpjyavr657dm" Type="http://schemas.openxmlformats.org/officeDocument/2006/relationships/hyperlink" Target="https://eur-lex.europa.eu/legal-content/EN/TXT/?uri=CELEX%3A31992D0096" TargetMode="External"/><Relationship Id="rIdtpqqr1d9fcyf6wp1h4cps" Type="http://schemas.openxmlformats.org/officeDocument/2006/relationships/hyperlink" Target="https://www.autoritedelaconcurrence.fr/sites/default/files/integral_texts/2021-12/21a16.pdf" TargetMode="External"/><Relationship Id="rId_zkjc_mcqngfdza_3-nph" Type="http://schemas.openxmlformats.org/officeDocument/2006/relationships/hyperlink" Target="https://www.autoritedelaconcurrence.fr/sites/default/files/integral_texts/2021-12/21a16.pdf" TargetMode="External"/><Relationship Id="rIdvgjeioxeil2c2vt0e0ya9" Type="http://schemas.openxmlformats.org/officeDocument/2006/relationships/hyperlink" Target="https://www.autoritedelaconcurrence.fr/fr/communiques-de-presse/sanction-de-plusieurs-grandes-banques-et-etablissements-de-credit-pour" TargetMode="External"/><Relationship Id="rIdpaeh9feegoax0ty5mituh" Type="http://schemas.openxmlformats.org/officeDocument/2006/relationships/hyperlink" Target="https://www.autoritedelaconcurrence.fr/fr/communiques-de-presse/lautorite-de-la-concurrence-sanctionne-11-banques-hauteur-de-3849-millions" TargetMode="External"/><Relationship Id="rId5drmwiz3kpbqgusf6l9mu" Type="http://schemas.openxmlformats.org/officeDocument/2006/relationships/hyperlink" Target="https://www.autoritedelaconcurrence.fr/fr/communiques-de-presse/lautorite-de-la-concurrence-obtient-du-groupement-des-cartes-bancaires-une" TargetMode="External"/><Relationship Id="rIdyb288zdccrcjoeedxul3q" Type="http://schemas.openxmlformats.org/officeDocument/2006/relationships/hyperlink" Target="https://www.autoritedelaconcurrence.fr/fr/communiques-de-presse/commissions-interbancaires-appliquees-aux-transactions-par-carte" TargetMode="External"/><Relationship Id="rIdigdwwjqtgaefitsbayk0q" Type="http://schemas.openxmlformats.org/officeDocument/2006/relationships/hyperlink" Target="https://eur-lex.europa.eu/legal-content/EN/TXT/?uri=CELEX%3A31992D0096" TargetMode="External"/><Relationship Id="rId82gtalb5e6f2kc0fax_h8" Type="http://schemas.openxmlformats.org/officeDocument/2006/relationships/hyperlink" Target="https://www.autoritedelaconcurrence.fr/sites/default/files/integral_texts/2021-12/21a16.pdf"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2026-09-02T11:54:26.386Z</dcterms:created>
  <dcterms:modified xsi:type="dcterms:W3CDTF">2026-09-02T11:54:26.386Z</dcterms:modified>
</cp:coreProperties>
</file>

<file path=docProps/custom.xml><?xml version="1.0" encoding="utf-8"?>
<Properties xmlns="http://schemas.openxmlformats.org/officeDocument/2006/custom-properties" xmlns:vt="http://schemas.openxmlformats.org/officeDocument/2006/docPropsVTypes"/>
</file>