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1</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Get me merger cases by Microsoft</w:t>
      </w:r>
    </w:p>
    <w:p>
      <w:pPr>
        <w:spacing w:after="120"/>
      </w:pPr>
      <w:r>
        <w:rPr>
          <w:rFonts w:ascii="Calibri" w:cs="Calibri" w:eastAsia="Calibri" w:hAnsi="Calibri"/>
          <w:b/>
          <w:bCs/>
          <w:color w:val="1F4E5F"/>
          <w:sz w:val="22"/>
          <w:szCs w:val="22"/>
        </w:rPr>
        <w:t xml:space="preserve">System Response</w:t>
      </w:r>
    </w:p>
    <w:p>
      <w:pPr>
        <w:spacing w:after="160" w:before="300"/>
      </w:pPr>
      <w:r>
        <w:rPr>
          <w:rFonts w:ascii="Calibri" w:cs="Calibri" w:eastAsia="Calibri" w:hAnsi="Calibri"/>
          <w:b/>
          <w:bCs/>
          <w:color w:val="1F4E5F"/>
          <w:sz w:val="22"/>
          <w:szCs w:val="22"/>
        </w:rPr>
        <w:t xml:space="preserve">B6-34-23: Microsoft and OpenAI</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was whether the partnership between Microsoft and OpenAI was subject to a notification obligation under merger control. </w:t>
      </w:r>
      <w:hyperlink w:history="1" r:id="rIdnmdigflq-f706u5muildx">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companies involved in this case are Microsoft and OpenAI. </w:t>
      </w:r>
      <w:hyperlink w:history="1" r:id="rIdrfr3pngixirchfiqd-8i6">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case was initiated following press reports in January 2023 regarding Microsoft's potential investment in OpenAI. </w:t>
      </w:r>
      <w:hyperlink w:history="1" r:id="rId6rfo_n_l28rvcoy_emtxq">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violation in question was the prohibition of implementing a concentration without clearance under German merger control rules. It was assessed whether Microsoft had acquired a material competitive influence on OpenAI and whether OpenAI had substantial operations in Germany. </w:t>
      </w:r>
      <w:hyperlink w:history="1" r:id="rIdvs6kvpk7nev8cx0srlo-k">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Bundeskartellamt concluded that Microsoft's previous investments and cooperation with OpenAI did not trigger a notification obligation, as OpenAI's activities in Germany were not substantial enough at the time of earlier investments. </w:t>
      </w:r>
      <w:hyperlink w:history="1" r:id="rIdtkrpw9tx9aby8eetxvy5i">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sz w:val="22"/>
          <w:szCs w:val="22"/>
        </w:rPr>
        <w:t xml:space="preserve">Case Initiation → [B6-34-23]: The case was initiated by the Bundeskartellamt to examine whether the partnership between Microsoft and OpenAI required notification under German merger control rules. This was prompted by press reports regarding Microsoft's potential investment in OpenAI </w:t>
      </w:r>
      <w:hyperlink w:history="1" r:id="rIdi7nwqy75k8fxxxgunizii">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authority conducted a preliminary investigation to determine if there was sufficient evidence to warrant further action. Microsoft provided numerous documents and details about its cooperation with OpenAI, and OpenAI also commented on the matter, which helped clarify the nature of their partnership </w:t>
      </w:r>
      <w:hyperlink w:history="1" r:id="rIdm3ql5d8dix4jimzdtef4p">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In this case, the Bundeskartellamt did not issue a formal Statement of Objections, as it concluded that the previous cooperation did not violate the prohibition of implementing a concentration without clearance </w:t>
      </w:r>
      <w:hyperlink w:history="1" r:id="rIdxebbncyandgvq6qceblid">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Since no objections were raised, there was no formal defense phase involving written responses or oral hearings. The authority's findings indicated that Microsoft's influence on OpenAI was established prior to the substantial operations threshold being met </w:t>
      </w:r>
      <w:hyperlink w:history="1" r:id="rId1ke9_9kbesquapm_vt3vs">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Bundeskartellamt decided that there was no infringement regarding the notification obligation, concluding that Microsoft's influence on OpenAI did not require notification under German law at the time of their partnership developments </w:t>
      </w:r>
      <w:hyperlink w:history="1" r:id="rIdbe1brig8cntpurljl9l4n">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Future Considerations: </w:t>
      </w:r>
      <w:r>
        <w:rPr>
          <w:rFonts w:ascii="Calibri" w:cs="Calibri" w:eastAsia="Calibri" w:hAnsi="Calibri"/>
          <w:sz w:val="22"/>
          <w:szCs w:val="22"/>
        </w:rPr>
        <w:t xml:space="preserve">The authority noted that if Microsoft were to increase its influence on OpenAI in the future, a re-examination of the notification obligation would be necessary. This indicates ongoing scrutiny of the partnership in light of competition law </w:t>
      </w:r>
      <w:hyperlink w:history="1" r:id="rIdb1mhn57igpwtdn6sax0yf">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was the digital economy, specifically focusing on artificial intelligence (AI) and its applications. </w:t>
      </w:r>
      <w:hyperlink w:history="1" r:id="rIdujvwidae94ankn-aunvia">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Bundeskartellamt examined whether the partnership between Microsoft and OpenAI constituted a concentration as defined by law, particularly assessing Microsoft's competitive influence on OpenAI. </w:t>
      </w:r>
      <w:hyperlink w:history="1" r:id="rIdleqq3ymodcmzij1_g7tob">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legal assessment involved determining if Microsoft had acquired a material competitive influence on OpenAI, as per Section 37(1) no 4 of the German Competition Act (GWB). </w:t>
      </w:r>
      <w:hyperlink w:history="1" r:id="rIdvwsjtg43ws7t1_kwzo4x3">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authority evaluated whether OpenAI met the transaction value threshold requirements, specifically if it had substantial operations in Germany, as outlined in Section 35(1a) GWB. </w:t>
      </w:r>
      <w:hyperlink w:history="1" r:id="rIdhghyfs6iz3jj-0wvtrurb">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assessment included analyzing user engagement metrics, noting that OpenAI's ChatGPT reached over 100 million monthly users globally and had significant user numbers in Germany by January 2023. </w:t>
      </w:r>
      <w:hyperlink w:history="1" r:id="rId7xckranzcenc9jgvumy28">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Bundeskartellamt concluded that Microsoft's influence on OpenAI was sufficient for a notification obligation to arise under German law, but OpenAI's activities were not substantial enough at earlier stages to meet the transaction value threshold. </w:t>
      </w:r>
      <w:hyperlink w:history="1" r:id="rIdqko3enaojawnooc1s1elv">
        <w:r>
          <w:rPr>
            <w:rStyle w:val="Hyperlink"/>
            <w:rFonts w:ascii="Calibri" w:cs="Calibri" w:eastAsia="Calibri" w:hAnsi="Calibri"/>
            <w:sz w:val="22"/>
            <w:szCs w:val="22"/>
          </w:rPr>
          <w:t xml:space="preserve">[1]</w:t>
        </w:r>
      </w:hyperlink>
    </w:p>
    <w:p>
      <w:pPr>
        <w:spacing w:after="160"/>
      </w:pPr>
      <w:r>
        <w:rPr>
          <w:rFonts w:ascii="Calibri" w:cs="Calibri" w:eastAsia="Calibri" w:hAnsi="Calibri"/>
          <w:sz w:val="22"/>
          <w:szCs w:val="22"/>
        </w:rPr>
        <w:t xml:space="preserve">The findings indicated that if Microsoft were to increase its influence on OpenAI in the future, a re-examination of the notification obligation would be necessary, highlighting the dynamic nature of competition law assessments. </w:t>
      </w:r>
      <w:hyperlink w:history="1" r:id="rIdfco8d8n-rmr5lh6jexwp-">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Concentration Assessment: </w:t>
      </w:r>
      <w:r>
        <w:rPr>
          <w:rFonts w:ascii="Calibri" w:cs="Calibri" w:eastAsia="Calibri" w:hAnsi="Calibri"/>
          <w:sz w:val="22"/>
          <w:szCs w:val="22"/>
        </w:rPr>
        <w:t xml:space="preserve">The legal assessment focused on whether the partnership between Microsoft and OpenAI constituted a concentration as defined by law. This involved determining if Microsoft had acquired a material competitive influence over OpenAI, as outlined in Section 37(1) no 4 of the German Competition Act (GWB). The Bundeskartellamt evaluated Microsoft's previous investments and the nature of their partnership to assess if such influence existed. This assessment was crucial in establishing whether a notification obligation arose under German law. </w:t>
      </w:r>
      <w:hyperlink w:history="1" r:id="rIdyf_ojj_tg__kgigg7vkts">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Transaction Value Threshold: </w:t>
      </w:r>
      <w:r>
        <w:rPr>
          <w:rFonts w:ascii="Calibri" w:cs="Calibri" w:eastAsia="Calibri" w:hAnsi="Calibri"/>
          <w:sz w:val="22"/>
          <w:szCs w:val="22"/>
        </w:rPr>
        <w:t xml:space="preserve">The authority examined whether the transaction value threshold requirements were met, particularly if OpenAI had substantial operations in Germany as per Section 35(1a) GWB. The Bundeskartellamt considered the user base of ChatGPT in Germany and its rapid growth to determine if OpenAI's activities were substantial enough to trigger a notification obligation. This involved analyzing user engagement metrics and the timing of OpenAI's market presence. </w:t>
      </w:r>
      <w:hyperlink w:history="1" r:id="rIdzrrsghoexvy5i876c3wef">
        <w:r>
          <w:rPr>
            <w:rStyle w:val="Hyperlink"/>
            <w:rFonts w:ascii="Calibri" w:cs="Calibri" w:eastAsia="Calibri" w:hAnsi="Calibri"/>
            <w:sz w:val="22"/>
            <w:szCs w:val="22"/>
          </w:rPr>
          <w:t xml:space="preserve">[1]</w:t>
        </w:r>
      </w:hyperlink>
    </w:p>
    <w:p>
      <w:pPr>
        <w:pStyle w:val="ListParagraph"/>
        <w:numPr>
          <w:ilvl w:val="0"/>
          <w:numId w:val="1"/>
        </w:numPr>
        <w:spacing w:after="120"/>
      </w:pPr>
      <w:r>
        <w:rPr>
          <w:rFonts w:ascii="Calibri" w:cs="Calibri" w:eastAsia="Calibri" w:hAnsi="Calibri"/>
          <w:b/>
          <w:bCs/>
          <w:sz w:val="22"/>
          <w:szCs w:val="22"/>
        </w:rPr>
        <w:t xml:space="preserve">Future Influence Reevaluation: </w:t>
      </w:r>
      <w:r>
        <w:rPr>
          <w:rFonts w:ascii="Calibri" w:cs="Calibri" w:eastAsia="Calibri" w:hAnsi="Calibri"/>
          <w:sz w:val="22"/>
          <w:szCs w:val="22"/>
        </w:rPr>
        <w:t xml:space="preserve">The Bundeskartellamt indicated that if Microsoft were to increase its influence on OpenAI in the future, a re-examination of the notification obligation would be necessary. This means that any significant changes in the partnership or Microsoft's level of control would require a fresh legal assessment to ensure compliance with merger control regulations. This ongoing evaluation is essential to adapt to the dynamic nature of the tech industry and its competitive landscape. </w:t>
      </w:r>
      <w:hyperlink w:history="1" r:id="rIdxkv93jy9o7cczfghw9wyi">
        <w:r>
          <w:rPr>
            <w:rStyle w:val="Hyperlink"/>
            <w:rFonts w:ascii="Calibri" w:cs="Calibri" w:eastAsia="Calibri" w:hAnsi="Calibri"/>
            <w:sz w:val="22"/>
            <w:szCs w:val="22"/>
          </w:rPr>
          <w:t xml:space="preserve">[1]</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Bundeskartellamt concluded that the partnership between Microsoft and OpenAI did not trigger a notification obligation under German merger control rules, meaning no violation occurred regarding the prohibition of implementing a concentration without clearance </w:t>
      </w:r>
      <w:hyperlink w:history="1" r:id="rId-p1fhqlobnjmxtdcxzdas">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examination focused on whether Microsoft had acquired a material competitive influence on OpenAI and whether OpenAI had substantial operations in Germany, which are key factors in determining the need for notification </w:t>
      </w:r>
      <w:hyperlink w:history="1" r:id="rIdgdy_nftmg-txyygagjeyo">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It was determined that Microsoft had already secured its influence on OpenAI by 2019, but at that time, OpenAI's activities in Germany were not substantial enough to meet the transaction value threshold requirements </w:t>
      </w:r>
      <w:hyperlink w:history="1" r:id="rIdx-xixwqf62sfb-30hmnsa">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By early 2023, OpenAI's activities had become substantial enough to satisfy the requirements, but the existing competitive influence Microsoft had over OpenAI was not further strengthened at that point </w:t>
      </w:r>
      <w:hyperlink w:history="1" r:id="rId0q1m1jr_elnab68cxasi0">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Bundeskartellamt indicated that if Microsoft were to increase its influence on OpenAI in the future, a re-examination of the notification obligation would be necessary </w:t>
      </w:r>
      <w:hyperlink w:history="1" r:id="rIdtwp66wfygxdsnelusdw_t">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fines or specific remedies were imposed in this case, as the authority found no violation of merger control laws </w:t>
      </w:r>
      <w:hyperlink w:history="1" r:id="rIdre-ywwnzvexuckjesuk82">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findings did not address compliance with competition law beyond merger control, particularly regarding Article 101 TFEU </w:t>
      </w:r>
      <w:hyperlink w:history="1" r:id="rIdztmqhtt917j_coanmsqok">
        <w:r>
          <w:rPr>
            <w:rStyle w:val="Hyperlink"/>
            <w:rFonts w:ascii="Calibri" w:cs="Calibri" w:eastAsia="Calibri" w:hAnsi="Calibri"/>
            <w:sz w:val="22"/>
            <w:szCs w:val="22"/>
          </w:rPr>
          <w:t xml:space="preserve">[1]</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Case M.8124 – Microsoft / LinkedIn</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 merged entity would have the ability and incentive to foreclose competition in the market for productivity software solutions and CRM software solutions. </w:t>
      </w:r>
      <w:hyperlink w:history="1" r:id="rId8wn1pvxetr5enqgrdxmbz">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companies involved in this case are Microsoft and LinkedIn. </w:t>
      </w:r>
      <w:hyperlink w:history="1" r:id="rIds2onbmflrugeikprdjgy-">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year of case initiation is 2016. </w:t>
      </w:r>
      <w:hyperlink w:history="1" r:id="rIdbbzdcqgaddrrxu3rqs-54">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violation pertains to concerns that Microsoft, post-Transaction, could limit access to LinkedIn's full data, which may negatively affect competition in the provision of machine learning (ML) functionalities in productivity and CRM software solutions. </w:t>
      </w:r>
      <w:hyperlink w:history="1" r:id="rIdcebjiera8lv1tn12hogl1">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Commission assessed that LinkedIn does not have significant market power and that the merged entity would not have the ability to foreclose competition, as LinkedIn was not planning to license its full data to third parties, and data protection rules may limit Microsoft's access to this data. </w:t>
      </w:r>
      <w:hyperlink w:history="1" r:id="rIdtvnsvyf9cjqnxalqamkoh">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Furthermore, the investigation revealed that major CRM vendors were already offering ML functionalities without needing access to LinkedIn's full data, indicating that the data may not be a critical input for ML in CRM solutions. </w:t>
      </w:r>
      <w:hyperlink w:history="1" r:id="rId-waeul25nwrg_o2rqmdgt">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when Microsoft notified the European Commission about its proposed acquisition of LinkedIn on 14 October 2016 </w:t>
      </w:r>
      <w:hyperlink w:history="1" r:id="rId4lkn5tkw5zpj1hd5i3nf1">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Commission conducted a preliminary investigation to assess the potential impact of the merger on competition. Concerns were raised regarding the possibility of Microsoft foreclosing competing providers of Professional Social Networking (PSN) services by pre-installing LinkedIn on Windows PCs and integrating it into Office </w:t>
      </w:r>
      <w:hyperlink w:history="1" r:id="rIdo8tklld_eooleuzjp63jn">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Following the preliminary investigation, the Commission issued a Statement of Objections, outlining the potential anti-competitive effects of the merger, particularly regarding the ability of the merged entity to engage in practices that could harm competition in the EEA </w:t>
      </w:r>
      <w:hyperlink w:history="1" r:id="rIdhcdip3btncbbqjcite_qf">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Microsoft was given the opportunity to respond to the objections in writing and present its defense during an oral hearing. The company provided commitments to address the Commission's concerns, which were subject to a market test to gauge their effectiveness </w:t>
      </w:r>
      <w:hyperlink w:history="1" r:id="rIdflb40pwccgqh6bkukijv3">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Commission ultimately decided not to oppose the merger, declaring it compatible with the internal market, contingent upon Microsoft's compliance with the commitments made to alleviate competition concerns </w:t>
      </w:r>
      <w:hyperlink w:history="1" r:id="rIdgb3bubmxqz520iiudaaqn">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Monitoring and Compliance: </w:t>
      </w:r>
      <w:r>
        <w:rPr>
          <w:rFonts w:ascii="Calibri" w:cs="Calibri" w:eastAsia="Calibri" w:hAnsi="Calibri"/>
          <w:sz w:val="22"/>
          <w:szCs w:val="22"/>
        </w:rPr>
        <w:t xml:space="preserve">The commitments included mechanisms for monitoring compliance, and the Commission noted that Microsoft's conduct would remain subject to EU competition rules, ensuring ongoing oversight of the merger's impact on competition </w:t>
      </w:r>
      <w:hyperlink w:history="1" r:id="rIdmsuwxxqeroszms8k46cwt">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includes online advertising services, specifically examining the potential segmentation between search and non-search advertising. </w:t>
      </w:r>
      <w:hyperlink w:history="1" r:id="rIdoaeqkowsiptie7iypkte_">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Commission assessed whether a separate product market should be defined for online non-search advertising services on social networking (SN) websites and whether to distinguish advertising based on the platform (PC versus mobile). </w:t>
      </w:r>
      <w:hyperlink w:history="1" r:id="rIdovfaknzoaolqpefuzyhbb">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Notifying Party argued that the exact scope of the geographic market could be left open, while the Commission concluded that the online advertising market should be defined as national in scope or alongside linguistic borders within the EEA. </w:t>
      </w:r>
      <w:hyperlink w:history="1" r:id="rId5htc4dtnwprqx6exfgzm1">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Commission referenced previous decisions to support its assessment, indicating that the market for online advertising is typically divided along national or linguistic borders, considering factors like customer preferences and sales networks. </w:t>
      </w:r>
      <w:hyperlink w:history="1" r:id="rIdzbjk1-nzty6r2mdsg1vda">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Commission retained its previous product market definitions for enterprise communications services and productivity software, indicating that the exact segmentation could be left open as the transaction did not raise significant concerns. </w:t>
      </w:r>
      <w:hyperlink w:history="1" r:id="rId2-d0s-16fhblzj1zv1opa">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market investigation involved responses from various stakeholders, including CRM customers and providers, which informed the Commission's understanding of market dynamics and customer preferences. </w:t>
      </w:r>
      <w:hyperlink w:history="1" r:id="rIdx_zmygceblloeni1u4lwf">
        <w:r>
          <w:rPr>
            <w:rStyle w:val="Hyperlink"/>
            <w:rFonts w:ascii="Calibri" w:cs="Calibri" w:eastAsia="Calibri" w:hAnsi="Calibri"/>
            <w:sz w:val="22"/>
            <w:szCs w:val="22"/>
          </w:rPr>
          <w:t xml:space="preserve">[2]</w:t>
        </w:r>
      </w:hyperlink>
    </w:p>
    <w:p>
      <w:pPr>
        <w:spacing w:after="160"/>
      </w:pPr>
      <w:r>
        <w:rPr>
          <w:rFonts w:ascii="Calibri" w:cs="Calibri" w:eastAsia="Calibri" w:hAnsi="Calibri"/>
          <w:sz w:val="22"/>
          <w:szCs w:val="22"/>
        </w:rPr>
        <w:t xml:space="preserve">The Commission's assessment included examining the interchangeability of advertising platforms and the technological developments that have influenced the market, concluding that no meaningful distinction could be drawn between targeted and non-targeted online advertising. </w:t>
      </w:r>
      <w:hyperlink w:history="1" r:id="rIdf-zyt5n6ddsbsyqstgm3u">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b/>
          <w:bCs/>
          <w:sz w:val="22"/>
          <w:szCs w:val="22"/>
        </w:rPr>
        <w:t xml:space="preserve">Assessment of Non-Horizontal Effects: </w:t>
      </w:r>
      <w:r>
        <w:rPr>
          <w:rFonts w:ascii="Calibri" w:cs="Calibri" w:eastAsia="Calibri" w:hAnsi="Calibri"/>
          <w:sz w:val="22"/>
          <w:szCs w:val="22"/>
        </w:rPr>
        <w:t xml:space="preserve">This test evaluates whether a vertical merger could significantly impede effective competition by causing foreclosure. Foreclosure occurs when competitors are denied access to essential inputs or markets, reducing their ability to compete. In this case, the assessment involved examining whether the merged entity would have the ability and incentive to foreclose access to inputs or customers, as outlined in the Non-Horizontal Guidelines. The process included analyzing the potential impact on competitors and the market dynamics post-merger. </w:t>
      </w:r>
      <w:hyperlink w:history="1" r:id="rIdmcesmbue-mhntxykrxusy">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Ability and Incentive to Foreclose: </w:t>
      </w:r>
      <w:r>
        <w:rPr>
          <w:rFonts w:ascii="Calibri" w:cs="Calibri" w:eastAsia="Calibri" w:hAnsi="Calibri"/>
          <w:sz w:val="22"/>
          <w:szCs w:val="22"/>
        </w:rPr>
        <w:t xml:space="preserve">This test specifically looks at whether the merged entity would have both the ability and the incentive to engage in anti-competitive practices, such as restricting access to important data or services. The evaluation considered factors such as market power, the significance of the data involved, and the potential legal implications of such actions. The findings indicated that the merged entity would not have the ability to foreclose competition in the productivity software market due to the lack of significant market power from LinkedIn's data. </w:t>
      </w:r>
      <w:hyperlink w:history="1" r:id="rIdquaxhh7oazsmdi8fkxfwt">
        <w:r>
          <w:rPr>
            <w:rStyle w:val="Hyperlink"/>
            <w:rFonts w:ascii="Calibri" w:cs="Calibri" w:eastAsia="Calibri" w:hAnsi="Calibri"/>
            <w:sz w:val="22"/>
            <w:szCs w:val="22"/>
          </w:rPr>
          <w:t xml:space="preserve">[2]</w:t>
        </w:r>
      </w:hyperlink>
    </w:p>
    <w:p>
      <w:pPr>
        <w:pStyle w:val="ListParagraph"/>
        <w:numPr>
          <w:ilvl w:val="0"/>
          <w:numId w:val="1"/>
        </w:numPr>
        <w:spacing w:after="120"/>
      </w:pPr>
      <w:r>
        <w:rPr>
          <w:rFonts w:ascii="Calibri" w:cs="Calibri" w:eastAsia="Calibri" w:hAnsi="Calibri"/>
          <w:b/>
          <w:bCs/>
          <w:sz w:val="22"/>
          <w:szCs w:val="22"/>
        </w:rPr>
        <w:t xml:space="preserve">Geographic Market Definition: </w:t>
      </w:r>
      <w:r>
        <w:rPr>
          <w:rFonts w:ascii="Calibri" w:cs="Calibri" w:eastAsia="Calibri" w:hAnsi="Calibri"/>
          <w:sz w:val="22"/>
          <w:szCs w:val="22"/>
        </w:rPr>
        <w:t xml:space="preserve">This test involves determining the geographic scope of the market affected by the merger. It assesses whether the market should be defined nationally or along linguistic borders within the EEA, based on factors like customer preferences and the presence of sales networks. The process included reviewing previous decisions and market investigations to establish a clear understanding of the market dynamics and the potential impact of the merger on competition within specific geographic areas. </w:t>
      </w:r>
      <w:hyperlink w:history="1" r:id="rIdd0pngpve13jfbxz1f4de3">
        <w:r>
          <w:rPr>
            <w:rStyle w:val="Hyperlink"/>
            <w:rFonts w:ascii="Calibri" w:cs="Calibri" w:eastAsia="Calibri" w:hAnsi="Calibri"/>
            <w:sz w:val="22"/>
            <w:szCs w:val="22"/>
          </w:rPr>
          <w:t xml:space="preserve">[2]</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Commission concluded that the merger between Microsoft and LinkedIn, as modified by the Final Commitments, would not be opposed and was declared compatible with the internal market and the functioning of the EEA Agreement </w:t>
      </w:r>
      <w:hyperlink w:history="1" r:id="rIdrwsv2clhozsi46hzieg_b">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Final Commitments were deemed sufficient to address serious doubts regarding the compatibility of the transaction with the internal market, particularly concerning the potential foreclosure of competing PSN service providers </w:t>
      </w:r>
      <w:hyperlink w:history="1" r:id="rId0mqjc4ndmhqscedz6y_e6">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Revised Integration Commitments ensured that Third-Party PSN Service Providers would continue to have access to the Office Add-in Program and associated APIs without discrimination, addressing concerns about integration of LinkedIn features into Office </w:t>
      </w:r>
      <w:hyperlink w:history="1" r:id="rIde2zgrjnnrbfzjv4i5d0gx">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Revised Pre-installation Commitments expanded the scope to include all Microsoft PC Distribution Partners, ensuring users could remove the LinkedIn application from their Windows PCs and preventing Microsoft from promoting the LinkedIn application through Windows updates </w:t>
      </w:r>
      <w:hyperlink w:history="1" r:id="rId5zs8frgc_7grtb4prvfec">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commitments included obligations that, if not fulfilled, could lead to the revocation of the clearance decision, and the parties could face fines and periodic penalty payments for breaches </w:t>
      </w:r>
      <w:hyperlink w:history="1" r:id="rIdwriwmd_c1x1wjzf2wnzl3">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Commission emphasized that all requirements set out in the commitments were considered obligations, reinforcing the accountability of the parties involved </w:t>
      </w:r>
      <w:hyperlink w:history="1" r:id="rId1nknbtcvdzn6igxk6e8zi">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decision was signed by Margrethe Vestager, indicating the official endorsement of the Commission's findings and commitments </w:t>
      </w:r>
      <w:hyperlink w:history="1" r:id="rIdnaijwiw-snirfxp2qnggy">
        <w:r>
          <w:rPr>
            <w:rStyle w:val="Hyperlink"/>
            <w:rFonts w:ascii="Calibri" w:cs="Calibri" w:eastAsia="Calibri" w:hAnsi="Calibri"/>
            <w:sz w:val="22"/>
            <w:szCs w:val="22"/>
          </w:rPr>
          <w:t xml:space="preserve">[2]</w:t>
        </w:r>
      </w:hyperlink>
      <w:r>
        <w:rPr>
          <w:rFonts w:ascii="Calibri" w:cs="Calibri" w:eastAsia="Calibri" w:hAnsi="Calibri"/>
          <w:sz w:val="22"/>
          <w:szCs w:val="22"/>
        </w:rPr>
        <w:t xml:space="preserve">.</w:t>
      </w:r>
    </w:p>
    <w:p>
      <w:pPr>
        <w:spacing w:after="160" w:before="300"/>
      </w:pPr>
      <w:r>
        <w:rPr>
          <w:rFonts w:ascii="Calibri" w:cs="Calibri" w:eastAsia="Calibri" w:hAnsi="Calibri"/>
          <w:b/>
          <w:bCs/>
          <w:color w:val="1F4E5F"/>
          <w:sz w:val="22"/>
          <w:szCs w:val="22"/>
        </w:rPr>
        <w:t xml:space="preserve">Case M.10646 – MICROSOFT / ACTIVISION BLIZZARD</w:t>
      </w:r>
    </w:p>
    <w:p>
      <w:pPr>
        <w:spacing w:after="120" w:before="240"/>
      </w:pPr>
      <w:r>
        <w:rPr>
          <w:rFonts w:ascii="Calibri" w:cs="Calibri" w:eastAsia="Calibri" w:hAnsi="Calibri"/>
          <w:b/>
          <w:bCs/>
          <w:i/>
          <w:iCs/>
          <w:color w:val="1F4E5F"/>
          <w:sz w:val="22"/>
          <w:szCs w:val="22"/>
        </w:rPr>
        <w:t xml:space="preserve">Case Background</w:t>
      </w:r>
    </w:p>
    <w:p>
      <w:pPr>
        <w:spacing w:after="160"/>
      </w:pPr>
      <w:r>
        <w:rPr>
          <w:rFonts w:ascii="Calibri" w:cs="Calibri" w:eastAsia="Calibri" w:hAnsi="Calibri"/>
          <w:sz w:val="22"/>
          <w:szCs w:val="22"/>
        </w:rPr>
        <w:t xml:space="preserve">The allegation made in this case is that the Parties, specifically Microsoft, have an incentive to withhold the game Call of Duty from Sony PlayStation, potentially leading to total foreclosure in the gaming market. </w:t>
      </w:r>
      <w:hyperlink w:history="1" r:id="rId20qyedxjc1an8oos8cpov">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company involved in this allegation is Microsoft, particularly in relation to its acquisition of Activision Blizzard. </w:t>
      </w:r>
      <w:hyperlink w:history="1" r:id="rIdnya8gwyvbulcysdrgvy0r">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case was initiated with the issuance of a Statement of Objections on 31 January 2023. </w:t>
      </w:r>
      <w:hyperlink w:history="1" r:id="rIdetuuanqq3_v7y45nyeljd">
        <w:r>
          <w:rPr>
            <w:rStyle w:val="Hyperlink"/>
            <w:rFonts w:ascii="Calibri" w:cs="Calibri" w:eastAsia="Calibri" w:hAnsi="Calibri"/>
            <w:sz w:val="22"/>
            <w:szCs w:val="22"/>
          </w:rPr>
          <w:t xml:space="preserve">[3]</w:t>
        </w:r>
      </w:hyperlink>
    </w:p>
    <w:p>
      <w:pPr>
        <w:spacing w:after="160"/>
      </w:pPr>
      <w:r>
        <w:rPr>
          <w:rFonts w:ascii="Calibri" w:cs="Calibri" w:eastAsia="Calibri" w:hAnsi="Calibri"/>
          <w:sz w:val="22"/>
          <w:szCs w:val="22"/>
        </w:rPr>
        <w:t xml:space="preserve">The violation pertains to anti-competitive practices under Article 2(3) of the Merger Regulation, where it is suggested that Microsoft could engage in strategies that would significantly impede effective competition by withholding key gaming content from rival platforms. This is supported by quantitative analyses indicating that Microsoft would have incentives to engage in total foreclosure, as evidenced by internal documents and critical diversion ratios related to Call of Duty. </w:t>
      </w:r>
      <w:hyperlink w:history="1" r:id="rIdagkqsxa3y9kemladooocx">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Case Progression</w:t>
      </w:r>
    </w:p>
    <w:p>
      <w:pPr>
        <w:pStyle w:val="ListParagraph"/>
        <w:numPr>
          <w:ilvl w:val="0"/>
          <w:numId w:val="1"/>
        </w:numPr>
        <w:spacing w:after="120"/>
      </w:pPr>
      <w:r>
        <w:rPr>
          <w:rFonts w:ascii="Calibri" w:cs="Calibri" w:eastAsia="Calibri" w:hAnsi="Calibri"/>
          <w:b/>
          <w:bCs/>
          <w:sz w:val="22"/>
          <w:szCs w:val="22"/>
        </w:rPr>
        <w:t xml:space="preserve">Case Initiation: </w:t>
      </w:r>
      <w:r>
        <w:rPr>
          <w:rFonts w:ascii="Calibri" w:cs="Calibri" w:eastAsia="Calibri" w:hAnsi="Calibri"/>
          <w:sz w:val="22"/>
          <w:szCs w:val="22"/>
        </w:rPr>
        <w:t xml:space="preserve">The case was initiated when Microsoft notified the European Commission of its intention to acquire Activision Blizzard on 30 September 2022 </w:t>
      </w:r>
      <w:hyperlink w:history="1" r:id="rIdnhhmcbafesjhdi41yj1oc">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Preliminary Investigation: </w:t>
      </w:r>
      <w:r>
        <w:rPr>
          <w:rFonts w:ascii="Calibri" w:cs="Calibri" w:eastAsia="Calibri" w:hAnsi="Calibri"/>
          <w:sz w:val="22"/>
          <w:szCs w:val="22"/>
        </w:rPr>
        <w:t xml:space="preserve">The Commission conducted a Phase I investigation, which led to the conclusion that there was a strong probability that the transaction would significantly impede competition. This prompted the continuation to a Phase II investigation </w:t>
      </w:r>
      <w:hyperlink w:history="1" r:id="rIdz9crnwxmrwc564jeampyu">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Statement of Objections issued: </w:t>
      </w:r>
      <w:r>
        <w:rPr>
          <w:rFonts w:ascii="Calibri" w:cs="Calibri" w:eastAsia="Calibri" w:hAnsi="Calibri"/>
          <w:sz w:val="22"/>
          <w:szCs w:val="22"/>
        </w:rPr>
        <w:t xml:space="preserve">On 31 January 2023, the Commission issued a Statement of Objections (SO) to Microsoft, outlining the competition concerns identified during the investigation </w:t>
      </w:r>
      <w:hyperlink w:history="1" r:id="rId_g5rvyqiod59xhnrnu4lq">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Defense Phase: </w:t>
      </w:r>
      <w:r>
        <w:rPr>
          <w:rFonts w:ascii="Calibri" w:cs="Calibri" w:eastAsia="Calibri" w:hAnsi="Calibri"/>
          <w:sz w:val="22"/>
          <w:szCs w:val="22"/>
        </w:rPr>
        <w:t xml:space="preserve">Microsoft submitted its written response to the SO on 14 February 2023, followed by an oral hearing on 21 February 2023, where further arguments were presented </w:t>
      </w:r>
      <w:hyperlink w:history="1" r:id="rId--wzmnwleuiwawpuyoq__">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Commission Decision: </w:t>
      </w:r>
      <w:r>
        <w:rPr>
          <w:rFonts w:ascii="Calibri" w:cs="Calibri" w:eastAsia="Calibri" w:hAnsi="Calibri"/>
          <w:sz w:val="22"/>
          <w:szCs w:val="22"/>
        </w:rPr>
        <w:t xml:space="preserve">The Commission ultimately declared the concentration compatible with the internal market on 15 May 2023, after reviewing commitments submitted by Microsoft to address competition concerns </w:t>
      </w:r>
      <w:hyperlink w:history="1" r:id="rIdpxknzqqg48drxwc34eq0f">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b/>
          <w:bCs/>
          <w:sz w:val="22"/>
          <w:szCs w:val="22"/>
        </w:rPr>
        <w:t xml:space="preserve">Outcome and Next Steps: </w:t>
      </w:r>
      <w:r>
        <w:rPr>
          <w:rFonts w:ascii="Calibri" w:cs="Calibri" w:eastAsia="Calibri" w:hAnsi="Calibri"/>
          <w:sz w:val="22"/>
          <w:szCs w:val="22"/>
        </w:rPr>
        <w:t xml:space="preserve">Following the decision, Microsoft was required to comply with the commitments, and any disputes regarding these commitments could be resolved through arbitration, as outlined in the procedural rules </w:t>
      </w:r>
      <w:hyperlink w:history="1" r:id="rIdhtt25vfvaa0x5poyayqju">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Market Definition</w:t>
      </w:r>
    </w:p>
    <w:p>
      <w:pPr>
        <w:spacing w:after="160"/>
      </w:pPr>
      <w:r>
        <w:rPr>
          <w:rFonts w:ascii="Calibri" w:cs="Calibri" w:eastAsia="Calibri" w:hAnsi="Calibri"/>
          <w:sz w:val="22"/>
          <w:szCs w:val="22"/>
        </w:rPr>
        <w:t xml:space="preserve">The market considered in this case includes game development and publishing, game distribution, and operating systems for PCs. This is outlined in the overview of the main markets impacted by the transaction </w:t>
      </w:r>
      <w:hyperlink w:history="1" r:id="rIdwqcjui0pmek1mir06qzl1">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relevant product market for game development and publishing was assessed through a review of Commission precedents, the Notifying Party's views, and the Commission's own assessment, which included analyzing the competitive dynamics within the market </w:t>
      </w:r>
      <w:hyperlink w:history="1" r:id="rIdtxzns_si6hltikj3kktpz">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For game distribution, the relevant product market was similarly defined by examining Commission precedents and gathering insights from the Notifying Party and the Commission's assessment, focusing on the geographic scope and competitive constraints </w:t>
      </w:r>
      <w:hyperlink w:history="1" r:id="rIdi47d7y2sqd9-uzpbcnjof">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geographic market for game distribution was evaluated to determine whether it should be considered EEA-wide or worldwide, with the conclusion that the decision's outcome would remain consistent regardless of the geographic scope chosen </w:t>
      </w:r>
      <w:hyperlink w:history="1" r:id="rIdptjtzgshzzhscne1it3vf">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assessment of operating systems for PCs involved defining the relevant product market by distinguishing between OS for PCs and OS for mobile devices, supported by previous Commission decisions that highlighted the differences in hardware and performance capacities </w:t>
      </w:r>
      <w:hyperlink w:history="1" r:id="rIdok8klhyh2uxhyqqn4by55">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Techniques used in the market definition process included market investigations, analysis of demand-side substitutability, and the evaluation of competitive constraints imposed by merging parties on each other, as well as the potential effects on remaining competitors </w:t>
      </w:r>
      <w:hyperlink w:history="1" r:id="rIdnxx_3jfsgojs-a1vcjklt">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60"/>
      </w:pPr>
      <w:r>
        <w:rPr>
          <w:rFonts w:ascii="Calibri" w:cs="Calibri" w:eastAsia="Calibri" w:hAnsi="Calibri"/>
          <w:sz w:val="22"/>
          <w:szCs w:val="22"/>
        </w:rPr>
        <w:t xml:space="preserve">The Commission's overall assessment of the transaction's impact on competition involved considering the elimination of important competitive constraints and the potential for price increases resulting from the merger, as outlined in the Horizontal Merger Guidelines </w:t>
      </w:r>
      <w:hyperlink w:history="1" r:id="rIdunzz3hvtgwb9gx08twtrl">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40"/>
      </w:pPr>
      <w:r>
        <w:rPr>
          <w:rFonts w:ascii="Calibri" w:cs="Calibri" w:eastAsia="Calibri" w:hAnsi="Calibri"/>
          <w:b/>
          <w:bCs/>
          <w:i/>
          <w:iCs/>
          <w:color w:val="1F4E5F"/>
          <w:sz w:val="22"/>
          <w:szCs w:val="22"/>
        </w:rPr>
        <w:t xml:space="preserve">Legal &amp; Economic Tests</w:t>
      </w:r>
    </w:p>
    <w:p>
      <w:pPr>
        <w:pStyle w:val="ListParagraph"/>
        <w:numPr>
          <w:ilvl w:val="0"/>
          <w:numId w:val="1"/>
        </w:numPr>
        <w:spacing w:after="120"/>
      </w:pPr>
      <w:r>
        <w:rPr>
          <w:rFonts w:ascii="Calibri" w:cs="Calibri" w:eastAsia="Calibri" w:hAnsi="Calibri"/>
          <w:sz w:val="22"/>
          <w:szCs w:val="22"/>
        </w:rPr>
        <w:t xml:space="preserve">Substantive Test under Article 2(2) and (3) of the Merger Regulation: This test assesses whether a merger would significantly impede effective competition in the internal market or a substantial part of it, particularly through the creation or strengthening of a dominant position. In this case, the Commission determined that the merger could lead to significant competition concerns in oligopolistic markets, necessitating a thorough analysis of the competitive constraints imposed by the merging parties on each other. This involved evaluating the potential for price increases and the overall impact on market dynamics. </w:t>
      </w:r>
      <w:hyperlink w:history="1" r:id="rIdfqxe3hr5ebithaenrjxey">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Assessment of Non-Coordinated Effects: </w:t>
      </w:r>
      <w:r>
        <w:rPr>
          <w:rFonts w:ascii="Calibri" w:cs="Calibri" w:eastAsia="Calibri" w:hAnsi="Calibri"/>
          <w:sz w:val="22"/>
          <w:szCs w:val="22"/>
        </w:rPr>
        <w:t xml:space="preserve">This economic test focuses on the potential for a merger to remove important competitive constraints between the merging firms, which could lead to increased market power and price increases. The Commission analyzed the extent of competition lost between the merging parties and the implications for remaining competitors, considering how the merger might affect pricing strategies across the market. This assessment was crucial in determining whether the merger would significantly impede effective competition. </w:t>
      </w:r>
      <w:hyperlink w:history="1" r:id="rIdqwnfmltqxql6vuji2ouuj">
        <w:r>
          <w:rPr>
            <w:rStyle w:val="Hyperlink"/>
            <w:rFonts w:ascii="Calibri" w:cs="Calibri" w:eastAsia="Calibri" w:hAnsi="Calibri"/>
            <w:sz w:val="22"/>
            <w:szCs w:val="22"/>
          </w:rPr>
          <w:t xml:space="preserve">[3]</w:t>
        </w:r>
      </w:hyperlink>
    </w:p>
    <w:p>
      <w:pPr>
        <w:pStyle w:val="ListParagraph"/>
        <w:numPr>
          <w:ilvl w:val="0"/>
          <w:numId w:val="1"/>
        </w:numPr>
        <w:spacing w:after="120"/>
      </w:pPr>
      <w:r>
        <w:rPr>
          <w:rFonts w:ascii="Calibri" w:cs="Calibri" w:eastAsia="Calibri" w:hAnsi="Calibri"/>
          <w:b/>
          <w:bCs/>
          <w:sz w:val="22"/>
          <w:szCs w:val="22"/>
        </w:rPr>
        <w:t xml:space="preserve">Commitments and Remedies Assessment: </w:t>
      </w:r>
      <w:r>
        <w:rPr>
          <w:rFonts w:ascii="Calibri" w:cs="Calibri" w:eastAsia="Calibri" w:hAnsi="Calibri"/>
          <w:sz w:val="22"/>
          <w:szCs w:val="22"/>
        </w:rPr>
        <w:t xml:space="preserve">When competition concerns are identified, merging parties may propose commitments to address these issues. The Commission evaluates whether these commitments can effectively eliminate the identified competition concerns and whether they are comprehensive, proportionate, and capable of being implemented in a timely manner. In this case, the Notifying Party submitted commitments, which were subject to market testing and further evaluation to ensure they would maintain effective competition post-merger. </w:t>
      </w:r>
      <w:hyperlink w:history="1" r:id="rIdmd95egqezfvmsvwqq6r_s">
        <w:r>
          <w:rPr>
            <w:rStyle w:val="Hyperlink"/>
            <w:rFonts w:ascii="Calibri" w:cs="Calibri" w:eastAsia="Calibri" w:hAnsi="Calibri"/>
            <w:sz w:val="22"/>
            <w:szCs w:val="22"/>
          </w:rPr>
          <w:t xml:space="preserve">[3]</w:t>
        </w:r>
      </w:hyperlink>
    </w:p>
    <w:p>
      <w:pPr>
        <w:spacing w:after="120" w:before="240"/>
      </w:pPr>
      <w:r>
        <w:rPr>
          <w:rFonts w:ascii="Calibri" w:cs="Calibri" w:eastAsia="Calibri" w:hAnsi="Calibri"/>
          <w:b/>
          <w:bCs/>
          <w:i/>
          <w:iCs/>
          <w:color w:val="1F4E5F"/>
          <w:sz w:val="22"/>
          <w:szCs w:val="22"/>
        </w:rPr>
        <w:t xml:space="preserve">Conclusion</w:t>
      </w:r>
    </w:p>
    <w:p>
      <w:pPr>
        <w:pStyle w:val="ListParagraph"/>
        <w:numPr>
          <w:ilvl w:val="0"/>
          <w:numId w:val="1"/>
        </w:numPr>
        <w:spacing w:after="120"/>
      </w:pPr>
      <w:r>
        <w:rPr>
          <w:rFonts w:ascii="Calibri" w:cs="Calibri" w:eastAsia="Calibri" w:hAnsi="Calibri"/>
          <w:sz w:val="22"/>
          <w:szCs w:val="22"/>
        </w:rPr>
        <w:t xml:space="preserve">The Commission concluded that the proposed merger between Microsoft and Activision Blizzard was likely to significantly impede effective competition in a substantial part of the internal market, as indicated in the Statement of Objections issued on 31 January 2023 </w:t>
      </w:r>
      <w:hyperlink w:history="1" r:id="rIddynqvt5cl0pdvmhkq3lzp">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Notifying Party submitted commitments on 16 March 2023 to address the identified competition concerns, which led to an extension of the legal deadline for the Commission's decision </w:t>
      </w:r>
      <w:hyperlink w:history="1" r:id="rIduw4hqv5xlk7te1b0qso2l">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A market test of the initial commitments was launched on 17 March 2023, followed by a second market test for revised commitments on 4 April 2023, indicating the Commission's thorough assessment process </w:t>
      </w:r>
      <w:hyperlink w:history="1" r:id="rIdffsqvwn4ziptxi9r6fcom">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The Advisory Committee issued a positive opinion on the draft decision regarding the merger on 28 April 2023, suggesting that the proposed remedies were deemed acceptable </w:t>
      </w:r>
      <w:hyperlink w:history="1" r:id="rIdpnz18rzcjfee4gnsd6ayl">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Ultimately, the Commission declared the concentration to be compatible with the internal market and the EEA agreement on 15 May 2023, indicating that the commitments were effective in addressing the competition concerns </w:t>
      </w:r>
      <w:hyperlink w:history="1" r:id="rIdbhogyk2jyu2gizhncrvaw">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pStyle w:val="ListParagraph"/>
        <w:numPr>
          <w:ilvl w:val="0"/>
          <w:numId w:val="1"/>
        </w:numPr>
        <w:spacing w:after="120"/>
      </w:pPr>
      <w:r>
        <w:rPr>
          <w:rFonts w:ascii="Calibri" w:cs="Calibri" w:eastAsia="Calibri" w:hAnsi="Calibri"/>
          <w:sz w:val="22"/>
          <w:szCs w:val="22"/>
        </w:rPr>
        <w:t xml:space="preserve">No fines were imposed in this case, as the focus was on the assessment of the merger's impact and the acceptance of commitments rather than punitive measures </w:t>
      </w:r>
      <w:hyperlink w:history="1" r:id="rIdeppisbcctysgewamd0lhx">
        <w:r>
          <w:rPr>
            <w:rStyle w:val="Hyperlink"/>
            <w:rFonts w:ascii="Calibri" w:cs="Calibri" w:eastAsia="Calibri" w:hAnsi="Calibri"/>
            <w:sz w:val="22"/>
            <w:szCs w:val="22"/>
          </w:rPr>
          <w:t xml:space="preserve">[3]</w:t>
        </w:r>
      </w:hyperlink>
      <w:r>
        <w:rPr>
          <w:rFonts w:ascii="Calibri" w:cs="Calibri" w:eastAsia="Calibri" w:hAnsi="Calibri"/>
          <w:sz w:val="22"/>
          <w:szCs w:val="22"/>
        </w:rPr>
        <w:t xml:space="preserve">.</w:t>
      </w:r>
    </w:p>
    <w:p>
      <w:pPr>
        <w:spacing w:after="120" w:before="280"/>
      </w:pPr>
      <w:r>
        <w:rPr>
          <w:rFonts w:ascii="Calibri" w:cs="Calibri" w:eastAsia="Calibri" w:hAnsi="Calibri"/>
          <w:b/>
          <w:bCs/>
          <w:color w:val="1F4E5F"/>
          <w:sz w:val="22"/>
          <w:szCs w:val="22"/>
        </w:rPr>
        <w:t xml:space="preserve">Cited Sources</w:t>
      </w:r>
    </w:p>
    <w:p>
      <w:pPr>
        <w:pStyle w:val="ListParagraph"/>
        <w:numPr>
          <w:ilvl w:val="0"/>
          <w:numId w:val="2"/>
        </w:numPr>
        <w:spacing w:after="100"/>
      </w:pPr>
      <w:hyperlink w:history="1" r:id="rId9rdubgwhrjkcone-5ejb0">
        <w:r>
          <w:rPr>
            <w:rStyle w:val="Hyperlink"/>
            <w:rFonts w:ascii="Calibri" w:cs="Calibri" w:eastAsia="Calibri" w:hAnsi="Calibri"/>
            <w:sz w:val="22"/>
            <w:szCs w:val="22"/>
          </w:rPr>
          <w:t xml:space="preserve">B6-34-23: Microsoft and OpenAI</w:t>
        </w:r>
      </w:hyperlink>
    </w:p>
    <w:p>
      <w:pPr>
        <w:pStyle w:val="ListParagraph"/>
        <w:numPr>
          <w:ilvl w:val="0"/>
          <w:numId w:val="2"/>
        </w:numPr>
        <w:spacing w:after="100"/>
      </w:pPr>
      <w:hyperlink w:history="1" r:id="rIdvim2rmiyihxevbvpmsrj2">
        <w:r>
          <w:rPr>
            <w:rStyle w:val="Hyperlink"/>
            <w:rFonts w:ascii="Calibri" w:cs="Calibri" w:eastAsia="Calibri" w:hAnsi="Calibri"/>
            <w:sz w:val="22"/>
            <w:szCs w:val="22"/>
          </w:rPr>
          <w:t xml:space="preserve">Case M.8124 – Microsoft / LinkedIn</w:t>
        </w:r>
      </w:hyperlink>
    </w:p>
    <w:p>
      <w:pPr>
        <w:pStyle w:val="ListParagraph"/>
        <w:numPr>
          <w:ilvl w:val="0"/>
          <w:numId w:val="2"/>
        </w:numPr>
        <w:spacing w:after="100"/>
      </w:pPr>
      <w:hyperlink w:history="1" r:id="rId2ytuayo4srsmlzm41hwxi">
        <w:r>
          <w:rPr>
            <w:rStyle w:val="Hyperlink"/>
            <w:rFonts w:ascii="Calibri" w:cs="Calibri" w:eastAsia="Calibri" w:hAnsi="Calibri"/>
            <w:sz w:val="22"/>
            <w:szCs w:val="22"/>
          </w:rPr>
          <w:t xml:space="preserve">Case M.10646 – MICROSOFT / ACTIVISION BLIZZARD</w:t>
        </w:r>
      </w:hyperlink>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mdigflq-f706u5muildx"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rfr3pngixirchfiqd-8i6"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6rfo_n_l28rvcoy_emtxq"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vs6kvpk7nev8cx0srlo-k"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tkrpw9tx9aby8eetxvy5i"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i7nwqy75k8fxxxgunizii"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m3ql5d8dix4jimzdtef4p"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xebbncyandgvq6qceblid"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1ke9_9kbesquapm_vt3vs"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be1brig8cntpurljl9l4n"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b1mhn57igpwtdn6sax0yf"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ujvwidae94ankn-aunvia"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leqq3ymodcmzij1_g7tob"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vwsjtg43ws7t1_kwzo4x3"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hghyfs6iz3jj-0wvtrurb"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7xckranzcenc9jgvumy28"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qko3enaojawnooc1s1elv"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fco8d8n-rmr5lh6jexwp-"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yf_ojj_tg__kgigg7vkts"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zrrsghoexvy5i876c3wef"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xkv93jy9o7cczfghw9wyi"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p1fhqlobnjmxtdcxzdas"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gdy_nftmg-txyygagjeyo"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x-xixwqf62sfb-30hmnsa"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0q1m1jr_elnab68cxasi0"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twp66wfygxdsnelusdw_t"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re-ywwnzvexuckjesuk82"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ztmqhtt917j_coanmsqok"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8wn1pvxetr5enqgrdxmbz" Type="http://schemas.openxmlformats.org/officeDocument/2006/relationships/hyperlink" Target="https://ec.europa.eu/competition/mergers/cases/decisions/m8124_1349_5.pdf" TargetMode="External"/><Relationship Id="rIds2onbmflrugeikprdjgy-" Type="http://schemas.openxmlformats.org/officeDocument/2006/relationships/hyperlink" Target="https://ec.europa.eu/competition/mergers/cases/decisions/m8124_1349_5.pdf" TargetMode="External"/><Relationship Id="rIdbbzdcqgaddrrxu3rqs-54" Type="http://schemas.openxmlformats.org/officeDocument/2006/relationships/hyperlink" Target="https://ec.europa.eu/competition/mergers/cases/decisions/m8124_1349_5.pdf" TargetMode="External"/><Relationship Id="rIdcebjiera8lv1tn12hogl1" Type="http://schemas.openxmlformats.org/officeDocument/2006/relationships/hyperlink" Target="https://ec.europa.eu/competition/mergers/cases/decisions/m8124_1349_5.pdf" TargetMode="External"/><Relationship Id="rIdtvnsvyf9cjqnxalqamkoh" Type="http://schemas.openxmlformats.org/officeDocument/2006/relationships/hyperlink" Target="https://ec.europa.eu/competition/mergers/cases/decisions/m8124_1349_5.pdf" TargetMode="External"/><Relationship Id="rId-waeul25nwrg_o2rqmdgt" Type="http://schemas.openxmlformats.org/officeDocument/2006/relationships/hyperlink" Target="https://ec.europa.eu/competition/mergers/cases/decisions/m8124_1349_5.pdf" TargetMode="External"/><Relationship Id="rId4lkn5tkw5zpj1hd5i3nf1" Type="http://schemas.openxmlformats.org/officeDocument/2006/relationships/hyperlink" Target="https://ec.europa.eu/competition/mergers/cases/decisions/m8124_1349_5.pdf" TargetMode="External"/><Relationship Id="rIdo8tklld_eooleuzjp63jn" Type="http://schemas.openxmlformats.org/officeDocument/2006/relationships/hyperlink" Target="https://ec.europa.eu/competition/mergers/cases/decisions/m8124_1349_5.pdf" TargetMode="External"/><Relationship Id="rIdhcdip3btncbbqjcite_qf" Type="http://schemas.openxmlformats.org/officeDocument/2006/relationships/hyperlink" Target="https://ec.europa.eu/competition/mergers/cases/decisions/m8124_1349_5.pdf" TargetMode="External"/><Relationship Id="rIdflb40pwccgqh6bkukijv3" Type="http://schemas.openxmlformats.org/officeDocument/2006/relationships/hyperlink" Target="https://ec.europa.eu/competition/mergers/cases/decisions/m8124_1349_5.pdf" TargetMode="External"/><Relationship Id="rIdgb3bubmxqz520iiudaaqn" Type="http://schemas.openxmlformats.org/officeDocument/2006/relationships/hyperlink" Target="https://ec.europa.eu/competition/mergers/cases/decisions/m8124_1349_5.pdf" TargetMode="External"/><Relationship Id="rIdmsuwxxqeroszms8k46cwt" Type="http://schemas.openxmlformats.org/officeDocument/2006/relationships/hyperlink" Target="https://ec.europa.eu/competition/mergers/cases/decisions/m8124_1349_5.pdf" TargetMode="External"/><Relationship Id="rIdoaeqkowsiptie7iypkte_" Type="http://schemas.openxmlformats.org/officeDocument/2006/relationships/hyperlink" Target="https://ec.europa.eu/competition/mergers/cases/decisions/m8124_1349_5.pdf" TargetMode="External"/><Relationship Id="rIdovfaknzoaolqpefuzyhbb" Type="http://schemas.openxmlformats.org/officeDocument/2006/relationships/hyperlink" Target="https://ec.europa.eu/competition/mergers/cases/decisions/m8124_1349_5.pdf" TargetMode="External"/><Relationship Id="rId5htc4dtnwprqx6exfgzm1" Type="http://schemas.openxmlformats.org/officeDocument/2006/relationships/hyperlink" Target="https://ec.europa.eu/competition/mergers/cases/decisions/m8124_1349_5.pdf" TargetMode="External"/><Relationship Id="rIdzbjk1-nzty6r2mdsg1vda" Type="http://schemas.openxmlformats.org/officeDocument/2006/relationships/hyperlink" Target="https://ec.europa.eu/competition/mergers/cases/decisions/m8124_1349_5.pdf" TargetMode="External"/><Relationship Id="rId2-d0s-16fhblzj1zv1opa" Type="http://schemas.openxmlformats.org/officeDocument/2006/relationships/hyperlink" Target="https://ec.europa.eu/competition/mergers/cases/decisions/m8124_1349_5.pdf" TargetMode="External"/><Relationship Id="rIdx_zmygceblloeni1u4lwf" Type="http://schemas.openxmlformats.org/officeDocument/2006/relationships/hyperlink" Target="https://ec.europa.eu/competition/mergers/cases/decisions/m8124_1349_5.pdf" TargetMode="External"/><Relationship Id="rIdf-zyt5n6ddsbsyqstgm3u" Type="http://schemas.openxmlformats.org/officeDocument/2006/relationships/hyperlink" Target="https://ec.europa.eu/competition/mergers/cases/decisions/m8124_1349_5.pdf" TargetMode="External"/><Relationship Id="rIdmcesmbue-mhntxykrxusy" Type="http://schemas.openxmlformats.org/officeDocument/2006/relationships/hyperlink" Target="https://ec.europa.eu/competition/mergers/cases/decisions/m8124_1349_5.pdf" TargetMode="External"/><Relationship Id="rIdquaxhh7oazsmdi8fkxfwt" Type="http://schemas.openxmlformats.org/officeDocument/2006/relationships/hyperlink" Target="https://ec.europa.eu/competition/mergers/cases/decisions/m8124_1349_5.pdf" TargetMode="External"/><Relationship Id="rIdd0pngpve13jfbxz1f4de3" Type="http://schemas.openxmlformats.org/officeDocument/2006/relationships/hyperlink" Target="https://ec.europa.eu/competition/mergers/cases/decisions/m8124_1349_5.pdf" TargetMode="External"/><Relationship Id="rIdrwsv2clhozsi46hzieg_b" Type="http://schemas.openxmlformats.org/officeDocument/2006/relationships/hyperlink" Target="https://ec.europa.eu/competition/mergers/cases/decisions/m8124_1349_5.pdf" TargetMode="External"/><Relationship Id="rId0mqjc4ndmhqscedz6y_e6" Type="http://schemas.openxmlformats.org/officeDocument/2006/relationships/hyperlink" Target="https://ec.europa.eu/competition/mergers/cases/decisions/m8124_1349_5.pdf" TargetMode="External"/><Relationship Id="rIde2zgrjnnrbfzjv4i5d0gx" Type="http://schemas.openxmlformats.org/officeDocument/2006/relationships/hyperlink" Target="https://ec.europa.eu/competition/mergers/cases/decisions/m8124_1349_5.pdf" TargetMode="External"/><Relationship Id="rId5zs8frgc_7grtb4prvfec" Type="http://schemas.openxmlformats.org/officeDocument/2006/relationships/hyperlink" Target="https://ec.europa.eu/competition/mergers/cases/decisions/m8124_1349_5.pdf" TargetMode="External"/><Relationship Id="rIdwriwmd_c1x1wjzf2wnzl3" Type="http://schemas.openxmlformats.org/officeDocument/2006/relationships/hyperlink" Target="https://ec.europa.eu/competition/mergers/cases/decisions/m8124_1349_5.pdf" TargetMode="External"/><Relationship Id="rId1nknbtcvdzn6igxk6e8zi" Type="http://schemas.openxmlformats.org/officeDocument/2006/relationships/hyperlink" Target="https://ec.europa.eu/competition/mergers/cases/decisions/m8124_1349_5.pdf" TargetMode="External"/><Relationship Id="rIdnaijwiw-snirfxp2qnggy" Type="http://schemas.openxmlformats.org/officeDocument/2006/relationships/hyperlink" Target="https://ec.europa.eu/competition/mergers/cases/decisions/m8124_1349_5.pdf" TargetMode="External"/><Relationship Id="rId20qyedxjc1an8oos8cpov" Type="http://schemas.openxmlformats.org/officeDocument/2006/relationships/hyperlink" Target="https://ec.europa.eu/competition/mergers/cases1/202330/M_10646_9311516_7443_3.pdf" TargetMode="External"/><Relationship Id="rIdnya8gwyvbulcysdrgvy0r" Type="http://schemas.openxmlformats.org/officeDocument/2006/relationships/hyperlink" Target="https://ec.europa.eu/competition/mergers/cases1/202330/M_10646_9311516_7443_3.pdf" TargetMode="External"/><Relationship Id="rIdetuuanqq3_v7y45nyeljd" Type="http://schemas.openxmlformats.org/officeDocument/2006/relationships/hyperlink" Target="https://ec.europa.eu/competition/mergers/cases1/202330/M_10646_9311516_7443_3.pdf" TargetMode="External"/><Relationship Id="rIdagkqsxa3y9kemladooocx" Type="http://schemas.openxmlformats.org/officeDocument/2006/relationships/hyperlink" Target="https://ec.europa.eu/competition/mergers/cases1/202330/M_10646_9311516_7443_3.pdf" TargetMode="External"/><Relationship Id="rIdnhhmcbafesjhdi41yj1oc" Type="http://schemas.openxmlformats.org/officeDocument/2006/relationships/hyperlink" Target="https://ec.europa.eu/competition/mergers/cases1/202330/M_10646_9311516_7443_3.pdf" TargetMode="External"/><Relationship Id="rIdz9crnwxmrwc564jeampyu" Type="http://schemas.openxmlformats.org/officeDocument/2006/relationships/hyperlink" Target="https://ec.europa.eu/competition/mergers/cases1/202330/M_10646_9311516_7443_3.pdf" TargetMode="External"/><Relationship Id="rId_g5rvyqiod59xhnrnu4lq" Type="http://schemas.openxmlformats.org/officeDocument/2006/relationships/hyperlink" Target="https://ec.europa.eu/competition/mergers/cases1/202330/M_10646_9311516_7443_3.pdf" TargetMode="External"/><Relationship Id="rId--wzmnwleuiwawpuyoq__" Type="http://schemas.openxmlformats.org/officeDocument/2006/relationships/hyperlink" Target="https://ec.europa.eu/competition/mergers/cases1/202330/M_10646_9311516_7443_3.pdf" TargetMode="External"/><Relationship Id="rIdpxknzqqg48drxwc34eq0f" Type="http://schemas.openxmlformats.org/officeDocument/2006/relationships/hyperlink" Target="https://ec.europa.eu/competition/mergers/cases1/202330/M_10646_9311516_7443_3.pdf" TargetMode="External"/><Relationship Id="rIdhtt25vfvaa0x5poyayqju" Type="http://schemas.openxmlformats.org/officeDocument/2006/relationships/hyperlink" Target="https://ec.europa.eu/competition/mergers/cases1/202330/M_10646_9311516_7443_3.pdf" TargetMode="External"/><Relationship Id="rIdwqcjui0pmek1mir06qzl1" Type="http://schemas.openxmlformats.org/officeDocument/2006/relationships/hyperlink" Target="https://ec.europa.eu/competition/mergers/cases1/202330/M_10646_9311516_7443_3.pdf" TargetMode="External"/><Relationship Id="rIdtxzns_si6hltikj3kktpz" Type="http://schemas.openxmlformats.org/officeDocument/2006/relationships/hyperlink" Target="https://ec.europa.eu/competition/mergers/cases1/202330/M_10646_9311516_7443_3.pdf" TargetMode="External"/><Relationship Id="rIdi47d7y2sqd9-uzpbcnjof" Type="http://schemas.openxmlformats.org/officeDocument/2006/relationships/hyperlink" Target="https://ec.europa.eu/competition/mergers/cases1/202330/M_10646_9311516_7443_3.pdf" TargetMode="External"/><Relationship Id="rIdptjtzgshzzhscne1it3vf" Type="http://schemas.openxmlformats.org/officeDocument/2006/relationships/hyperlink" Target="https://ec.europa.eu/competition/mergers/cases1/202330/M_10646_9311516_7443_3.pdf" TargetMode="External"/><Relationship Id="rIdok8klhyh2uxhyqqn4by55" Type="http://schemas.openxmlformats.org/officeDocument/2006/relationships/hyperlink" Target="https://ec.europa.eu/competition/mergers/cases1/202330/M_10646_9311516_7443_3.pdf" TargetMode="External"/><Relationship Id="rIdnxx_3jfsgojs-a1vcjklt" Type="http://schemas.openxmlformats.org/officeDocument/2006/relationships/hyperlink" Target="https://ec.europa.eu/competition/mergers/cases1/202330/M_10646_9311516_7443_3.pdf" TargetMode="External"/><Relationship Id="rIdunzz3hvtgwb9gx08twtrl" Type="http://schemas.openxmlformats.org/officeDocument/2006/relationships/hyperlink" Target="https://ec.europa.eu/competition/mergers/cases1/202330/M_10646_9311516_7443_3.pdf" TargetMode="External"/><Relationship Id="rIdfqxe3hr5ebithaenrjxey" Type="http://schemas.openxmlformats.org/officeDocument/2006/relationships/hyperlink" Target="https://ec.europa.eu/competition/mergers/cases1/202330/M_10646_9311516_7443_3.pdf" TargetMode="External"/><Relationship Id="rIdqwnfmltqxql6vuji2ouuj" Type="http://schemas.openxmlformats.org/officeDocument/2006/relationships/hyperlink" Target="https://ec.europa.eu/competition/mergers/cases1/202330/M_10646_9311516_7443_3.pdf" TargetMode="External"/><Relationship Id="rIdmd95egqezfvmsvwqq6r_s" Type="http://schemas.openxmlformats.org/officeDocument/2006/relationships/hyperlink" Target="https://ec.europa.eu/competition/mergers/cases1/202330/M_10646_9311516_7443_3.pdf" TargetMode="External"/><Relationship Id="rIddynqvt5cl0pdvmhkq3lzp" Type="http://schemas.openxmlformats.org/officeDocument/2006/relationships/hyperlink" Target="https://ec.europa.eu/competition/mergers/cases1/202330/M_10646_9311516_7443_3.pdf" TargetMode="External"/><Relationship Id="rIduw4hqv5xlk7te1b0qso2l" Type="http://schemas.openxmlformats.org/officeDocument/2006/relationships/hyperlink" Target="https://ec.europa.eu/competition/mergers/cases1/202330/M_10646_9311516_7443_3.pdf" TargetMode="External"/><Relationship Id="rIdffsqvwn4ziptxi9r6fcom" Type="http://schemas.openxmlformats.org/officeDocument/2006/relationships/hyperlink" Target="https://ec.europa.eu/competition/mergers/cases1/202330/M_10646_9311516_7443_3.pdf" TargetMode="External"/><Relationship Id="rIdpnz18rzcjfee4gnsd6ayl" Type="http://schemas.openxmlformats.org/officeDocument/2006/relationships/hyperlink" Target="https://ec.europa.eu/competition/mergers/cases1/202330/M_10646_9311516_7443_3.pdf" TargetMode="External"/><Relationship Id="rIdbhogyk2jyu2gizhncrvaw" Type="http://schemas.openxmlformats.org/officeDocument/2006/relationships/hyperlink" Target="https://ec.europa.eu/competition/mergers/cases1/202330/M_10646_9311516_7443_3.pdf" TargetMode="External"/><Relationship Id="rIdeppisbcctysgewamd0lhx" Type="http://schemas.openxmlformats.org/officeDocument/2006/relationships/hyperlink" Target="https://ec.europa.eu/competition/mergers/cases1/202330/M_10646_9311516_7443_3.pdf" TargetMode="External"/><Relationship Id="rId9rdubgwhrjkcone-5ejb0" Type="http://schemas.openxmlformats.org/officeDocument/2006/relationships/hyperlink" Target="https://www.bundeskartellamt.de/SharedDocs/Entscheidung/DE/Fallberichte/Fusionskontrolle/2023/B6-34-23.pdf;jsessionid=1F77BFEEA88723C73FCA6B77EDF0A450.1_cid508?__blob=publicationFile&amp;v=4" TargetMode="External"/><Relationship Id="rIdvim2rmiyihxevbvpmsrj2" Type="http://schemas.openxmlformats.org/officeDocument/2006/relationships/hyperlink" Target="https://ec.europa.eu/competition/mergers/cases/decisions/m8124_1349_5.pdf" TargetMode="External"/><Relationship Id="rId2ytuayo4srsmlzm41hwxi" Type="http://schemas.openxmlformats.org/officeDocument/2006/relationships/hyperlink" Target="https://ec.europa.eu/competition/mergers/cases1/202330/M_10646_9311516_7443_3.pdf" TargetMode="External"/><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2026-09-02T11:17:18.578Z</dcterms:created>
  <dcterms:modified xsi:type="dcterms:W3CDTF">2026-09-02T11:17:18.578Z</dcterms:modified>
</cp:coreProperties>
</file>

<file path=docProps/custom.xml><?xml version="1.0" encoding="utf-8"?>
<Properties xmlns="http://schemas.openxmlformats.org/officeDocument/2006/custom-properties" xmlns:vt="http://schemas.openxmlformats.org/officeDocument/2006/docPropsVTypes"/>
</file>