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Calibri" w:cs="Calibri" w:eastAsia="Calibri" w:hAnsi="Calibri"/>
          <w:b/>
          <w:bCs/>
          <w:color w:val="1F4E5F"/>
          <w:sz w:val="32"/>
          <w:szCs w:val="32"/>
        </w:rPr>
        <w:t xml:space="preserve">Response Transcript — Sample 5</w:t>
      </w:r>
    </w:p>
    <w:p>
      <w:pPr>
        <w:pBdr>
          <w:bottom w:val="single" w:color="AAAAAA" w:sz="6" w:space="4"/>
        </w:pBdr>
        <w:spacing w:after="200" w:before="200"/>
      </w:pPr>
    </w:p>
    <w:p>
      <w:pPr>
        <w:spacing w:after="120" w:before="240"/>
      </w:pPr>
      <w:r>
        <w:rPr>
          <w:rFonts w:ascii="Calibri" w:cs="Calibri" w:eastAsia="Calibri" w:hAnsi="Calibri"/>
          <w:b/>
          <w:bCs/>
          <w:color w:val="1F4E5F"/>
          <w:sz w:val="24"/>
          <w:szCs w:val="24"/>
        </w:rPr>
        <w:t xml:space="preserve">User Query</w:t>
      </w:r>
    </w:p>
    <w:p>
      <w:pPr>
        <w:pBdr>
          <w:left w:val="single" w:color="1F4E5F" w:sz="12" w:space="8"/>
        </w:pBdr>
        <w:spacing w:after="200"/>
        <w:ind w:left="360"/>
      </w:pPr>
      <w:r>
        <w:rPr>
          <w:rFonts w:ascii="Calibri" w:cs="Calibri" w:eastAsia="Calibri" w:hAnsi="Calibri"/>
          <w:i/>
          <w:iCs/>
          <w:sz w:val="22"/>
          <w:szCs w:val="22"/>
        </w:rPr>
        <w:t xml:space="preserve">Get me merger cases by Microsoft</w:t>
      </w:r>
    </w:p>
    <w:p>
      <w:pPr>
        <w:spacing w:after="120" w:before="240"/>
      </w:pPr>
      <w:r>
        <w:rPr>
          <w:rFonts w:ascii="Calibri" w:cs="Calibri" w:eastAsia="Calibri" w:hAnsi="Calibri"/>
          <w:b/>
          <w:bCs/>
          <w:color w:val="1F4E5F"/>
          <w:sz w:val="24"/>
          <w:szCs w:val="24"/>
        </w:rPr>
        <w:t xml:space="preserve">System Response</w:t>
      </w:r>
    </w:p>
    <w:p>
      <w:pPr>
        <w:spacing w:after="120"/>
      </w:pPr>
      <w:r>
        <w:rPr>
          <w:rFonts w:ascii="Calibri" w:cs="Calibri" w:eastAsia="Calibri" w:hAnsi="Calibri"/>
          <w:b w:val="false"/>
          <w:bCs w:val="false"/>
          <w:i w:val="false"/>
          <w:iCs w:val="false"/>
          <w:sz w:val="22"/>
          <w:szCs w:val="22"/>
        </w:rPr>
        <w:t xml:space="preserve">Here's an overview of the major merger/antitrust cases involving Microsoft:</w:t>
      </w:r>
    </w:p>
    <w:p>
      <w:pPr>
        <w:spacing w:after="120" w:before="240"/>
      </w:pPr>
      <w:r>
        <w:rPr>
          <w:rFonts w:ascii="Calibri" w:cs="Calibri" w:eastAsia="Calibri" w:hAnsi="Calibri"/>
          <w:b/>
          <w:bCs/>
          <w:sz w:val="22"/>
          <w:szCs w:val="22"/>
        </w:rPr>
        <w:t xml:space="preserve">FTC v. Microsoft Corp. (Activision Blizzard merger) — 2022–2025</w:t>
      </w:r>
    </w:p>
    <w:p>
      <w:pPr>
        <w:spacing w:after="120"/>
      </w:pPr>
      <w:r>
        <w:rPr>
          <w:rFonts w:ascii="Calibri" w:cs="Calibri" w:eastAsia="Calibri" w:hAnsi="Calibri"/>
          <w:b w:val="false"/>
          <w:bCs w:val="false"/>
          <w:i w:val="false"/>
          <w:iCs w:val="false"/>
          <w:sz w:val="22"/>
          <w:szCs w:val="22"/>
        </w:rPr>
        <w:t xml:space="preserve">The biggest recent one. Microsoft's $69 billion bid for Activision Blizzard (Call of Duty, World of Warcraft, Diablo, Overwatch) drew a formal FTC challenge.</w:t>
      </w:r>
    </w:p>
    <w:p>
      <w:pPr>
        <w:pStyle w:val="ListParagraph"/>
        <w:numPr>
          <w:ilvl w:val="0"/>
          <w:numId w:val="2"/>
        </w:numPr>
        <w:spacing w:after="100"/>
      </w:pPr>
      <w:r>
        <w:rPr>
          <w:rFonts w:ascii="Calibri" w:cs="Calibri" w:eastAsia="Calibri" w:hAnsi="Calibri"/>
          <w:b/>
          <w:bCs/>
          <w:i w:val="false"/>
          <w:iCs w:val="false"/>
          <w:sz w:val="22"/>
          <w:szCs w:val="22"/>
        </w:rPr>
        <w:t xml:space="preserve">Dec 2022</w:t>
      </w:r>
      <w:r>
        <w:rPr>
          <w:rFonts w:ascii="Calibri" w:cs="Calibri" w:eastAsia="Calibri" w:hAnsi="Calibri"/>
          <w:b w:val="false"/>
          <w:bCs w:val="false"/>
          <w:i w:val="false"/>
          <w:iCs w:val="false"/>
          <w:sz w:val="22"/>
          <w:szCs w:val="22"/>
        </w:rPr>
        <w:t xml:space="preserve"> — the FTC authorized an administrative complaint against the deal, alleging it would let Microsoft suppress competitors to Xbox and its subscription/cloud-gaming business. </w:t>
      </w:r>
      <w:hyperlink w:history="1" r:id="rIdr1ohp2epp-vbzyltozq5c">
        <w:r>
          <w:rPr>
            <w:rStyle w:val="Hyperlink"/>
            <w:rFonts w:ascii="Calibri" w:cs="Calibri" w:eastAsia="Calibri" w:hAnsi="Calibri"/>
            <w:sz w:val="22"/>
            <w:szCs w:val="22"/>
          </w:rPr>
          <w:t xml:space="preserve">[1]</w:t>
        </w:r>
      </w:hyperlink>
    </w:p>
    <w:p>
      <w:pPr>
        <w:pStyle w:val="ListParagraph"/>
        <w:numPr>
          <w:ilvl w:val="0"/>
          <w:numId w:val="2"/>
        </w:numPr>
        <w:spacing w:after="100"/>
      </w:pPr>
      <w:r>
        <w:rPr>
          <w:rFonts w:ascii="Calibri" w:cs="Calibri" w:eastAsia="Calibri" w:hAnsi="Calibri"/>
          <w:b/>
          <w:bCs/>
          <w:i w:val="false"/>
          <w:iCs w:val="false"/>
          <w:sz w:val="22"/>
          <w:szCs w:val="22"/>
        </w:rPr>
        <w:t xml:space="preserve">June–July 2023</w:t>
      </w:r>
      <w:r>
        <w:rPr>
          <w:rFonts w:ascii="Calibri" w:cs="Calibri" w:eastAsia="Calibri" w:hAnsi="Calibri"/>
          <w:b w:val="false"/>
          <w:bCs w:val="false"/>
          <w:i w:val="false"/>
          <w:iCs w:val="false"/>
          <w:sz w:val="22"/>
          <w:szCs w:val="22"/>
        </w:rPr>
        <w:t xml:space="preserve"> — the FTC also sought a temporary restraining order and preliminary injunction in the Northern District of California. A district judge denied the injunction (July 10, 2023). </w:t>
      </w:r>
      <w:hyperlink w:history="1" r:id="rId2pmsnak2y87vyrr9svhb8">
        <w:r>
          <w:rPr>
            <w:rStyle w:val="Hyperlink"/>
            <w:rFonts w:ascii="Calibri" w:cs="Calibri" w:eastAsia="Calibri" w:hAnsi="Calibri"/>
            <w:sz w:val="22"/>
            <w:szCs w:val="22"/>
          </w:rPr>
          <w:t xml:space="preserve">[2]</w:t>
        </w:r>
      </w:hyperlink>
    </w:p>
    <w:p>
      <w:pPr>
        <w:pStyle w:val="ListParagraph"/>
        <w:numPr>
          <w:ilvl w:val="0"/>
          <w:numId w:val="2"/>
        </w:numPr>
        <w:spacing w:after="100"/>
      </w:pPr>
      <w:r>
        <w:rPr>
          <w:rFonts w:ascii="Calibri" w:cs="Calibri" w:eastAsia="Calibri" w:hAnsi="Calibri"/>
          <w:b w:val="false"/>
          <w:bCs w:val="false"/>
          <w:i w:val="false"/>
          <w:iCs w:val="false"/>
          <w:sz w:val="22"/>
          <w:szCs w:val="22"/>
        </w:rPr>
        <w:t xml:space="preserve">The FTC's in-house administrative case was withdrawn from adjudication in July 2023, then returned to adjudication in September 2023. </w:t>
      </w:r>
      <w:hyperlink w:history="1" r:id="rIdp0mpweljmm3zxvtxyvyqy">
        <w:r>
          <w:rPr>
            <w:rStyle w:val="Hyperlink"/>
            <w:rFonts w:ascii="Calibri" w:cs="Calibri" w:eastAsia="Calibri" w:hAnsi="Calibri"/>
            <w:sz w:val="22"/>
            <w:szCs w:val="22"/>
          </w:rPr>
          <w:t xml:space="preserve">[1]</w:t>
        </w:r>
      </w:hyperlink>
    </w:p>
    <w:p>
      <w:pPr>
        <w:pStyle w:val="ListParagraph"/>
        <w:numPr>
          <w:ilvl w:val="0"/>
          <w:numId w:val="2"/>
        </w:numPr>
        <w:spacing w:after="100"/>
      </w:pPr>
      <w:r>
        <w:rPr>
          <w:rFonts w:ascii="Calibri" w:cs="Calibri" w:eastAsia="Calibri" w:hAnsi="Calibri"/>
          <w:b/>
          <w:bCs/>
          <w:i w:val="false"/>
          <w:iCs w:val="false"/>
          <w:sz w:val="22"/>
          <w:szCs w:val="22"/>
        </w:rPr>
        <w:t xml:space="preserve">May 7, 2025</w:t>
      </w:r>
      <w:r>
        <w:rPr>
          <w:rFonts w:ascii="Calibri" w:cs="Calibri" w:eastAsia="Calibri" w:hAnsi="Calibri"/>
          <w:b w:val="false"/>
          <w:bCs w:val="false"/>
          <w:i w:val="false"/>
          <w:iCs w:val="false"/>
          <w:sz w:val="22"/>
          <w:szCs w:val="22"/>
        </w:rPr>
        <w:t xml:space="preserve"> — The Ninth Circuit ruled decisively for Microsoft. The court's opinion in FTC v. Microsoft Corp. is now cited as something of an antitrust playbook for defending vertical mergers, addressing the FTC's foreclosure and entrenchment theories in gaming consoles, subscription content libraries, and cloud gaming. The deal ultimately closed. </w:t>
      </w:r>
      <w:hyperlink w:history="1" r:id="rId0varwp9kmatxis03dzzzw">
        <w:r>
          <w:rPr>
            <w:rStyle w:val="Hyperlink"/>
            <w:rFonts w:ascii="Calibri" w:cs="Calibri" w:eastAsia="Calibri" w:hAnsi="Calibri"/>
            <w:sz w:val="22"/>
            <w:szCs w:val="22"/>
          </w:rPr>
          <w:t xml:space="preserve">[3]</w:t>
        </w:r>
      </w:hyperlink>
    </w:p>
    <w:p>
      <w:pPr>
        <w:spacing w:after="120" w:before="240"/>
      </w:pPr>
      <w:r>
        <w:rPr>
          <w:rFonts w:ascii="Calibri" w:cs="Calibri" w:eastAsia="Calibri" w:hAnsi="Calibri"/>
          <w:b/>
          <w:bCs/>
          <w:sz w:val="22"/>
          <w:szCs w:val="22"/>
        </w:rPr>
        <w:t xml:space="preserve">United States v. Microsoft Corp. — 1998–2001 (not a merger case, but the landmark antitrust case)</w:t>
      </w:r>
    </w:p>
    <w:p>
      <w:pPr>
        <w:spacing w:after="120"/>
      </w:pPr>
      <w:r>
        <w:rPr>
          <w:rFonts w:ascii="Calibri" w:cs="Calibri" w:eastAsia="Calibri" w:hAnsi="Calibri"/>
          <w:b w:val="false"/>
          <w:bCs w:val="false"/>
          <w:i w:val="false"/>
          <w:iCs w:val="false"/>
          <w:sz w:val="22"/>
          <w:szCs w:val="22"/>
        </w:rPr>
        <w:t xml:space="preserve">This one gets confused with merger litigation but was actually a monopolization case:</w:t>
      </w:r>
    </w:p>
    <w:p>
      <w:pPr>
        <w:pStyle w:val="ListParagraph"/>
        <w:numPr>
          <w:ilvl w:val="0"/>
          <w:numId w:val="2"/>
        </w:numPr>
        <w:spacing w:after="100"/>
      </w:pPr>
      <w:r>
        <w:rPr>
          <w:rFonts w:ascii="Calibri" w:cs="Calibri" w:eastAsia="Calibri" w:hAnsi="Calibri"/>
          <w:b w:val="false"/>
          <w:bCs w:val="false"/>
          <w:i w:val="false"/>
          <w:iCs w:val="false"/>
          <w:sz w:val="22"/>
          <w:szCs w:val="22"/>
        </w:rPr>
        <w:t xml:space="preserve">In May 1998, the DOJ's Antitrust Division and a coalition of state attorneys general sued Microsoft in D.C. federal court, alleging Sherman Act violations tied to bundling Internet Explorer with Windows and related licensing practices. </w:t>
      </w:r>
      <w:hyperlink w:history="1" r:id="rIdv7_7rnzinhyjcd82lqtar">
        <w:r>
          <w:rPr>
            <w:rStyle w:val="Hyperlink"/>
            <w:rFonts w:ascii="Calibri" w:cs="Calibri" w:eastAsia="Calibri" w:hAnsi="Calibri"/>
            <w:sz w:val="22"/>
            <w:szCs w:val="22"/>
          </w:rPr>
          <w:t xml:space="preserve">[4]</w:t>
        </w:r>
      </w:hyperlink>
    </w:p>
    <w:p>
      <w:pPr>
        <w:pStyle w:val="ListParagraph"/>
        <w:numPr>
          <w:ilvl w:val="0"/>
          <w:numId w:val="2"/>
        </w:numPr>
        <w:spacing w:after="100"/>
      </w:pPr>
      <w:r>
        <w:rPr>
          <w:rFonts w:ascii="Calibri" w:cs="Calibri" w:eastAsia="Calibri" w:hAnsi="Calibri"/>
          <w:b w:val="false"/>
          <w:bCs w:val="false"/>
          <w:i w:val="false"/>
          <w:iCs w:val="false"/>
          <w:sz w:val="22"/>
          <w:szCs w:val="22"/>
        </w:rPr>
        <w:t xml:space="preserve">It ended in a </w:t>
      </w:r>
      <w:r>
        <w:rPr>
          <w:rFonts w:ascii="Calibri" w:cs="Calibri" w:eastAsia="Calibri" w:hAnsi="Calibri"/>
          <w:b/>
          <w:bCs/>
          <w:i w:val="false"/>
          <w:iCs w:val="false"/>
          <w:sz w:val="22"/>
          <w:szCs w:val="22"/>
        </w:rPr>
        <w:t xml:space="preserve">2001 settlement</w:t>
      </w:r>
      <w:r>
        <w:rPr>
          <w:rFonts w:ascii="Calibri" w:cs="Calibri" w:eastAsia="Calibri" w:hAnsi="Calibri"/>
          <w:b w:val="false"/>
          <w:bCs w:val="false"/>
          <w:i w:val="false"/>
          <w:iCs w:val="false"/>
          <w:sz w:val="22"/>
          <w:szCs w:val="22"/>
        </w:rPr>
        <w:t xml:space="preserve"> after a partially successful DOJ appeal.</w:t>
      </w:r>
    </w:p>
    <w:p>
      <w:pPr>
        <w:spacing w:after="120" w:before="240"/>
      </w:pPr>
      <w:r>
        <w:rPr>
          <w:rFonts w:ascii="Calibri" w:cs="Calibri" w:eastAsia="Calibri" w:hAnsi="Calibri"/>
          <w:b/>
          <w:bCs/>
          <w:sz w:val="22"/>
          <w:szCs w:val="22"/>
        </w:rPr>
        <w:t xml:space="preserve">Related litigation you might also mean</w:t>
      </w:r>
    </w:p>
    <w:p>
      <w:pPr>
        <w:pStyle w:val="ListParagraph"/>
        <w:numPr>
          <w:ilvl w:val="0"/>
          <w:numId w:val="2"/>
        </w:numPr>
        <w:spacing w:after="100"/>
      </w:pPr>
      <w:r>
        <w:rPr>
          <w:rFonts w:ascii="Calibri" w:cs="Calibri" w:eastAsia="Calibri" w:hAnsi="Calibri"/>
          <w:b/>
          <w:bCs/>
          <w:i w:val="false"/>
          <w:iCs w:val="false"/>
          <w:sz w:val="22"/>
          <w:szCs w:val="22"/>
        </w:rPr>
        <w:t xml:space="preserve">Novell v. Microsoft</w:t>
      </w:r>
      <w:r>
        <w:rPr>
          <w:rFonts w:ascii="Calibri" w:cs="Calibri" w:eastAsia="Calibri" w:hAnsi="Calibri"/>
          <w:b w:val="false"/>
          <w:bCs w:val="false"/>
          <w:i w:val="false"/>
          <w:iCs w:val="false"/>
          <w:sz w:val="22"/>
          <w:szCs w:val="22"/>
        </w:rPr>
        <w:t xml:space="preserve"> (2004–2007) — Novell sued over antitrust/unfair competition claims tied to Microsoft's conduct affecting WordPerfect and other Novell productivity software between 1994–1996; most claims were dismissed at trial and affirmed on appeal in 2007. </w:t>
      </w:r>
      <w:hyperlink w:history="1" r:id="rIdjgvjzaakhz5u1z4okerle">
        <w:r>
          <w:rPr>
            <w:rStyle w:val="Hyperlink"/>
            <w:rFonts w:ascii="Calibri" w:cs="Calibri" w:eastAsia="Calibri" w:hAnsi="Calibri"/>
            <w:sz w:val="22"/>
            <w:szCs w:val="22"/>
          </w:rPr>
          <w:t xml:space="preserve">[5]</w:t>
        </w:r>
      </w:hyperlink>
    </w:p>
    <w:p>
      <w:pPr>
        <w:pStyle w:val="ListParagraph"/>
        <w:numPr>
          <w:ilvl w:val="0"/>
          <w:numId w:val="2"/>
        </w:numPr>
        <w:spacing w:after="100"/>
      </w:pPr>
      <w:r>
        <w:rPr>
          <w:rFonts w:ascii="Calibri" w:cs="Calibri" w:eastAsia="Calibri" w:hAnsi="Calibri"/>
          <w:b/>
          <w:bCs/>
          <w:i w:val="false"/>
          <w:iCs w:val="false"/>
          <w:sz w:val="22"/>
          <w:szCs w:val="22"/>
        </w:rPr>
        <w:t xml:space="preserve">Alcatel-Lucent patent disputes</w:t>
      </w:r>
      <w:r>
        <w:rPr>
          <w:rFonts w:ascii="Calibri" w:cs="Calibri" w:eastAsia="Calibri" w:hAnsi="Calibri"/>
          <w:b w:val="false"/>
          <w:bCs w:val="false"/>
          <w:i w:val="false"/>
          <w:iCs w:val="false"/>
          <w:sz w:val="22"/>
          <w:szCs w:val="22"/>
        </w:rPr>
        <w:t xml:space="preserve"> — not a merger case itself, but tangled with the 2006 Alcatel-Lucent merger; a jury initially awarded $1.5 billion against Microsoft in 2007, which the trial court later overturned. </w:t>
      </w:r>
      <w:hyperlink w:history="1" r:id="rIdqbwowd4qbervf5a8hqfwg">
        <w:r>
          <w:rPr>
            <w:rStyle w:val="Hyperlink"/>
            <w:rFonts w:ascii="Calibri" w:cs="Calibri" w:eastAsia="Calibri" w:hAnsi="Calibri"/>
            <w:sz w:val="22"/>
            <w:szCs w:val="22"/>
          </w:rPr>
          <w:t xml:space="preserve">[5]</w:t>
        </w:r>
      </w:hyperlink>
    </w:p>
    <w:p>
      <w:pPr>
        <w:spacing w:after="120"/>
      </w:pPr>
      <w:r>
        <w:rPr>
          <w:rFonts w:ascii="Calibri" w:cs="Calibri" w:eastAsia="Calibri" w:hAnsi="Calibri"/>
          <w:b w:val="false"/>
          <w:bCs w:val="false"/>
          <w:i w:val="false"/>
          <w:iCs w:val="false"/>
          <w:sz w:val="22"/>
          <w:szCs w:val="22"/>
        </w:rPr>
        <w:t xml:space="preserve">If you meant a specific merger (Activision, LinkedIn, Nuance, ZeniMax, etc.) or want the full case timeline/documents for one of these, let me know and I can dig deeper.</w:t>
      </w:r>
    </w:p>
    <w:p>
      <w:pPr>
        <w:spacing w:after="120" w:before="240"/>
      </w:pPr>
      <w:r>
        <w:rPr>
          <w:rFonts w:ascii="Calibri" w:cs="Calibri" w:eastAsia="Calibri" w:hAnsi="Calibri"/>
          <w:b/>
          <w:bCs/>
          <w:color w:val="1F4E5F"/>
          <w:sz w:val="24"/>
          <w:szCs w:val="24"/>
        </w:rPr>
        <w:t xml:space="preserve">Cited Sources</w:t>
      </w:r>
    </w:p>
    <w:p>
      <w:pPr>
        <w:pStyle w:val="ListParagraph"/>
        <w:numPr>
          <w:ilvl w:val="0"/>
          <w:numId w:val="3"/>
        </w:numPr>
        <w:spacing w:after="80"/>
      </w:pPr>
      <w:hyperlink w:history="1" r:id="rIdvozbihxmgyy26h_7pnrfx">
        <w:r>
          <w:rPr>
            <w:rStyle w:val="Hyperlink"/>
            <w:rFonts w:ascii="Calibri" w:cs="Calibri" w:eastAsia="Calibri" w:hAnsi="Calibri"/>
            <w:sz w:val="22"/>
            <w:szCs w:val="22"/>
          </w:rPr>
          <w:t xml:space="preserve">https://www.ftc.gov/legal-library/browse/cases-proceedings/2210077-microsoftactivision-blizzard-matter</w:t>
        </w:r>
      </w:hyperlink>
    </w:p>
    <w:p>
      <w:pPr>
        <w:pStyle w:val="ListParagraph"/>
        <w:numPr>
          <w:ilvl w:val="0"/>
          <w:numId w:val="3"/>
        </w:numPr>
        <w:spacing w:after="80"/>
      </w:pPr>
      <w:hyperlink w:history="1" r:id="rIdm0bogagow7u9uuqhvhz1l">
        <w:r>
          <w:rPr>
            <w:rStyle w:val="Hyperlink"/>
            <w:rFonts w:ascii="Calibri" w:cs="Calibri" w:eastAsia="Calibri" w:hAnsi="Calibri"/>
            <w:sz w:val="22"/>
            <w:szCs w:val="22"/>
          </w:rPr>
          <w:t xml:space="preserve">https://harvardlawreview.org/print/vol-137/ftc-v-microsoft-corp/</w:t>
        </w:r>
      </w:hyperlink>
    </w:p>
    <w:p>
      <w:pPr>
        <w:pStyle w:val="ListParagraph"/>
        <w:numPr>
          <w:ilvl w:val="0"/>
          <w:numId w:val="3"/>
        </w:numPr>
        <w:spacing w:after="80"/>
      </w:pPr>
      <w:hyperlink w:history="1" r:id="rIdtgxleaypivj1ydfsqfwyl">
        <w:r>
          <w:rPr>
            <w:rStyle w:val="Hyperlink"/>
            <w:rFonts w:ascii="Calibri" w:cs="Calibri" w:eastAsia="Calibri" w:hAnsi="Calibri"/>
            <w:sz w:val="22"/>
            <w:szCs w:val="22"/>
          </w:rPr>
          <w:t xml:space="preserve">https://news.bloomberglaw.com/us-law-week/microsoft-ruling-offers-an-antitrust-playbook-for-vertical-deals</w:t>
        </w:r>
      </w:hyperlink>
    </w:p>
    <w:p>
      <w:pPr>
        <w:pStyle w:val="ListParagraph"/>
        <w:numPr>
          <w:ilvl w:val="0"/>
          <w:numId w:val="3"/>
        </w:numPr>
        <w:spacing w:after="80"/>
      </w:pPr>
      <w:hyperlink w:history="1" r:id="rIdfwosweb1jjqcl-i-x1ijl">
        <w:r>
          <w:rPr>
            <w:rStyle w:val="Hyperlink"/>
            <w:rFonts w:ascii="Calibri" w:cs="Calibri" w:eastAsia="Calibri" w:hAnsi="Calibri"/>
            <w:sz w:val="22"/>
            <w:szCs w:val="22"/>
          </w:rPr>
          <w:t xml:space="preserve">https://www.sec.gov/Archives/edgar/data/789019/000103221001000273/0001.txt</w:t>
        </w:r>
      </w:hyperlink>
    </w:p>
    <w:p>
      <w:pPr>
        <w:pStyle w:val="ListParagraph"/>
        <w:numPr>
          <w:ilvl w:val="0"/>
          <w:numId w:val="3"/>
        </w:numPr>
        <w:spacing w:after="80"/>
      </w:pPr>
      <w:hyperlink w:history="1" r:id="rIdrm-oqj-6mvm8nujb4g63g">
        <w:r>
          <w:rPr>
            <w:rStyle w:val="Hyperlink"/>
            <w:rFonts w:ascii="Calibri" w:cs="Calibri" w:eastAsia="Calibri" w:hAnsi="Calibri"/>
            <w:sz w:val="22"/>
            <w:szCs w:val="22"/>
          </w:rPr>
          <w:t xml:space="preserve">https://www.sec.gov/Archives/edgar/data/0000789019/000119312508162768/d10k.htm</w:t>
        </w:r>
      </w:hyperlink>
    </w:p>
    <w:sectPr>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1ohp2epp-vbzyltozq5c" Type="http://schemas.openxmlformats.org/officeDocument/2006/relationships/hyperlink" Target="https://www.ftc.gov/legal-library/browse/cases-proceedings/2210077-microsoftactivision-blizzard-matter" TargetMode="External"/><Relationship Id="rId2pmsnak2y87vyrr9svhb8" Type="http://schemas.openxmlformats.org/officeDocument/2006/relationships/hyperlink" Target="https://harvardlawreview.org/print/vol-137/ftc-v-microsoft-corp/" TargetMode="External"/><Relationship Id="rIdp0mpweljmm3zxvtxyvyqy" Type="http://schemas.openxmlformats.org/officeDocument/2006/relationships/hyperlink" Target="https://www.ftc.gov/legal-library/browse/cases-proceedings/2210077-microsoftactivision-blizzard-matter" TargetMode="External"/><Relationship Id="rId0varwp9kmatxis03dzzzw" Type="http://schemas.openxmlformats.org/officeDocument/2006/relationships/hyperlink" Target="https://news.bloomberglaw.com/us-law-week/microsoft-ruling-offers-an-antitrust-playbook-for-vertical-deals" TargetMode="External"/><Relationship Id="rIdv7_7rnzinhyjcd82lqtar" Type="http://schemas.openxmlformats.org/officeDocument/2006/relationships/hyperlink" Target="https://www.sec.gov/Archives/edgar/data/789019/000103221001000273/0001.txt" TargetMode="External"/><Relationship Id="rIdjgvjzaakhz5u1z4okerle" Type="http://schemas.openxmlformats.org/officeDocument/2006/relationships/hyperlink" Target="https://www.sec.gov/Archives/edgar/data/0000789019/000119312508162768/d10k.htm" TargetMode="External"/><Relationship Id="rIdqbwowd4qbervf5a8hqfwg" Type="http://schemas.openxmlformats.org/officeDocument/2006/relationships/hyperlink" Target="https://www.sec.gov/Archives/edgar/data/0000789019/000119312508162768/d10k.htm" TargetMode="External"/><Relationship Id="rIdvozbihxmgyy26h_7pnrfx" Type="http://schemas.openxmlformats.org/officeDocument/2006/relationships/hyperlink" Target="https://www.ftc.gov/legal-library/browse/cases-proceedings/2210077-microsoftactivision-blizzard-matter" TargetMode="External"/><Relationship Id="rIdm0bogagow7u9uuqhvhz1l" Type="http://schemas.openxmlformats.org/officeDocument/2006/relationships/hyperlink" Target="https://harvardlawreview.org/print/vol-137/ftc-v-microsoft-corp/" TargetMode="External"/><Relationship Id="rIdtgxleaypivj1ydfsqfwyl" Type="http://schemas.openxmlformats.org/officeDocument/2006/relationships/hyperlink" Target="https://news.bloomberglaw.com/us-law-week/microsoft-ruling-offers-an-antitrust-playbook-for-vertical-deals" TargetMode="External"/><Relationship Id="rIdfwosweb1jjqcl-i-x1ijl" Type="http://schemas.openxmlformats.org/officeDocument/2006/relationships/hyperlink" Target="https://www.sec.gov/Archives/edgar/data/789019/000103221001000273/0001.txt" TargetMode="External"/><Relationship Id="rIdrm-oqj-6mvm8nujb4g63g" Type="http://schemas.openxmlformats.org/officeDocument/2006/relationships/hyperlink" Target="https://www.sec.gov/Archives/edgar/data/0000789019/000119312508162768/d10k.htm"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2026-09-02T12:08:07.989Z</dcterms:created>
  <dcterms:modified xsi:type="dcterms:W3CDTF">2026-09-02T12:08:07.989Z</dcterms:modified>
</cp:coreProperties>
</file>

<file path=docProps/custom.xml><?xml version="1.0" encoding="utf-8"?>
<Properties xmlns="http://schemas.openxmlformats.org/officeDocument/2006/custom-properties" xmlns:vt="http://schemas.openxmlformats.org/officeDocument/2006/docPropsVTypes"/>
</file>