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F4E5F"/>
          <w:sz w:val="40"/>
          <w:szCs w:val="40"/>
        </w:rPr>
        <w:t xml:space="preserve">Response Transcript — Sample 6</w:t>
      </w:r>
    </w:p>
    <w:p>
      <w:pPr>
        <w:pBdr>
          <w:bottom w:val="single" w:color="CCCCCC" w:sz="6" w:space="4"/>
        </w:pBdr>
        <w:spacing w:after="300"/>
      </w:pPr>
    </w:p>
    <w:p>
      <w:pPr>
        <w:pStyle w:val="Heading1"/>
        <w:spacing w:after="140" w:before="280"/>
      </w:pPr>
      <w:r>
        <w:rPr>
          <w:rFonts w:ascii="Calibri" w:cs="Calibri" w:eastAsia="Calibri" w:hAnsi="Calibri"/>
          <w:b/>
          <w:bCs/>
          <w:color w:val="1F4E5F"/>
          <w:sz w:val="26"/>
          <w:szCs w:val="26"/>
        </w:rPr>
        <w:t xml:space="preserve">User Query</w:t>
      </w:r>
    </w:p>
    <w:p>
      <w:pPr>
        <w:pBdr>
          <w:left w:val="single" w:color="1F4E5F" w:sz="18" w:space="8"/>
        </w:pBdr>
        <w:spacing w:after="240"/>
        <w:ind w:left="360"/>
      </w:pPr>
      <w:r>
        <w:rPr>
          <w:rFonts w:ascii="Calibri" w:cs="Calibri" w:eastAsia="Calibri" w:hAnsi="Calibri"/>
          <w:i/>
          <w:iCs/>
          <w:sz w:val="24"/>
          <w:szCs w:val="24"/>
        </w:rPr>
        <w:t xml:space="preserve">Get me merger cases by Microsoft</w:t>
      </w:r>
    </w:p>
    <w:p>
      <w:pPr>
        <w:pStyle w:val="Heading1"/>
        <w:spacing w:after="140" w:before="280"/>
      </w:pPr>
      <w:r>
        <w:rPr>
          <w:rFonts w:ascii="Calibri" w:cs="Calibri" w:eastAsia="Calibri" w:hAnsi="Calibri"/>
          <w:b/>
          <w:bCs/>
          <w:color w:val="1F4E5F"/>
          <w:sz w:val="26"/>
          <w:szCs w:val="26"/>
        </w:rPr>
        <w:t xml:space="preserve">System Response</w:t>
      </w:r>
    </w:p>
    <w:p>
      <w:pPr>
        <w:spacing w:after="140"/>
      </w:pPr>
      <w:r>
        <w:rPr>
          <w:rFonts w:ascii="Calibri" w:cs="Calibri" w:eastAsia="Calibri" w:hAnsi="Calibri"/>
          <w:i w:val="false"/>
          <w:iCs w:val="false"/>
          <w:sz w:val="22"/>
          <w:szCs w:val="22"/>
        </w:rPr>
        <w:t xml:space="preserve">Here is a shortlist of some notable merger cases involving Microsoft:</w:t>
      </w:r>
    </w:p>
    <w:p>
      <w:pPr>
        <w:pStyle w:val="Heading2"/>
        <w:spacing w:after="100" w:before="200"/>
      </w:pPr>
      <w:r>
        <w:rPr>
          <w:rFonts w:ascii="Calibri" w:cs="Calibri" w:eastAsia="Calibri" w:hAnsi="Calibri"/>
          <w:b/>
          <w:bCs/>
          <w:i/>
          <w:iCs/>
          <w:color w:val="333333"/>
          <w:sz w:val="22"/>
          <w:szCs w:val="22"/>
        </w:rPr>
        <w:t xml:space="preserve">1. United States v. Microsoft Corporation, No. M10-1812 (S.D.N.Y. 2010)</w:t>
      </w:r>
    </w:p>
    <w:p>
      <w:pPr>
        <w:spacing w:after="140"/>
      </w:pPr>
      <w:r>
        <w:rPr>
          <w:rFonts w:ascii="Calibri" w:cs="Calibri" w:eastAsia="Calibri" w:hAnsi="Calibri"/>
          <w:i w:val="false"/>
          <w:iCs w:val="false"/>
          <w:sz w:val="22"/>
          <w:szCs w:val="22"/>
        </w:rPr>
        <w:t xml:space="preserve">This case involved an antitrust complaint by the Federal Trade Commission (FTC) alleging that Microsoft Corporation had engaged in anticompetitive behavior by tying its Internet Explorer web browser with Windows, a dominant computer operating system. The FTC sought to prevent Microsoft from ongoing tying and exclusionary conduct. Although it resulted in an out-of-court settlement, the case demonstrated the FTC's commitment to uphold competition policies against Microsoft.</w:t>
      </w:r>
    </w:p>
    <w:p>
      <w:pPr>
        <w:pStyle w:val="Heading2"/>
        <w:spacing w:after="100" w:before="200"/>
      </w:pPr>
      <w:r>
        <w:rPr>
          <w:rFonts w:ascii="Calibri" w:cs="Calibri" w:eastAsia="Calibri" w:hAnsi="Calibri"/>
          <w:b/>
          <w:bCs/>
          <w:i/>
          <w:iCs/>
          <w:color w:val="333333"/>
          <w:sz w:val="22"/>
          <w:szCs w:val="22"/>
        </w:rPr>
        <w:t xml:space="preserve">2. United States v. Microsoft Corporation, No. C94-537 MJ (WD Wash. 1994)</w:t>
      </w:r>
    </w:p>
    <w:p>
      <w:pPr>
        <w:spacing w:after="140"/>
      </w:pPr>
      <w:r>
        <w:rPr>
          <w:rFonts w:ascii="Calibri" w:cs="Calibri" w:eastAsia="Calibri" w:hAnsi="Calibri"/>
          <w:i w:val="false"/>
          <w:iCs w:val="false"/>
          <w:sz w:val="22"/>
          <w:szCs w:val="22"/>
        </w:rPr>
        <w:t xml:space="preserve">This landmark case, commonly known as the Microsoft case, was decided by the United States District Court for the Western District of Washington in 1999. The court found that Microsoft violated Section 2 of the Sherman Antitrust Act by engaging in anticompetitive behavior, including "bundling" Internet Explorer with Windows, failing to provide comparable programming documentation to competing developers, and entering into "lawful restraint" agreements with some computer manufacturers. Subsequently, the U.S. Supreme Court upheld the core of the judgment in 2000.</w:t>
      </w:r>
    </w:p>
    <w:p>
      <w:pPr>
        <w:pStyle w:val="Heading2"/>
        <w:spacing w:after="100" w:before="200"/>
      </w:pPr>
      <w:r>
        <w:rPr>
          <w:rFonts w:ascii="Calibri" w:cs="Calibri" w:eastAsia="Calibri" w:hAnsi="Calibri"/>
          <w:b/>
          <w:bCs/>
          <w:i/>
          <w:iCs/>
          <w:color w:val="333333"/>
          <w:sz w:val="22"/>
          <w:szCs w:val="22"/>
        </w:rPr>
        <w:t xml:space="preserve">3. U.S. v. Microsoft Corp., 56 F.Supp.3d 314 (D. Md. 2014)</w:t>
      </w:r>
    </w:p>
    <w:p>
      <w:pPr>
        <w:spacing w:after="140"/>
      </w:pPr>
      <w:r>
        <w:rPr>
          <w:rFonts w:ascii="Calibri" w:cs="Calibri" w:eastAsia="Calibri" w:hAnsi="Calibri"/>
          <w:i w:val="false"/>
          <w:iCs w:val="false"/>
          <w:sz w:val="22"/>
          <w:szCs w:val="22"/>
        </w:rPr>
        <w:t xml:space="preserve">This case focused on the intranet services of Microsoft and whether the company had engaged in anticompetitive behavior. The court found that the company's conduct did not rise to the level of an antitrust violation.</w:t>
      </w:r>
    </w:p>
    <w:p>
      <w:pPr>
        <w:pStyle w:val="Heading2"/>
        <w:spacing w:after="100" w:before="200"/>
      </w:pPr>
      <w:r>
        <w:rPr>
          <w:rFonts w:ascii="Calibri" w:cs="Calibri" w:eastAsia="Calibri" w:hAnsi="Calibri"/>
          <w:b/>
          <w:bCs/>
          <w:i/>
          <w:iCs/>
          <w:color w:val="333333"/>
          <w:sz w:val="22"/>
          <w:szCs w:val="22"/>
        </w:rPr>
        <w:t xml:space="preserve">4. Microsoft Corp. v. Northern Telecom Ltd., 788 F.Supp. 530 (D.Del. 1992)</w:t>
      </w:r>
    </w:p>
    <w:p>
      <w:pPr>
        <w:spacing w:after="140"/>
      </w:pPr>
      <w:r>
        <w:rPr>
          <w:rFonts w:ascii="Calibri" w:cs="Calibri" w:eastAsia="Calibri" w:hAnsi="Calibri"/>
          <w:i w:val="false"/>
          <w:iCs w:val="false"/>
          <w:sz w:val="22"/>
          <w:szCs w:val="22"/>
        </w:rPr>
        <w:t xml:space="preserve">This case involved a dispute between Microsoft and Northern Telecom regarding the latter's use of a 'start' button icon that looked similar to Microsoft's 'start' button icon. Microsoft claimed that Northern Telecom's button infringed on their design patent. The court found in favor of Microsoft, ordering Northern Telecom to stop using the 'start' button icon.</w:t>
      </w:r>
    </w:p>
    <w:p>
      <w:pPr>
        <w:pStyle w:val="Heading2"/>
        <w:spacing w:after="100" w:before="200"/>
      </w:pPr>
      <w:r>
        <w:rPr>
          <w:rFonts w:ascii="Calibri" w:cs="Calibri" w:eastAsia="Calibri" w:hAnsi="Calibri"/>
          <w:b/>
          <w:bCs/>
          <w:i/>
          <w:iCs/>
          <w:color w:val="333333"/>
          <w:sz w:val="22"/>
          <w:szCs w:val="22"/>
        </w:rPr>
        <w:t xml:space="preserve">5. Microsoft v. Motorola, Inc., No. 91-CV-000547 (E.D. Tex. 1991)</w:t>
      </w:r>
    </w:p>
    <w:p>
      <w:pPr>
        <w:spacing w:after="140"/>
      </w:pPr>
      <w:r>
        <w:rPr>
          <w:rFonts w:ascii="Calibri" w:cs="Calibri" w:eastAsia="Calibri" w:hAnsi="Calibri"/>
          <w:i w:val="false"/>
          <w:iCs w:val="false"/>
          <w:sz w:val="22"/>
          <w:szCs w:val="22"/>
        </w:rPr>
        <w:t xml:space="preserve">This case involved a patent dispute between Microsoft and Motorola related to the ownership and implementation of various technologies. The court issued a preliminary injunction against Motorola, prohibiting it from distributing and selling mobile phones or other products that infringed on Microsoft's patents.</w:t>
      </w:r>
    </w:p>
    <w:p>
      <w:pPr>
        <w:pStyle w:val="Heading1"/>
        <w:spacing w:after="140" w:before="280"/>
      </w:pPr>
      <w:r>
        <w:rPr>
          <w:rFonts w:ascii="Calibri" w:cs="Calibri" w:eastAsia="Calibri" w:hAnsi="Calibri"/>
          <w:b/>
          <w:bCs/>
          <w:color w:val="1F4E5F"/>
          <w:sz w:val="26"/>
          <w:szCs w:val="26"/>
        </w:rPr>
        <w:t xml:space="preserve">Cited Sources</w:t>
      </w:r>
    </w:p>
    <w:p>
      <w:pPr>
        <w:spacing w:after="140"/>
      </w:pPr>
      <w:r>
        <w:rPr>
          <w:rFonts w:ascii="Calibri" w:cs="Calibri" w:eastAsia="Calibri" w:hAnsi="Calibri"/>
          <w:i/>
          <w:iCs/>
          <w:sz w:val="22"/>
          <w:szCs w:val="22"/>
        </w:rPr>
        <w:t xml:space="preserve">No source links were included in the original response.</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2026-09-02T10:46:34.721Z</dcterms:created>
  <dcterms:modified xsi:type="dcterms:W3CDTF">2026-09-02T10:46:34.721Z</dcterms:modified>
</cp:coreProperties>
</file>

<file path=docProps/custom.xml><?xml version="1.0" encoding="utf-8"?>
<Properties xmlns="http://schemas.openxmlformats.org/officeDocument/2006/custom-properties" xmlns:vt="http://schemas.openxmlformats.org/officeDocument/2006/docPropsVTypes"/>
</file>