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rFonts w:ascii="Calibri" w:cs="Calibri" w:eastAsia="Calibri" w:hAnsi="Calibri"/>
          <w:b/>
          <w:bCs/>
          <w:color w:val="1F4E5F"/>
          <w:sz w:val="32"/>
          <w:szCs w:val="32"/>
        </w:rPr>
        <w:t xml:space="preserve">Response Transcript — Sample 2</w:t>
      </w:r>
    </w:p>
    <w:p>
      <w:pPr>
        <w:pBdr>
          <w:bottom w:val="single" w:color="AAAAAA" w:sz="6" w:space="4"/>
        </w:pBdr>
        <w:spacing w:after="200" w:before="200"/>
      </w:pPr>
    </w:p>
    <w:p>
      <w:pPr>
        <w:spacing w:after="120" w:before="240"/>
      </w:pPr>
      <w:r>
        <w:rPr>
          <w:rFonts w:ascii="Calibri" w:cs="Calibri" w:eastAsia="Calibri" w:hAnsi="Calibri"/>
          <w:b/>
          <w:bCs/>
          <w:color w:val="1F4E5F"/>
          <w:sz w:val="24"/>
          <w:szCs w:val="24"/>
        </w:rPr>
        <w:t xml:space="preserve">User Query</w:t>
      </w:r>
    </w:p>
    <w:p>
      <w:pPr>
        <w:pBdr>
          <w:left w:val="single" w:color="1F4E5F" w:sz="12" w:space="8"/>
        </w:pBdr>
        <w:spacing w:after="200"/>
        <w:ind w:left="360"/>
      </w:pPr>
      <w:r>
        <w:rPr>
          <w:rFonts w:ascii="Calibri" w:cs="Calibri" w:eastAsia="Calibri" w:hAnsi="Calibri"/>
          <w:i/>
          <w:iCs/>
          <w:sz w:val="22"/>
          <w:szCs w:val="22"/>
        </w:rPr>
        <w:t xml:space="preserve">Get me American cases by bank of america</w:t>
      </w:r>
    </w:p>
    <w:p>
      <w:pPr>
        <w:spacing w:after="120" w:before="240"/>
      </w:pPr>
      <w:r>
        <w:rPr>
          <w:rFonts w:ascii="Calibri" w:cs="Calibri" w:eastAsia="Calibri" w:hAnsi="Calibri"/>
          <w:b/>
          <w:bCs/>
          <w:color w:val="1F4E5F"/>
          <w:sz w:val="24"/>
          <w:szCs w:val="24"/>
        </w:rPr>
        <w:t xml:space="preserve">System Response</w:t>
      </w:r>
    </w:p>
    <w:p>
      <w:pPr>
        <w:spacing w:after="120"/>
      </w:pPr>
      <w:r>
        <w:rPr>
          <w:rFonts w:ascii="Calibri" w:cs="Calibri" w:eastAsia="Calibri" w:hAnsi="Calibri"/>
          <w:b w:val="false"/>
          <w:bCs w:val="false"/>
          <w:i w:val="false"/>
          <w:iCs w:val="false"/>
          <w:sz w:val="22"/>
          <w:szCs w:val="22"/>
        </w:rPr>
        <w:t xml:space="preserve">Here's a rundown of notable current legal cases involving Bank of America in the U.S.:</w:t>
      </w:r>
    </w:p>
    <w:p>
      <w:pPr>
        <w:pStyle w:val="ListParagraph"/>
        <w:numPr>
          <w:ilvl w:val="0"/>
          <w:numId w:val="2"/>
        </w:numPr>
        <w:spacing w:after="100"/>
      </w:pPr>
      <w:r>
        <w:rPr>
          <w:rFonts w:ascii="Calibri" w:cs="Calibri" w:eastAsia="Calibri" w:hAnsi="Calibri"/>
          <w:b/>
          <w:bCs/>
          <w:i w:val="false"/>
          <w:iCs w:val="false"/>
          <w:sz w:val="22"/>
          <w:szCs w:val="22"/>
        </w:rPr>
        <w:t xml:space="preserve">Epstein-related settlement (largest recent case)</w:t>
      </w:r>
      <w:r>
        <w:rPr>
          <w:rFonts w:ascii="Calibri" w:cs="Calibri" w:eastAsia="Calibri" w:hAnsi="Calibri"/>
          <w:sz w:val="22"/>
          <w:szCs w:val="22"/>
        </w:rPr>
        <w:br/>
        <w:t xml:space="preserve"/>
      </w:r>
      <w:r>
        <w:rPr>
          <w:rFonts w:ascii="Calibri" w:cs="Calibri" w:eastAsia="Calibri" w:hAnsi="Calibri"/>
          <w:b w:val="false"/>
          <w:bCs w:val="false"/>
          <w:i w:val="false"/>
          <w:iCs w:val="false"/>
          <w:sz w:val="22"/>
          <w:szCs w:val="22"/>
        </w:rPr>
        <w:t xml:space="preserve">Bank of America agreed to pay $72.5 million to settle a class action lawsuit alleging that the bank facilitated Jeffrey Epstein's sex trafficking operation, according to a New York federal court filing. The suit focused mainly on accounts allegedly used by Epstein's co-conspirators, associates and victims, rather than Epstein's own banking relationships. A federal judge announced he would grant final approval to the settlement with women who accused the bank of facilitating their sexual abuse by Epstein. This follows similar settlements by JPMorgan Chase and Deutsche Bank in earlier Epstein-related suits. </w:t>
      </w:r>
      <w:hyperlink w:history="1" r:id="rIdn7uk0rsku3dg4wk99ndh4">
        <w:r>
          <w:rPr>
            <w:rStyle w:val="Hyperlink"/>
            <w:rFonts w:ascii="Calibri" w:cs="Calibri" w:eastAsia="Calibri" w:hAnsi="Calibri"/>
            <w:sz w:val="22"/>
            <w:szCs w:val="22"/>
          </w:rPr>
          <w:t xml:space="preserve">[1]</w:t>
        </w:r>
      </w:hyperlink>
    </w:p>
    <w:p>
      <w:pPr>
        <w:pStyle w:val="ListParagraph"/>
        <w:numPr>
          <w:ilvl w:val="0"/>
          <w:numId w:val="2"/>
        </w:numPr>
        <w:spacing w:after="100"/>
      </w:pPr>
      <w:r>
        <w:rPr>
          <w:rFonts w:ascii="Calibri" w:cs="Calibri" w:eastAsia="Calibri" w:hAnsi="Calibri"/>
          <w:b/>
          <w:bCs/>
          <w:i w:val="false"/>
          <w:iCs w:val="false"/>
          <w:sz w:val="22"/>
          <w:szCs w:val="22"/>
        </w:rPr>
        <w:t xml:space="preserve">ATM fee class action</w:t>
      </w:r>
      <w:r>
        <w:rPr>
          <w:rFonts w:ascii="Calibri" w:cs="Calibri" w:eastAsia="Calibri" w:hAnsi="Calibri"/>
          <w:sz w:val="22"/>
          <w:szCs w:val="22"/>
        </w:rPr>
        <w:br/>
        <w:t xml:space="preserve"/>
      </w:r>
      <w:r>
        <w:rPr>
          <w:rFonts w:ascii="Calibri" w:cs="Calibri" w:eastAsia="Calibri" w:hAnsi="Calibri"/>
          <w:b w:val="false"/>
          <w:bCs w:val="false"/>
          <w:i w:val="false"/>
          <w:iCs w:val="false"/>
          <w:sz w:val="22"/>
          <w:szCs w:val="22"/>
        </w:rPr>
        <w:t xml:space="preserve">Bank of America customers may qualify for a payout from a $2.25 million settlement resolving claims the bank overcharged customers for out-of-network ATM fees. The case alleged the bank breached contracts by assessing multiple out-of-network fees on single balance inquiry requests at 7-Eleven ATMs owned by FCTI, covering the period from May 2018 to November 2021. A final approval hearing is scheduled for Aug. 21, 2026. </w:t>
      </w:r>
      <w:hyperlink w:history="1" r:id="rIdvfqqhuu1mdtb3rm7ov_7k">
        <w:r>
          <w:rPr>
            <w:rStyle w:val="Hyperlink"/>
            <w:rFonts w:ascii="Calibri" w:cs="Calibri" w:eastAsia="Calibri" w:hAnsi="Calibri"/>
            <w:sz w:val="22"/>
            <w:szCs w:val="22"/>
          </w:rPr>
          <w:t xml:space="preserve">[2]</w:t>
        </w:r>
      </w:hyperlink>
    </w:p>
    <w:p>
      <w:pPr>
        <w:pStyle w:val="ListParagraph"/>
        <w:numPr>
          <w:ilvl w:val="0"/>
          <w:numId w:val="2"/>
        </w:numPr>
        <w:spacing w:after="100"/>
      </w:pPr>
      <w:r>
        <w:rPr>
          <w:rFonts w:ascii="Calibri" w:cs="Calibri" w:eastAsia="Calibri" w:hAnsi="Calibri"/>
          <w:b/>
          <w:bCs/>
          <w:i w:val="false"/>
          <w:iCs w:val="false"/>
          <w:sz w:val="22"/>
          <w:szCs w:val="22"/>
        </w:rPr>
        <w:t xml:space="preserve">FDIC-related fee lawsuit</w:t>
      </w:r>
      <w:r>
        <w:rPr>
          <w:rFonts w:ascii="Calibri" w:cs="Calibri" w:eastAsia="Calibri" w:hAnsi="Calibri"/>
          <w:sz w:val="22"/>
          <w:szCs w:val="22"/>
        </w:rPr>
        <w:br/>
        <w:t xml:space="preserve"/>
      </w:r>
      <w:r>
        <w:rPr>
          <w:rFonts w:ascii="Calibri" w:cs="Calibri" w:eastAsia="Calibri" w:hAnsi="Calibri"/>
          <w:b w:val="false"/>
          <w:bCs w:val="false"/>
          <w:i w:val="false"/>
          <w:iCs w:val="false"/>
          <w:sz w:val="22"/>
          <w:szCs w:val="22"/>
        </w:rPr>
        <w:t xml:space="preserve">A federal class action claims Bank of America illegally charged customers fees meant for the FDIC institution itself. The claims window is expected to open in mid-2026, with settlement finalization and payment distribution anticipated during the year. </w:t>
      </w:r>
      <w:hyperlink w:history="1" r:id="rIdwdtfpc3bqjojlocgudtdj">
        <w:r>
          <w:rPr>
            <w:rStyle w:val="Hyperlink"/>
            <w:rFonts w:ascii="Calibri" w:cs="Calibri" w:eastAsia="Calibri" w:hAnsi="Calibri"/>
            <w:sz w:val="22"/>
            <w:szCs w:val="22"/>
          </w:rPr>
          <w:t xml:space="preserve">[3]</w:t>
        </w:r>
      </w:hyperlink>
    </w:p>
    <w:p>
      <w:pPr>
        <w:spacing w:after="60" w:before="160"/>
      </w:pPr>
      <w:r>
        <w:rPr>
          <w:rFonts w:ascii="Calibri" w:cs="Calibri" w:eastAsia="Calibri" w:hAnsi="Calibri"/>
          <w:b/>
          <w:bCs/>
          <w:i w:val="false"/>
          <w:iCs w:val="false"/>
          <w:sz w:val="22"/>
          <w:szCs w:val="22"/>
        </w:rPr>
        <w:t xml:space="preserve">Other pending/recent matters</w:t>
      </w:r>
      <w:r>
        <w:rPr>
          <w:rFonts w:ascii="Calibri" w:cs="Calibri" w:eastAsia="Calibri" w:hAnsi="Calibri"/>
          <w:b/>
          <w:bCs/>
          <w:i w:val="false"/>
          <w:iCs w:val="false"/>
          <w:sz w:val="22"/>
          <w:szCs w:val="22"/>
        </w:rPr>
        <w:t xml:space="preserve"> (per ClassAction.org's tracker):</w:t>
      </w:r>
    </w:p>
    <w:p>
      <w:pPr>
        <w:pStyle w:val="ListParagraph"/>
        <w:numPr>
          <w:ilvl w:val="0"/>
          <w:numId w:val="2"/>
        </w:numPr>
        <w:spacing w:after="100"/>
      </w:pPr>
      <w:r>
        <w:rPr>
          <w:rFonts w:ascii="Calibri" w:cs="Calibri" w:eastAsia="Calibri" w:hAnsi="Calibri"/>
          <w:b w:val="false"/>
          <w:bCs w:val="false"/>
          <w:i w:val="false"/>
          <w:iCs w:val="false"/>
          <w:sz w:val="22"/>
          <w:szCs w:val="22"/>
        </w:rPr>
        <w:t xml:space="preserve">A class action claims Bank of America does not update scheduled monthly card payments when cardholders pay their balance, leading to duplicate charges (filed Nov. 2025). </w:t>
      </w:r>
      <w:hyperlink w:history="1" r:id="rIdc9lfxts8zxn1mkdm806mf">
        <w:r>
          <w:rPr>
            <w:rStyle w:val="Hyperlink"/>
            <w:rFonts w:ascii="Calibri" w:cs="Calibri" w:eastAsia="Calibri" w:hAnsi="Calibri"/>
            <w:sz w:val="22"/>
            <w:szCs w:val="22"/>
          </w:rPr>
          <w:t xml:space="preserve">[4]</w:t>
        </w:r>
      </w:hyperlink>
    </w:p>
    <w:p>
      <w:pPr>
        <w:pStyle w:val="ListParagraph"/>
        <w:numPr>
          <w:ilvl w:val="0"/>
          <w:numId w:val="2"/>
        </w:numPr>
        <w:spacing w:after="100"/>
      </w:pPr>
      <w:r>
        <w:rPr>
          <w:rFonts w:ascii="Calibri" w:cs="Calibri" w:eastAsia="Calibri" w:hAnsi="Calibri"/>
          <w:b w:val="false"/>
          <w:bCs w:val="false"/>
          <w:i w:val="false"/>
          <w:iCs w:val="false"/>
          <w:sz w:val="22"/>
          <w:szCs w:val="22"/>
        </w:rPr>
        <w:t xml:space="preserve">A class action accuses Bank of America of illegally retaining millions in interest and investment income belonging to individuals receiving California EDD benefits (May 2025). </w:t>
      </w:r>
      <w:hyperlink w:history="1" r:id="rIds2j3057spn2k4olp5sdsz">
        <w:r>
          <w:rPr>
            <w:rStyle w:val="Hyperlink"/>
            <w:rFonts w:ascii="Calibri" w:cs="Calibri" w:eastAsia="Calibri" w:hAnsi="Calibri"/>
            <w:sz w:val="22"/>
            <w:szCs w:val="22"/>
          </w:rPr>
          <w:t xml:space="preserve">[4]</w:t>
        </w:r>
      </w:hyperlink>
    </w:p>
    <w:p>
      <w:pPr>
        <w:pStyle w:val="ListParagraph"/>
        <w:numPr>
          <w:ilvl w:val="0"/>
          <w:numId w:val="2"/>
        </w:numPr>
        <w:spacing w:after="100"/>
      </w:pPr>
      <w:r>
        <w:rPr>
          <w:rFonts w:ascii="Calibri" w:cs="Calibri" w:eastAsia="Calibri" w:hAnsi="Calibri"/>
          <w:b w:val="false"/>
          <w:bCs w:val="false"/>
          <w:i w:val="false"/>
          <w:iCs w:val="false"/>
          <w:sz w:val="22"/>
          <w:szCs w:val="22"/>
        </w:rPr>
        <w:t xml:space="preserve">A settled class action alleged the bank improperly charged fees to customers whose accounts were restrained by creditors (April 2025). </w:t>
      </w:r>
      <w:hyperlink w:history="1" r:id="rIdp9lgojcuv_w_0nsk8tirr">
        <w:r>
          <w:rPr>
            <w:rStyle w:val="Hyperlink"/>
            <w:rFonts w:ascii="Calibri" w:cs="Calibri" w:eastAsia="Calibri" w:hAnsi="Calibri"/>
            <w:sz w:val="22"/>
            <w:szCs w:val="22"/>
          </w:rPr>
          <w:t xml:space="preserve">[4]</w:t>
        </w:r>
      </w:hyperlink>
    </w:p>
    <w:p>
      <w:pPr>
        <w:pStyle w:val="ListParagraph"/>
        <w:numPr>
          <w:ilvl w:val="0"/>
          <w:numId w:val="2"/>
        </w:numPr>
        <w:spacing w:after="100"/>
      </w:pPr>
      <w:r>
        <w:rPr>
          <w:rFonts w:ascii="Calibri" w:cs="Calibri" w:eastAsia="Calibri" w:hAnsi="Calibri"/>
          <w:b w:val="false"/>
          <w:bCs w:val="false"/>
          <w:i w:val="false"/>
          <w:iCs w:val="false"/>
          <w:sz w:val="22"/>
          <w:szCs w:val="22"/>
        </w:rPr>
        <w:t xml:space="preserve">A class action claims Bank of America failed to disclose that Bill Pay enrollment would be canceled if customers didn't maintain an account with the bank (March 2025). </w:t>
      </w:r>
      <w:hyperlink w:history="1" r:id="rIdqm_kz1ek21kvvbfpcvbop">
        <w:r>
          <w:rPr>
            <w:rStyle w:val="Hyperlink"/>
            <w:rFonts w:ascii="Calibri" w:cs="Calibri" w:eastAsia="Calibri" w:hAnsi="Calibri"/>
            <w:sz w:val="22"/>
            <w:szCs w:val="22"/>
          </w:rPr>
          <w:t xml:space="preserve">[4]</w:t>
        </w:r>
      </w:hyperlink>
    </w:p>
    <w:p>
      <w:pPr>
        <w:pStyle w:val="ListParagraph"/>
        <w:numPr>
          <w:ilvl w:val="0"/>
          <w:numId w:val="2"/>
        </w:numPr>
        <w:spacing w:after="100"/>
      </w:pPr>
      <w:r>
        <w:rPr>
          <w:rFonts w:ascii="Calibri" w:cs="Calibri" w:eastAsia="Calibri" w:hAnsi="Calibri"/>
          <w:b/>
          <w:bCs/>
          <w:i w:val="false"/>
          <w:iCs w:val="false"/>
          <w:sz w:val="22"/>
          <w:szCs w:val="22"/>
        </w:rPr>
        <w:t xml:space="preserve">General litigation disclosure</w:t>
      </w:r>
      <w:r>
        <w:rPr>
          <w:rFonts w:ascii="Calibri" w:cs="Calibri" w:eastAsia="Calibri" w:hAnsi="Calibri"/>
          <w:sz w:val="22"/>
          <w:szCs w:val="22"/>
        </w:rPr>
        <w:br/>
        <w:t xml:space="preserve"/>
      </w:r>
      <w:r>
        <w:rPr>
          <w:rFonts w:ascii="Calibri" w:cs="Calibri" w:eastAsia="Calibri" w:hAnsi="Calibri"/>
          <w:b w:val="false"/>
          <w:bCs w:val="false"/>
          <w:i w:val="false"/>
          <w:iCs w:val="false"/>
          <w:sz w:val="22"/>
          <w:szCs w:val="22"/>
        </w:rPr>
        <w:t xml:space="preserve">Bank of America's 2026 SEC filings note that in the ordinary course of business, the corporation and its subsidiaries are routinely defendants in or parties to many pending and threatened legal, regulatory, and governmental actions and proceedings, and it generally cannot predict outcomes given the volume and complexity of these matters. </w:t>
      </w:r>
      <w:hyperlink w:history="1" r:id="rIdodeyyj2cqkwjgut6bnozr">
        <w:r>
          <w:rPr>
            <w:rStyle w:val="Hyperlink"/>
            <w:rFonts w:ascii="Calibri" w:cs="Calibri" w:eastAsia="Calibri" w:hAnsi="Calibri"/>
            <w:sz w:val="22"/>
            <w:szCs w:val="22"/>
          </w:rPr>
          <w:t xml:space="preserve">[5]</w:t>
        </w:r>
      </w:hyperlink>
    </w:p>
    <w:p>
      <w:pPr>
        <w:spacing w:after="120"/>
      </w:pPr>
      <w:r>
        <w:rPr>
          <w:rFonts w:ascii="Calibri" w:cs="Calibri" w:eastAsia="Calibri" w:hAnsi="Calibri"/>
          <w:b w:val="false"/>
          <w:bCs w:val="false"/>
          <w:i w:val="false"/>
          <w:iCs w:val="false"/>
          <w:sz w:val="22"/>
          <w:szCs w:val="22"/>
        </w:rPr>
        <w:t xml:space="preserve">Want me to dig deeper into any one of these cases, or are you looking for something more specific — like litigation BofA has filed against others, a particular type of case, or a certain time period?</w:t>
      </w:r>
    </w:p>
    <w:p>
      <w:pPr>
        <w:spacing w:after="120" w:before="240"/>
      </w:pPr>
      <w:r>
        <w:rPr>
          <w:rFonts w:ascii="Calibri" w:cs="Calibri" w:eastAsia="Calibri" w:hAnsi="Calibri"/>
          <w:b/>
          <w:bCs/>
          <w:color w:val="1F4E5F"/>
          <w:sz w:val="24"/>
          <w:szCs w:val="24"/>
        </w:rPr>
        <w:t xml:space="preserve">Cited Sources</w:t>
      </w:r>
    </w:p>
    <w:p>
      <w:pPr>
        <w:pStyle w:val="ListParagraph"/>
        <w:numPr>
          <w:ilvl w:val="0"/>
          <w:numId w:val="3"/>
        </w:numPr>
        <w:spacing w:after="80"/>
      </w:pPr>
      <w:hyperlink w:history="1" r:id="rIdyvhfdbf7tazdv3y9_hhbt">
        <w:r>
          <w:rPr>
            <w:rStyle w:val="Hyperlink"/>
            <w:rFonts w:ascii="Calibri" w:cs="Calibri" w:eastAsia="Calibri" w:hAnsi="Calibri"/>
            <w:sz w:val="22"/>
            <w:szCs w:val="22"/>
          </w:rPr>
          <w:t xml:space="preserve">https://www.cnbc.com/2026/03/27/jeffrey-epstein-bank-of-america-lawsuit-settle.html</w:t>
        </w:r>
      </w:hyperlink>
    </w:p>
    <w:p>
      <w:pPr>
        <w:pStyle w:val="ListParagraph"/>
        <w:numPr>
          <w:ilvl w:val="0"/>
          <w:numId w:val="3"/>
        </w:numPr>
        <w:spacing w:after="80"/>
      </w:pPr>
      <w:hyperlink w:history="1" r:id="rIde0krboblputtb08e6rpld">
        <w:r>
          <w:rPr>
            <w:rStyle w:val="Hyperlink"/>
            <w:rFonts w:ascii="Calibri" w:cs="Calibri" w:eastAsia="Calibri" w:hAnsi="Calibri"/>
            <w:sz w:val="22"/>
            <w:szCs w:val="22"/>
          </w:rPr>
          <w:t xml:space="preserve">https://www.cnbc.com/select/bank-of-america-atm-fee-2-25m-settlement/</w:t>
        </w:r>
      </w:hyperlink>
    </w:p>
    <w:p>
      <w:pPr>
        <w:pStyle w:val="ListParagraph"/>
        <w:numPr>
          <w:ilvl w:val="0"/>
          <w:numId w:val="3"/>
        </w:numPr>
        <w:spacing w:after="80"/>
      </w:pPr>
      <w:hyperlink w:history="1" r:id="rIdfnsy1ff0dwbpkhbt44pem">
        <w:r>
          <w:rPr>
            <w:rStyle w:val="Hyperlink"/>
            <w:rFonts w:ascii="Calibri" w:cs="Calibri" w:eastAsia="Calibri" w:hAnsi="Calibri"/>
            <w:sz w:val="22"/>
            <w:szCs w:val="22"/>
          </w:rPr>
          <w:t xml:space="preserve">https://lawfold.com/bank-of-america-fdic-lawsuit/</w:t>
        </w:r>
      </w:hyperlink>
    </w:p>
    <w:p>
      <w:pPr>
        <w:pStyle w:val="ListParagraph"/>
        <w:numPr>
          <w:ilvl w:val="0"/>
          <w:numId w:val="3"/>
        </w:numPr>
        <w:spacing w:after="80"/>
      </w:pPr>
      <w:hyperlink w:history="1" r:id="rId0_tfjxbye-vqnva3pq4by">
        <w:r>
          <w:rPr>
            <w:rStyle w:val="Hyperlink"/>
            <w:rFonts w:ascii="Calibri" w:cs="Calibri" w:eastAsia="Calibri" w:hAnsi="Calibri"/>
            <w:sz w:val="22"/>
            <w:szCs w:val="22"/>
          </w:rPr>
          <w:t xml:space="preserve">https://www.classaction.org/news/category/bank-of-america-na</w:t>
        </w:r>
      </w:hyperlink>
    </w:p>
    <w:p>
      <w:pPr>
        <w:pStyle w:val="ListParagraph"/>
        <w:numPr>
          <w:ilvl w:val="0"/>
          <w:numId w:val="3"/>
        </w:numPr>
        <w:spacing w:after="80"/>
      </w:pPr>
      <w:hyperlink w:history="1" r:id="rId4h5csmrwt4yrs6dh_8za5">
        <w:r>
          <w:rPr>
            <w:rStyle w:val="Hyperlink"/>
            <w:rFonts w:ascii="Calibri" w:cs="Calibri" w:eastAsia="Calibri" w:hAnsi="Calibri"/>
            <w:sz w:val="22"/>
            <w:szCs w:val="22"/>
          </w:rPr>
          <w:t xml:space="preserve">https://www.sec.gov/Archives/edgar/data/0000070858/000007085826000394/bac-20260630.htm</w:t>
        </w:r>
      </w:hyperlink>
    </w:p>
    <w:sectPr>
      <w:pgSz w:w="12240" w:h="15840" w:orient="portrait"/>
      <w:pgMar w:top="1350" w:right="1080" w:bottom="13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7uk0rsku3dg4wk99ndh4" Type="http://schemas.openxmlformats.org/officeDocument/2006/relationships/hyperlink" Target="https://www.cnbc.com/2026/03/27/jeffrey-epstein-bank-of-america-lawsuit-settle.html" TargetMode="External"/><Relationship Id="rIdvfqqhuu1mdtb3rm7ov_7k" Type="http://schemas.openxmlformats.org/officeDocument/2006/relationships/hyperlink" Target="https://www.cnbc.com/select/bank-of-america-atm-fee-2-25m-settlement/" TargetMode="External"/><Relationship Id="rIdwdtfpc3bqjojlocgudtdj" Type="http://schemas.openxmlformats.org/officeDocument/2006/relationships/hyperlink" Target="https://lawfold.com/bank-of-america-fdic-lawsuit/" TargetMode="External"/><Relationship Id="rIdc9lfxts8zxn1mkdm806mf" Type="http://schemas.openxmlformats.org/officeDocument/2006/relationships/hyperlink" Target="https://www.classaction.org/news/category/bank-of-america-na" TargetMode="External"/><Relationship Id="rIds2j3057spn2k4olp5sdsz" Type="http://schemas.openxmlformats.org/officeDocument/2006/relationships/hyperlink" Target="https://www.classaction.org/news/category/bank-of-america-na" TargetMode="External"/><Relationship Id="rIdp9lgojcuv_w_0nsk8tirr" Type="http://schemas.openxmlformats.org/officeDocument/2006/relationships/hyperlink" Target="https://www.classaction.org/news/category/bank-of-america-na" TargetMode="External"/><Relationship Id="rIdqm_kz1ek21kvvbfpcvbop" Type="http://schemas.openxmlformats.org/officeDocument/2006/relationships/hyperlink" Target="https://www.classaction.org/news/category/bank-of-america-na" TargetMode="External"/><Relationship Id="rIdodeyyj2cqkwjgut6bnozr" Type="http://schemas.openxmlformats.org/officeDocument/2006/relationships/hyperlink" Target="https://www.sec.gov/Archives/edgar/data/0000070858/000007085826000394/bac-20260630.htm" TargetMode="External"/><Relationship Id="rIdyvhfdbf7tazdv3y9_hhbt" Type="http://schemas.openxmlformats.org/officeDocument/2006/relationships/hyperlink" Target="https://www.cnbc.com/2026/03/27/jeffrey-epstein-bank-of-america-lawsuit-settle.html" TargetMode="External"/><Relationship Id="rIde0krboblputtb08e6rpld" Type="http://schemas.openxmlformats.org/officeDocument/2006/relationships/hyperlink" Target="https://www.cnbc.com/select/bank-of-america-atm-fee-2-25m-settlement/" TargetMode="External"/><Relationship Id="rIdfnsy1ff0dwbpkhbt44pem" Type="http://schemas.openxmlformats.org/officeDocument/2006/relationships/hyperlink" Target="https://lawfold.com/bank-of-america-fdic-lawsuit/" TargetMode="External"/><Relationship Id="rId0_tfjxbye-vqnva3pq4by" Type="http://schemas.openxmlformats.org/officeDocument/2006/relationships/hyperlink" Target="https://www.classaction.org/news/category/bank-of-america-na" TargetMode="External"/><Relationship Id="rId4h5csmrwt4yrs6dh_8za5" Type="http://schemas.openxmlformats.org/officeDocument/2006/relationships/hyperlink" Target="https://www.sec.gov/Archives/edgar/data/0000070858/000007085826000394/bac-20260630.htm"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2026-09-02T12:08:09.337Z</dcterms:created>
  <dcterms:modified xsi:type="dcterms:W3CDTF">2026-09-02T12:08:09.337Z</dcterms:modified>
</cp:coreProperties>
</file>

<file path=docProps/custom.xml><?xml version="1.0" encoding="utf-8"?>
<Properties xmlns="http://schemas.openxmlformats.org/officeDocument/2006/custom-properties" xmlns:vt="http://schemas.openxmlformats.org/officeDocument/2006/docPropsVTypes"/>
</file>