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F4E5F"/>
          <w:sz w:val="32"/>
          <w:szCs w:val="32"/>
        </w:rPr>
        <w:t xml:space="preserve">Response Transcript — Sample 3</w:t>
      </w:r>
    </w:p>
    <w:p>
      <w:pPr>
        <w:pBdr>
          <w:bottom w:val="single" w:color="1F4E5F" w:sz="8" w:space="4"/>
        </w:pBdr>
        <w:spacing w:after="240"/>
      </w:pPr>
    </w:p>
    <w:p>
      <w:pPr>
        <w:spacing w:after="120"/>
      </w:pPr>
      <w:r>
        <w:rPr>
          <w:rFonts w:ascii="Calibri" w:cs="Calibri" w:eastAsia="Calibri" w:hAnsi="Calibri"/>
          <w:b/>
          <w:bCs/>
          <w:color w:val="1F4E5F"/>
          <w:sz w:val="22"/>
          <w:szCs w:val="22"/>
        </w:rPr>
        <w:t xml:space="preserve">User Query</w:t>
      </w:r>
    </w:p>
    <w:p>
      <w:pPr>
        <w:pBdr>
          <w:left w:val="single" w:color="1F4E5F" w:sz="12" w:space="8"/>
        </w:pBdr>
        <w:spacing w:after="280"/>
        <w:ind w:left="360"/>
      </w:pPr>
      <w:r>
        <w:rPr>
          <w:rFonts w:ascii="Calibri" w:cs="Calibri" w:eastAsia="Calibri" w:hAnsi="Calibri"/>
          <w:i/>
          <w:iCs/>
          <w:sz w:val="22"/>
          <w:szCs w:val="22"/>
        </w:rPr>
        <w:t xml:space="preserve">get me american cases by bank of america</w:t>
      </w:r>
    </w:p>
    <w:p>
      <w:pPr>
        <w:spacing w:after="120"/>
      </w:pPr>
      <w:r>
        <w:rPr>
          <w:rFonts w:ascii="Calibri" w:cs="Calibri" w:eastAsia="Calibri" w:hAnsi="Calibri"/>
          <w:b/>
          <w:bCs/>
          <w:color w:val="1F4E5F"/>
          <w:sz w:val="22"/>
          <w:szCs w:val="22"/>
        </w:rPr>
        <w:t xml:space="preserve">System Response</w:t>
      </w:r>
    </w:p>
    <w:p>
      <w:pPr>
        <w:spacing w:after="160" w:before="300"/>
      </w:pPr>
      <w:r>
        <w:rPr>
          <w:rFonts w:ascii="Calibri" w:cs="Calibri" w:eastAsia="Calibri" w:hAnsi="Calibri"/>
          <w:b/>
          <w:bCs/>
          <w:color w:val="1F4E5F"/>
          <w:sz w:val="22"/>
          <w:szCs w:val="22"/>
        </w:rPr>
        <w:t xml:space="preserve">Final Judgment: U.S. v. BankAmerica Corp., et al.</w:t>
      </w:r>
    </w:p>
    <w:p>
      <w:pPr>
        <w:spacing w:after="120" w:before="240"/>
      </w:pPr>
      <w:r>
        <w:rPr>
          <w:rFonts w:ascii="Calibri" w:cs="Calibri" w:eastAsia="Calibri" w:hAnsi="Calibri"/>
          <w:b/>
          <w:bCs/>
          <w:i/>
          <w:iCs/>
          <w:color w:val="1F4E5F"/>
          <w:sz w:val="22"/>
          <w:szCs w:val="22"/>
        </w:rPr>
        <w:t xml:space="preserve">Case Background</w:t>
      </w:r>
    </w:p>
    <w:p>
      <w:pPr>
        <w:spacing w:after="160"/>
      </w:pPr>
      <w:r>
        <w:rPr>
          <w:rFonts w:ascii="Calibri" w:cs="Calibri" w:eastAsia="Calibri" w:hAnsi="Calibri"/>
          <w:sz w:val="22"/>
          <w:szCs w:val="22"/>
        </w:rPr>
        <w:t xml:space="preserve">The allegation made in this case involves violations of antitrust laws, specifically concerning director interlocks between competing corporations. </w:t>
      </w:r>
      <w:hyperlink w:history="1" r:id="rIde6bm_q_z-s7aac8nvq_j6">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companies involved in the allegations include BankAmerica Corporation, Bank of America National Trust &amp; Savings Association, Bankers Trust New York Corporation, Bankers Trust Company, and The Prudential Insurance Company of America. </w:t>
      </w:r>
      <w:hyperlink w:history="1" r:id="rId8cxr9wm7hkgmzokpra8h2">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case was initiated in the year 1975, with the complaint filed on October 6. </w:t>
      </w:r>
      <w:hyperlink w:history="1" r:id="rIdb80etexbszli7lpo_lmff">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violation pertains to the prohibition of a person serving as a director in multiple corporations that are competitors, as outlined in the Clayton Act. This was conducted through the appointment of E. Hornsby Wasson as a director of both BankAmerica and The Prudential Insurance Company, which are considered competitors under the antitrust laws. </w:t>
      </w:r>
      <w:hyperlink w:history="1" r:id="rIdthathqcs0455naurjhol7">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judgment enjoined Wasson from serving as a director of BankAmerica and Bank of America while also serving as a director of The Prudential Insurance Company or its subsidiaries. </w:t>
      </w:r>
      <w:hyperlink w:history="1" r:id="rIdt4-ptahpijcfacqay3lee">
        <w:r>
          <w:rPr>
            <w:rStyle w:val="Hyperlink"/>
            <w:rFonts w:ascii="Calibri" w:cs="Calibri" w:eastAsia="Calibri" w:hAnsi="Calibri"/>
            <w:sz w:val="22"/>
            <w:szCs w:val="22"/>
          </w:rPr>
          <w:t xml:space="preserve">[1]</w:t>
        </w:r>
      </w:hyperlink>
    </w:p>
    <w:p>
      <w:pPr>
        <w:spacing w:after="120" w:before="240"/>
      </w:pPr>
      <w:r>
        <w:rPr>
          <w:rFonts w:ascii="Calibri" w:cs="Calibri" w:eastAsia="Calibri" w:hAnsi="Calibri"/>
          <w:b/>
          <w:bCs/>
          <w:i/>
          <w:iCs/>
          <w:color w:val="1F4E5F"/>
          <w:sz w:val="22"/>
          <w:szCs w:val="22"/>
        </w:rPr>
        <w:t xml:space="preserve">Case Progression</w:t>
      </w:r>
    </w:p>
    <w:p>
      <w:pPr>
        <w:pStyle w:val="ListParagraph"/>
        <w:numPr>
          <w:ilvl w:val="0"/>
          <w:numId w:val="1"/>
        </w:numPr>
        <w:spacing w:after="120"/>
      </w:pPr>
      <w:r>
        <w:rPr>
          <w:rFonts w:ascii="Calibri" w:cs="Calibri" w:eastAsia="Calibri" w:hAnsi="Calibri"/>
          <w:b/>
          <w:bCs/>
          <w:sz w:val="22"/>
          <w:szCs w:val="22"/>
        </w:rPr>
        <w:t xml:space="preserve">Initiation: </w:t>
      </w:r>
      <w:r>
        <w:rPr>
          <w:rFonts w:ascii="Calibri" w:cs="Calibri" w:eastAsia="Calibri" w:hAnsi="Calibri"/>
          <w:sz w:val="22"/>
          <w:szCs w:val="22"/>
        </w:rPr>
        <w:t xml:space="preserve">The case was initiated by the United States filing a complaint on October 6, 1975, against several defendants, including BankAmerica Corporation and E. Hornsby Wasson. This marks the beginning of a civil action under the Clayton Act, indicating a civil conduct track </w:t>
      </w:r>
      <w:hyperlink w:history="1" r:id="rId4qblddfoaojgae1jkldfd">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Investigation: </w:t>
      </w:r>
      <w:r>
        <w:rPr>
          <w:rFonts w:ascii="Calibri" w:cs="Calibri" w:eastAsia="Calibri" w:hAnsi="Calibri"/>
          <w:sz w:val="22"/>
          <w:szCs w:val="22"/>
        </w:rPr>
        <w:t xml:space="preserve">Following the complaint, the Antitrust Division of the Department of Justice conducted an investigation, which is standard in civil antitrust cases. The specific details of the investigation are not provided in the record, so the evidence gathered at this stage is not documented </w:t>
      </w:r>
      <w:hyperlink w:history="1" r:id="rIdhesf_ybqnlas3ek1a98mo">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Complaint Filed: </w:t>
      </w:r>
      <w:r>
        <w:rPr>
          <w:rFonts w:ascii="Calibri" w:cs="Calibri" w:eastAsia="Calibri" w:hAnsi="Calibri"/>
          <w:sz w:val="22"/>
          <w:szCs w:val="22"/>
        </w:rPr>
        <w:t xml:space="preserve">The formal complaint was filed in U.S. District Court, which is a necessary step in civil cases. The defendants, including E. Hornsby Wasson, consented to the entry of a final judgment without trial, indicating a negotiated resolution rather than litigation </w:t>
      </w:r>
      <w:hyperlink w:history="1" r:id="rIdqnqore-reudqwnbaddyd_">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Final Judgment: </w:t>
      </w:r>
      <w:r>
        <w:rPr>
          <w:rFonts w:ascii="Calibri" w:cs="Calibri" w:eastAsia="Calibri" w:hAnsi="Calibri"/>
          <w:sz w:val="22"/>
          <w:szCs w:val="22"/>
        </w:rPr>
        <w:t xml:space="preserve">The U.S. District Judge entered a final judgment on September 9, 1976, which included an injunction against E. Hornsby Wasson from serving as a director of certain banks while also serving as a director of The Prudential Insurance Company. This judgment was based on the provisions of the Clayton Act, specifically addressing director interlocks </w:t>
      </w:r>
      <w:hyperlink w:history="1" r:id="rIdp1ii9qul6_opdktzasqz4">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Public Interest Determination: </w:t>
      </w:r>
      <w:r>
        <w:rPr>
          <w:rFonts w:ascii="Calibri" w:cs="Calibri" w:eastAsia="Calibri" w:hAnsi="Calibri"/>
          <w:sz w:val="22"/>
          <w:szCs w:val="22"/>
        </w:rPr>
        <w:t xml:space="preserve">The final judgment was stated to be in the public interest, which is a consideration in civil antitrust cases. The judge retained jurisdiction for any further orders or modifications, indicating ongoing oversight </w:t>
      </w:r>
      <w:hyperlink w:history="1" r:id="rIde-ehpqrhvbhibgo8f5ob0">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Duration of Judgment: </w:t>
      </w:r>
      <w:r>
        <w:rPr>
          <w:rFonts w:ascii="Calibri" w:cs="Calibri" w:eastAsia="Calibri" w:hAnsi="Calibri"/>
          <w:sz w:val="22"/>
          <w:szCs w:val="22"/>
        </w:rPr>
        <w:t xml:space="preserve">The final judgment is effective for a period of twenty years, after which it will have no further force. This reflects the typical duration for civil antitrust remedies, ensuring compliance over a significant period </w:t>
      </w:r>
      <w:hyperlink w:history="1" r:id="rIdd2nemw1vlgfnib-a988vw">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spacing w:after="120" w:before="240"/>
      </w:pPr>
      <w:r>
        <w:rPr>
          <w:rFonts w:ascii="Calibri" w:cs="Calibri" w:eastAsia="Calibri" w:hAnsi="Calibri"/>
          <w:b/>
          <w:bCs/>
          <w:i/>
          <w:iCs/>
          <w:color w:val="1F4E5F"/>
          <w:sz w:val="22"/>
          <w:szCs w:val="22"/>
        </w:rPr>
        <w:t xml:space="preserve">Market Definition</w:t>
      </w:r>
    </w:p>
    <w:p>
      <w:pPr>
        <w:spacing w:after="160"/>
      </w:pPr>
      <w:r>
        <w:rPr>
          <w:rFonts w:ascii="Calibri" w:cs="Calibri" w:eastAsia="Calibri" w:hAnsi="Calibri"/>
          <w:sz w:val="22"/>
          <w:szCs w:val="22"/>
        </w:rPr>
        <w:t xml:space="preserve">The case involved the examination of director interlocks between banks and non-banks, specifically focusing on the implications of such interlocks on competition. </w:t>
      </w:r>
      <w:hyperlink w:history="1" r:id="rId7dfsrtlq9vsj9vixzpk4s">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relevant statute considered was the Clayton Act, particularly 15 U.S.C. §19, which addresses the prohibition of individuals serving as directors in competing corporations. </w:t>
      </w:r>
      <w:hyperlink w:history="1" r:id="rIdpwdtv3lyp8ylytaaycnrt">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court had jurisdiction over the subject matter and the parties involved, indicating a formal legal framework for assessing competition issues. </w:t>
      </w:r>
      <w:hyperlink w:history="1" r:id="rIdacf8sq0zbbzl_yieqk2b3">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stipulation allowed for a final judgment to be entered without further notice, suggesting a streamlined process for resolving the case based on compliance with antitrust laws. </w:t>
      </w:r>
      <w:hyperlink w:history="1" r:id="rIdmwqxhpeuaj90jdxm4h-gk">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defendant, E. Hornsby Wasson, was specifically enjoined from serving as a director in both BankAmerica and The Prudential Insurance Company, highlighting the enforcement of competition law in preventing potential conflicts of interest. </w:t>
      </w:r>
      <w:hyperlink w:history="1" r:id="rIdn5yu3ps5kygrdjjw86-4n">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judgment retained jurisdiction for future modifications, indicating an ongoing oversight mechanism to ensure compliance with competition standards. </w:t>
      </w:r>
      <w:hyperlink w:history="1" r:id="rId4ir60whfnixmrz5yuznvu">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final judgment was deemed to be in the public interest, emphasizing the broader implications of the case for market competition and consumer welfare. </w:t>
      </w:r>
      <w:hyperlink w:history="1" r:id="rIdifxfy0wrdlwhyeoy7xrik">
        <w:r>
          <w:rPr>
            <w:rStyle w:val="Hyperlink"/>
            <w:rFonts w:ascii="Calibri" w:cs="Calibri" w:eastAsia="Calibri" w:hAnsi="Calibri"/>
            <w:sz w:val="22"/>
            <w:szCs w:val="22"/>
          </w:rPr>
          <w:t xml:space="preserve">[1]</w:t>
        </w:r>
      </w:hyperlink>
    </w:p>
    <w:p>
      <w:pPr>
        <w:spacing w:after="120" w:before="24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120"/>
      </w:pPr>
      <w:r>
        <w:rPr>
          <w:rFonts w:ascii="Calibri" w:cs="Calibri" w:eastAsia="Calibri" w:hAnsi="Calibri"/>
          <w:b/>
          <w:bCs/>
          <w:sz w:val="22"/>
          <w:szCs w:val="22"/>
        </w:rPr>
        <w:t xml:space="preserve">Jurisdiction and Claim Validity: </w:t>
      </w:r>
      <w:r>
        <w:rPr>
          <w:rFonts w:ascii="Calibri" w:cs="Calibri" w:eastAsia="Calibri" w:hAnsi="Calibri"/>
          <w:sz w:val="22"/>
          <w:szCs w:val="22"/>
        </w:rPr>
        <w:t xml:space="preserve">The court established its jurisdiction over the subject matter and the parties involved, confirming that the complaint stated a valid claim under the Clayton Act. This test ensures that the court has the authority to hear the case and that the legal basis for the complaint is sound. The process involved reviewing the complaint to determine if it meets the statutory requirements outlined in the Act. </w:t>
      </w:r>
      <w:hyperlink w:history="1" r:id="rIdsocalrp7-rehjtai2ytkv">
        <w:r>
          <w:rPr>
            <w:rStyle w:val="Hyperlink"/>
            <w:rFonts w:ascii="Calibri" w:cs="Calibri" w:eastAsia="Calibri" w:hAnsi="Calibri"/>
            <w:sz w:val="22"/>
            <w:szCs w:val="22"/>
          </w:rPr>
          <w:t xml:space="preserve">[1]</w:t>
        </w:r>
      </w:hyperlink>
    </w:p>
    <w:p>
      <w:pPr>
        <w:pStyle w:val="ListParagraph"/>
        <w:numPr>
          <w:ilvl w:val="0"/>
          <w:numId w:val="1"/>
        </w:numPr>
        <w:spacing w:after="120"/>
      </w:pPr>
      <w:r>
        <w:rPr>
          <w:rFonts w:ascii="Calibri" w:cs="Calibri" w:eastAsia="Calibri" w:hAnsi="Calibri"/>
          <w:b/>
          <w:bCs/>
          <w:sz w:val="22"/>
          <w:szCs w:val="22"/>
        </w:rPr>
        <w:t xml:space="preserve">Director Interlocks Restriction: </w:t>
      </w:r>
      <w:r>
        <w:rPr>
          <w:rFonts w:ascii="Calibri" w:cs="Calibri" w:eastAsia="Calibri" w:hAnsi="Calibri"/>
          <w:sz w:val="22"/>
          <w:szCs w:val="22"/>
        </w:rPr>
        <w:t xml:space="preserve">The case included a specific injunction against E. Hornsby Wasson from serving as a director of both BankAmerica and The Prudential Insurance Company simultaneously. This test assesses potential conflicts of interest and anti- competitive behavior arising from interlocking directorates between competing firms. The process involved evaluating the relationships between the companies and the implications of Wasson's dual role. </w:t>
      </w:r>
      <w:hyperlink w:history="1" r:id="rIdotwia8rydugorenilukbl">
        <w:r>
          <w:rPr>
            <w:rStyle w:val="Hyperlink"/>
            <w:rFonts w:ascii="Calibri" w:cs="Calibri" w:eastAsia="Calibri" w:hAnsi="Calibri"/>
            <w:sz w:val="22"/>
            <w:szCs w:val="22"/>
          </w:rPr>
          <w:t xml:space="preserve">[1]</w:t>
        </w:r>
      </w:hyperlink>
    </w:p>
    <w:p>
      <w:pPr>
        <w:pStyle w:val="ListParagraph"/>
        <w:numPr>
          <w:ilvl w:val="0"/>
          <w:numId w:val="1"/>
        </w:numPr>
        <w:spacing w:after="120"/>
      </w:pPr>
      <w:r>
        <w:rPr>
          <w:rFonts w:ascii="Calibri" w:cs="Calibri" w:eastAsia="Calibri" w:hAnsi="Calibri"/>
          <w:b/>
          <w:bCs/>
          <w:sz w:val="22"/>
          <w:szCs w:val="22"/>
        </w:rPr>
        <w:t xml:space="preserve">Public Interest Consideration: </w:t>
      </w:r>
      <w:r>
        <w:rPr>
          <w:rFonts w:ascii="Calibri" w:cs="Calibri" w:eastAsia="Calibri" w:hAnsi="Calibri"/>
          <w:sz w:val="22"/>
          <w:szCs w:val="22"/>
        </w:rPr>
        <w:t xml:space="preserve">The final judgment emphasized that its entry was in the public interest, which is a common test in antitrust cases to ensure that the outcomes promote competition and benefit consumers. This involves analyzing the broader economic impact of the judgment on market competition and consumer welfare. The process included a review of the potential effects of the judgment on the industry and consumers over the stipulated period of enforcement. </w:t>
      </w:r>
      <w:hyperlink w:history="1" r:id="rIdvlcao0xxk7uhasmwbhhit">
        <w:r>
          <w:rPr>
            <w:rStyle w:val="Hyperlink"/>
            <w:rFonts w:ascii="Calibri" w:cs="Calibri" w:eastAsia="Calibri" w:hAnsi="Calibri"/>
            <w:sz w:val="22"/>
            <w:szCs w:val="22"/>
          </w:rPr>
          <w:t xml:space="preserve">[1]</w:t>
        </w:r>
      </w:hyperlink>
    </w:p>
    <w:p>
      <w:pPr>
        <w:spacing w:after="120" w:before="240"/>
      </w:pPr>
      <w:r>
        <w:rPr>
          <w:rFonts w:ascii="Calibri" w:cs="Calibri" w:eastAsia="Calibri" w:hAnsi="Calibri"/>
          <w:b/>
          <w:bCs/>
          <w:i/>
          <w:iCs/>
          <w:color w:val="1F4E5F"/>
          <w:sz w:val="22"/>
          <w:szCs w:val="22"/>
        </w:rPr>
        <w:t xml:space="preserve">Conclusion</w:t>
      </w:r>
    </w:p>
    <w:p>
      <w:pPr>
        <w:pStyle w:val="ListParagraph"/>
        <w:numPr>
          <w:ilvl w:val="0"/>
          <w:numId w:val="1"/>
        </w:numPr>
        <w:spacing w:after="120"/>
      </w:pPr>
      <w:r>
        <w:rPr>
          <w:rFonts w:ascii="Calibri" w:cs="Calibri" w:eastAsia="Calibri" w:hAnsi="Calibri"/>
          <w:sz w:val="22"/>
          <w:szCs w:val="22"/>
        </w:rPr>
        <w:t xml:space="preserve">The case involved the United States of America as the plaintiff against several defendants, including BankAmerica Corporation and E. Hornsby Wasson, with the complaint filed on October 6, 1975 </w:t>
      </w:r>
      <w:hyperlink w:history="1" r:id="rId4hnpcscdxcbc08dnty4wi">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A final judgment was entered without trial or adjudication of any issues of law or fact, indicating that the parties consented to the judgment </w:t>
      </w:r>
      <w:hyperlink w:history="1" r:id="rId8hhg1s4pn-gasinjcmh7y">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E. Hornsby Wasson was specifically enjoined and restrained from serving as a director of BankAmerica and Bank of America or any of their subsidiaries while also serving as a director of The Prudential Insurance Company of America or its subsidiaries </w:t>
      </w:r>
      <w:hyperlink w:history="1" r:id="rIdrzguvgn0a_xf3grgncwxr">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judgment retained jurisdiction for the court to issue further orders or directions necessary for compliance and enforcement </w:t>
      </w:r>
      <w:hyperlink w:history="1" r:id="rIdxylhfkjkjx7i3vxyn7gsn">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final judgment is effective for a period of twenty years from the date of entry, after which it will have no further force and effect </w:t>
      </w:r>
      <w:hyperlink w:history="1" r:id="rIdcp_eq6idj63ahzacvnhcy">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judgment was deemed to be in the public interest, reflecting the court's view on the importance of the ruling </w:t>
      </w:r>
      <w:hyperlink w:history="1" r:id="rIdbiev_gzio-x9w_uwlflvi">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There was no mention of fines imposed; rather, the focus was on the injunction against Wasson and the conditions under which he could seek modification of the judgment </w:t>
      </w:r>
      <w:hyperlink w:history="1" r:id="rIda4hi-fpa-ku7ufuu3sm1u">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spacing w:after="160" w:before="300"/>
      </w:pPr>
      <w:r>
        <w:rPr>
          <w:rFonts w:ascii="Calibri" w:cs="Calibri" w:eastAsia="Calibri" w:hAnsi="Calibri"/>
          <w:b/>
          <w:bCs/>
          <w:color w:val="1F4E5F"/>
          <w:sz w:val="22"/>
          <w:szCs w:val="22"/>
        </w:rPr>
        <w:t xml:space="preserve">Complaint: U.S. v. BankAmerica Corp., et al.</w:t>
      </w:r>
    </w:p>
    <w:p>
      <w:pPr>
        <w:spacing w:after="120" w:before="240"/>
      </w:pPr>
      <w:r>
        <w:rPr>
          <w:rFonts w:ascii="Calibri" w:cs="Calibri" w:eastAsia="Calibri" w:hAnsi="Calibri"/>
          <w:b/>
          <w:bCs/>
          <w:i/>
          <w:iCs/>
          <w:color w:val="1F4E5F"/>
          <w:sz w:val="22"/>
          <w:szCs w:val="22"/>
        </w:rPr>
        <w:t xml:space="preserve">Case Background</w:t>
      </w:r>
    </w:p>
    <w:p>
      <w:pPr>
        <w:spacing w:after="160"/>
      </w:pPr>
      <w:r>
        <w:rPr>
          <w:rFonts w:ascii="Calibri" w:cs="Calibri" w:eastAsia="Calibri" w:hAnsi="Calibri"/>
          <w:sz w:val="22"/>
          <w:szCs w:val="22"/>
        </w:rPr>
        <w:t xml:space="preserve">The allegation made in this case is that the defendants engaged in practices that violate antitrust laws, specifically through the simultaneous directorship of E. Hornsby Wasson in competing corporations. </w:t>
      </w:r>
      <w:hyperlink w:history="1" r:id="rIdbzp9zegrumcffremhiwwv">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companies involved in the allegations include BankAmerica Corporation, Bank of America National Trust &amp; Savings Association, Bankers Trust New York Corporation, Bankers Trust Company, and The Prudential Insurance Company of America. </w:t>
      </w:r>
      <w:hyperlink w:history="1" r:id="rIdtrktq_4m04cgyolx9-tf5">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year of case initiation is 1975, with the complaint filed on October 6. </w:t>
      </w:r>
      <w:hyperlink w:history="1" r:id="rIdcrec2zesc1ybh8-6mws2t">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violation pertains to Section 8 of the Clayton Act, which prohibits individuals from serving as directors in competing corporations. E. Hornsby Wasson served as a director for both BankAmerica and Prudential simultaneously from February 21, 1967, to June 5, 1975, which constituted a conflict of interest and eliminated competition. This arrangement was allowed by the corporate defendants, thereby facilitating the violation of antitrust laws. </w:t>
      </w:r>
      <w:hyperlink w:history="1" r:id="rIdqf61lrbgwfxjdmfou8jh0">
        <w:r>
          <w:rPr>
            <w:rStyle w:val="Hyperlink"/>
            <w:rFonts w:ascii="Calibri" w:cs="Calibri" w:eastAsia="Calibri" w:hAnsi="Calibri"/>
            <w:sz w:val="22"/>
            <w:szCs w:val="22"/>
          </w:rPr>
          <w:t xml:space="preserve">[2]</w:t>
        </w:r>
      </w:hyperlink>
    </w:p>
    <w:p>
      <w:pPr>
        <w:spacing w:after="120" w:before="240"/>
      </w:pPr>
      <w:r>
        <w:rPr>
          <w:rFonts w:ascii="Calibri" w:cs="Calibri" w:eastAsia="Calibri" w:hAnsi="Calibri"/>
          <w:b/>
          <w:bCs/>
          <w:i/>
          <w:iCs/>
          <w:color w:val="1F4E5F"/>
          <w:sz w:val="22"/>
          <w:szCs w:val="22"/>
        </w:rPr>
        <w:t xml:space="preserve">Case Progression</w:t>
      </w:r>
    </w:p>
    <w:p>
      <w:pPr>
        <w:pStyle w:val="ListParagraph"/>
        <w:numPr>
          <w:ilvl w:val="0"/>
          <w:numId w:val="1"/>
        </w:numPr>
        <w:spacing w:after="120"/>
      </w:pPr>
      <w:r>
        <w:rPr>
          <w:rFonts w:ascii="Calibri" w:cs="Calibri" w:eastAsia="Calibri" w:hAnsi="Calibri"/>
          <w:b/>
          <w:bCs/>
          <w:sz w:val="22"/>
          <w:szCs w:val="22"/>
        </w:rPr>
        <w:t xml:space="preserve">Initiation: </w:t>
      </w:r>
      <w:r>
        <w:rPr>
          <w:rFonts w:ascii="Calibri" w:cs="Calibri" w:eastAsia="Calibri" w:hAnsi="Calibri"/>
          <w:sz w:val="22"/>
          <w:szCs w:val="22"/>
        </w:rPr>
        <w:t xml:space="preserve">The case was initiated by the United States of America against several defendants, including BankAmerica and Bank of America, under the Clayton Act to address violations related to corporate directorships in competing corporations </w:t>
      </w:r>
      <w:hyperlink w:history="1" r:id="rIdh7k1o_2olk_ebvpe1xwcw">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Investigation: </w:t>
      </w:r>
      <w:r>
        <w:rPr>
          <w:rFonts w:ascii="Calibri" w:cs="Calibri" w:eastAsia="Calibri" w:hAnsi="Calibri"/>
          <w:sz w:val="22"/>
          <w:szCs w:val="22"/>
        </w:rPr>
        <w:t xml:space="preserve">The Department of Justice conducted an investigation into the corporate structure and directorships of the defendants, particularly focusing on E. Hornsby Wasson and Paul A. Gorman serving simultaneously as directors of competing corporations, which is a violation of Section 8 of the Clayton Act </w:t>
      </w:r>
      <w:hyperlink w:history="1" r:id="rId0wywjih8aluq4owzria4r">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Complaint Filed: </w:t>
      </w:r>
      <w:r>
        <w:rPr>
          <w:rFonts w:ascii="Calibri" w:cs="Calibri" w:eastAsia="Calibri" w:hAnsi="Calibri"/>
          <w:sz w:val="22"/>
          <w:szCs w:val="22"/>
        </w:rPr>
        <w:t xml:space="preserve">A complaint was filed in the U.S. District Court, alleging that the defendants violated Section 8 of the Clayton Act by allowing Wasson and Gorman to serve as directors in competing corporations </w:t>
      </w:r>
      <w:hyperlink w:history="1" r:id="rIdnwkafjkodafaa3gyrrhjb">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 The deciding body at this stage is the U.S. District Court. Relief Sought: The plaintiff sought various forms of relief, including injunctions against Wasson and Gorman from serving as directors in competing corporations and a declaration that the defendants had violated antitrust laws </w:t>
      </w:r>
      <w:hyperlink w:history="1" r:id="rIdzjdpqyuzc_bipk5xg6ho5">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 The burden of proof lies with the plaintiff to demonstrate the violations. Potential Outcomes: The case could lead to a bench trial on liability, where the district judge would determine if there was a violation of the Clayton Act based on the evidence presented </w:t>
      </w:r>
      <w:hyperlink w:history="1" r:id="rIdgtay5aupytc9rai-a0rso">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 The specific legal tests applied would focus on the directorships and their implications for competition. Appeal: If the district judge finds a violation, the case may proceed to a remedies phase, and any decisions made could be appealed to the U.S. Court of Appeals </w:t>
      </w:r>
      <w:hyperlink w:history="1" r:id="rIdncuhqzs9mqdb-dkc-fkco">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record does not specify the outcomes of these stages or any appeals.</w:t>
      </w:r>
    </w:p>
    <w:p>
      <w:pPr>
        <w:spacing w:after="120" w:before="240"/>
      </w:pPr>
      <w:r>
        <w:rPr>
          <w:rFonts w:ascii="Calibri" w:cs="Calibri" w:eastAsia="Calibri" w:hAnsi="Calibri"/>
          <w:b/>
          <w:bCs/>
          <w:i/>
          <w:iCs/>
          <w:color w:val="1F4E5F"/>
          <w:sz w:val="22"/>
          <w:szCs w:val="22"/>
        </w:rPr>
        <w:t xml:space="preserve">Market Definition</w:t>
      </w:r>
    </w:p>
    <w:p>
      <w:pPr>
        <w:spacing w:after="160"/>
      </w:pPr>
      <w:r>
        <w:rPr>
          <w:rFonts w:ascii="Calibri" w:cs="Calibri" w:eastAsia="Calibri" w:hAnsi="Calibri"/>
          <w:sz w:val="22"/>
          <w:szCs w:val="22"/>
        </w:rPr>
        <w:t xml:space="preserve">The market considered in this case involved various types of credit, including mortgage and real estate loans, installment purchase plans, and other forms of consumer credit, indicating a focus on financial services. </w:t>
      </w:r>
      <w:hyperlink w:history="1" r:id="rId7di8pu0cjnxsruw0zcocv">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defendants, including BankAmerica, Bank of America, and Prudential, were identified as competitors in the extension of credit, which helped define the competitive landscape of the market. </w:t>
      </w:r>
      <w:hyperlink w:history="1" r:id="rIdvr5fs9m-8j3n0h6egpwzv">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case references Section 8 of the Clayton Act, which prohibits individuals from serving as directors of competing corporations, highlighting the legal framework used to assess competition in the market. </w:t>
      </w:r>
      <w:hyperlink w:history="1" r:id="rIdmfuukudmjmetvwmmjfjyl">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complaint alleges that the simultaneous directorships of E. Hornsby Wasson and Paul A. Gorman in competing corporations constituted a violation of antitrust laws, indicating a specific technique of examining corporate governance structures to assess competition. </w:t>
      </w:r>
      <w:hyperlink w:history="1" r:id="rIdiodk1appbku5xdop4ybn1">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relief sought included injunctions against the defendants to prevent further violations of competition laws, demonstrating a legal approach to remedying anti-competitive behavior. </w:t>
      </w:r>
      <w:hyperlink w:history="1" r:id="rIdtltccxbbiexrbihj47ewn">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case emphasizes the importance of corporate structure and directorships in maintaining competition, suggesting that the analysis of corporate relationships was a key technique in defining the market. </w:t>
      </w:r>
      <w:hyperlink w:history="1" r:id="rId2ohhvao6zf6bgznbelovs">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involvement of the Department of Justice and the specific mention of the Clayton Act indicate the regulatory framework and enforcement mechanisms used to address competition issues in this case. </w:t>
      </w:r>
      <w:hyperlink w:history="1" r:id="rIdq8jlbnx3jw1axy4_ysyhu">
        <w:r>
          <w:rPr>
            <w:rStyle w:val="Hyperlink"/>
            <w:rFonts w:ascii="Calibri" w:cs="Calibri" w:eastAsia="Calibri" w:hAnsi="Calibri"/>
            <w:sz w:val="22"/>
            <w:szCs w:val="22"/>
          </w:rPr>
          <w:t xml:space="preserve">[2]</w:t>
        </w:r>
      </w:hyperlink>
    </w:p>
    <w:p>
      <w:pPr>
        <w:spacing w:after="120" w:before="24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120"/>
      </w:pPr>
      <w:r>
        <w:rPr>
          <w:rFonts w:ascii="Calibri" w:cs="Calibri" w:eastAsia="Calibri" w:hAnsi="Calibri"/>
          <w:b/>
          <w:bCs/>
          <w:sz w:val="22"/>
          <w:szCs w:val="22"/>
        </w:rPr>
        <w:t xml:space="preserve">Section 8 of the Clayton Act Violation Test: </w:t>
      </w:r>
      <w:r>
        <w:rPr>
          <w:rFonts w:ascii="Calibri" w:cs="Calibri" w:eastAsia="Calibri" w:hAnsi="Calibri"/>
          <w:sz w:val="22"/>
          <w:szCs w:val="22"/>
        </w:rPr>
        <w:t xml:space="preserve">This test assesses whether individuals can serve as directors in competing corporations, particularly when those corporations have significant capital and engage in interstate commerce. In this case, it was alleged that E. Hornsby Wasson and Paul A. Gorman violated this section by serving simultaneously as directors of competing entities, which could eliminate competition. The process involved identifying the directorships held by these individuals and determining their impact on competition. </w:t>
      </w:r>
      <w:hyperlink w:history="1" r:id="rIdokoxx_ar9zmqna0zo8knu">
        <w:r>
          <w:rPr>
            <w:rStyle w:val="Hyperlink"/>
            <w:rFonts w:ascii="Calibri" w:cs="Calibri" w:eastAsia="Calibri" w:hAnsi="Calibri"/>
            <w:sz w:val="22"/>
            <w:szCs w:val="22"/>
          </w:rPr>
          <w:t xml:space="preserve">[2]</w:t>
        </w:r>
      </w:hyperlink>
    </w:p>
    <w:p>
      <w:pPr>
        <w:pStyle w:val="ListParagraph"/>
        <w:numPr>
          <w:ilvl w:val="0"/>
          <w:numId w:val="1"/>
        </w:numPr>
        <w:spacing w:after="120"/>
      </w:pPr>
      <w:r>
        <w:rPr>
          <w:rFonts w:ascii="Calibri" w:cs="Calibri" w:eastAsia="Calibri" w:hAnsi="Calibri"/>
          <w:b/>
          <w:bCs/>
          <w:sz w:val="22"/>
          <w:szCs w:val="22"/>
        </w:rPr>
        <w:t xml:space="preserve">Antitrust Competition Test: </w:t>
      </w:r>
      <w:r>
        <w:rPr>
          <w:rFonts w:ascii="Calibri" w:cs="Calibri" w:eastAsia="Calibri" w:hAnsi="Calibri"/>
          <w:sz w:val="22"/>
          <w:szCs w:val="22"/>
        </w:rPr>
        <w:t xml:space="preserve">This test evaluates whether agreements between corporations eliminate competition in the market. The case highlighted that BankAmerica, Bank of America, and Prudential were in competition for various types of credit. The elimination of competition through agreements among these entities would constitute a violation of antitrust laws. The process involved analyzing the competitive landscape and the potential effects of the alleged agreements on market dynamics. </w:t>
      </w:r>
      <w:hyperlink w:history="1" r:id="rIdnwtlp3f-bpwqyfpbh2gnv">
        <w:r>
          <w:rPr>
            <w:rStyle w:val="Hyperlink"/>
            <w:rFonts w:ascii="Calibri" w:cs="Calibri" w:eastAsia="Calibri" w:hAnsi="Calibri"/>
            <w:sz w:val="22"/>
            <w:szCs w:val="22"/>
          </w:rPr>
          <w:t xml:space="preserve">[2]</w:t>
        </w:r>
      </w:hyperlink>
    </w:p>
    <w:p>
      <w:pPr>
        <w:pStyle w:val="ListParagraph"/>
        <w:numPr>
          <w:ilvl w:val="0"/>
          <w:numId w:val="1"/>
        </w:numPr>
        <w:spacing w:after="120"/>
      </w:pPr>
      <w:r>
        <w:rPr>
          <w:rFonts w:ascii="Calibri" w:cs="Calibri" w:eastAsia="Calibri" w:hAnsi="Calibri"/>
          <w:b/>
          <w:bCs/>
          <w:sz w:val="22"/>
          <w:szCs w:val="22"/>
        </w:rPr>
        <w:t xml:space="preserve">Injunction Relief Test: </w:t>
      </w:r>
      <w:r>
        <w:rPr>
          <w:rFonts w:ascii="Calibri" w:cs="Calibri" w:eastAsia="Calibri" w:hAnsi="Calibri"/>
          <w:sz w:val="22"/>
          <w:szCs w:val="22"/>
        </w:rPr>
        <w:t xml:space="preserve">This test examines the necessity of injunctive relief to prevent ongoing violations of competition laws. The plaintiff sought to enjoin the defendants from allowing individuals who are directors of competing corporations to serve in similar capacities within their organizations. The process included assessing the likelihood of continued violations and the need for court intervention to maintain competitive practices in the market. </w:t>
      </w:r>
      <w:hyperlink w:history="1" r:id="rIdnrsxdo7rplfnomtjckb9a">
        <w:r>
          <w:rPr>
            <w:rStyle w:val="Hyperlink"/>
            <w:rFonts w:ascii="Calibri" w:cs="Calibri" w:eastAsia="Calibri" w:hAnsi="Calibri"/>
            <w:sz w:val="22"/>
            <w:szCs w:val="22"/>
          </w:rPr>
          <w:t xml:space="preserve">[2]</w:t>
        </w:r>
      </w:hyperlink>
    </w:p>
    <w:p>
      <w:pPr>
        <w:spacing w:after="120" w:before="240"/>
      </w:pPr>
      <w:r>
        <w:rPr>
          <w:rFonts w:ascii="Calibri" w:cs="Calibri" w:eastAsia="Calibri" w:hAnsi="Calibri"/>
          <w:b/>
          <w:bCs/>
          <w:i/>
          <w:iCs/>
          <w:color w:val="1F4E5F"/>
          <w:sz w:val="22"/>
          <w:szCs w:val="22"/>
        </w:rPr>
        <w:t xml:space="preserve">Conclusion</w:t>
      </w:r>
    </w:p>
    <w:p>
      <w:pPr>
        <w:pStyle w:val="ListParagraph"/>
        <w:numPr>
          <w:ilvl w:val="0"/>
          <w:numId w:val="1"/>
        </w:numPr>
        <w:spacing w:after="120"/>
      </w:pPr>
      <w:r>
        <w:rPr>
          <w:rFonts w:ascii="Calibri" w:cs="Calibri" w:eastAsia="Calibri" w:hAnsi="Calibri"/>
          <w:sz w:val="22"/>
          <w:szCs w:val="22"/>
        </w:rPr>
        <w:t xml:space="preserve">The defendants, including BankAmerica, Bank of America, and Prudential, were found to have violated Section 8 of the Clayton Act by allowing E. Hornsby Wasson and Paul A. Gorman to serve as directors of competing corporations simultaneously </w:t>
      </w:r>
      <w:hyperlink w:history="1" r:id="rIdf1zdek5nlgtyuyb2g8dam">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court ordered that E. Hornsby Wasson be perpetually enjoined from serving as a director in any two or more competing corporations, particularly those with significant capital engaged in interstate commerce </w:t>
      </w:r>
      <w:hyperlink w:history="1" r:id="rId_cfccdk7eraop5pfcffh_">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Paul A. Gorman was directed to resign from his directorship in either Bankers or Prudential, as determined by the court, and was also perpetually enjoined from serving as a director in competing corporations </w:t>
      </w:r>
      <w:hyperlink w:history="1" r:id="rIdf5v3qckkilcmtoxlnq3cj">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defendants were collectively enjoined from permitting any person who is a director of a competing corporation to serve as a director, officer, or employee of their corporations, thereby reinforcing the prohibition against dual directorships in competing firms </w:t>
      </w:r>
      <w:hyperlink w:history="1" r:id="rIdl-13qgnoro_nrkwhhxc8u">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plaintiff was granted the right to recover its taxable costs associated with the case, indicating a financial remedy for the legal proceedings undertaken </w:t>
      </w:r>
      <w:hyperlink w:history="1" r:id="rId6gtd-yhh6gwlhl0or_ken">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court's decision aimed to prevent further violations of the antitrust laws by ensuring that the defendants could not eliminate competition through overlapping directorships </w:t>
      </w:r>
      <w:hyperlink w:history="1" r:id="rIdo5guax9jusj4gnjy7u7uk">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spacing w:after="160" w:before="300"/>
      </w:pPr>
      <w:r>
        <w:rPr>
          <w:rFonts w:ascii="Calibri" w:cs="Calibri" w:eastAsia="Calibri" w:hAnsi="Calibri"/>
          <w:b/>
          <w:bCs/>
          <w:color w:val="1F4E5F"/>
          <w:sz w:val="22"/>
          <w:szCs w:val="22"/>
        </w:rPr>
        <w:t xml:space="preserve">[PDF] U.S. v. Visa U.S.A. Inc., Visa International Corp., and Mastercard ...</w:t>
      </w:r>
    </w:p>
    <w:p>
      <w:pPr>
        <w:spacing w:after="120" w:before="240"/>
      </w:pPr>
      <w:r>
        <w:rPr>
          <w:rFonts w:ascii="Calibri" w:cs="Calibri" w:eastAsia="Calibri" w:hAnsi="Calibri"/>
          <w:b/>
          <w:bCs/>
          <w:i/>
          <w:iCs/>
          <w:color w:val="1F4E5F"/>
          <w:sz w:val="22"/>
          <w:szCs w:val="22"/>
        </w:rPr>
        <w:t xml:space="preserve">Case Background</w:t>
      </w:r>
    </w:p>
    <w:p>
      <w:pPr>
        <w:spacing w:after="160"/>
      </w:pPr>
      <w:r>
        <w:rPr>
          <w:rFonts w:ascii="Calibri" w:cs="Calibri" w:eastAsia="Calibri" w:hAnsi="Calibri"/>
          <w:sz w:val="22"/>
          <w:szCs w:val="22"/>
        </w:rPr>
        <w:t xml:space="preserve">The allegation made in this case is that the dual governance structure and exclusionary rules of Visa and MasterCard impede competition in the credit card market. </w:t>
      </w:r>
      <w:hyperlink w:history="1" r:id="rIdeenesuirhselzhan63vrv">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companies against which the allegations are made are Visa and MasterCard, specifically regarding their treatment of American Express and Discover. </w:t>
      </w:r>
      <w:hyperlink w:history="1" r:id="rIddbzo9tvqicm6rluc-wzfg">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year of case initiation is not explicitly stated in the provided context, but the information references events and practices from 1999. </w:t>
      </w:r>
      <w:hyperlink w:history="1" r:id="rIdswl119o3hego4l0lp5tmm">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violation pertains to unreasonable restraints of trade under the Sherman Act, where the dual governance and exclusionary rules are claimed to limit competition by preventing American Express and Discover from effectively competing in the market. This is alleged to result in fewer and less varied credit card products available to consumers, ultimately harming consumer welfare. </w:t>
      </w:r>
      <w:hyperlink w:history="1" r:id="rIdcsgge1vf-2kw5xmxosreg">
        <w:r>
          <w:rPr>
            <w:rStyle w:val="Hyperlink"/>
            <w:rFonts w:ascii="Calibri" w:cs="Calibri" w:eastAsia="Calibri" w:hAnsi="Calibri"/>
            <w:sz w:val="22"/>
            <w:szCs w:val="22"/>
          </w:rPr>
          <w:t xml:space="preserve">[3]</w:t>
        </w:r>
      </w:hyperlink>
    </w:p>
    <w:p>
      <w:pPr>
        <w:spacing w:after="120" w:before="240"/>
      </w:pPr>
      <w:r>
        <w:rPr>
          <w:rFonts w:ascii="Calibri" w:cs="Calibri" w:eastAsia="Calibri" w:hAnsi="Calibri"/>
          <w:b/>
          <w:bCs/>
          <w:i/>
          <w:iCs/>
          <w:color w:val="1F4E5F"/>
          <w:sz w:val="22"/>
          <w:szCs w:val="22"/>
        </w:rPr>
        <w:t xml:space="preserve">Case Progression</w:t>
      </w:r>
    </w:p>
    <w:p>
      <w:pPr>
        <w:pStyle w:val="ListParagraph"/>
        <w:numPr>
          <w:ilvl w:val="0"/>
          <w:numId w:val="1"/>
        </w:numPr>
        <w:spacing w:after="120"/>
      </w:pPr>
      <w:r>
        <w:rPr>
          <w:rFonts w:ascii="Calibri" w:cs="Calibri" w:eastAsia="Calibri" w:hAnsi="Calibri"/>
          <w:b/>
          <w:bCs/>
          <w:sz w:val="22"/>
          <w:szCs w:val="22"/>
        </w:rPr>
        <w:t xml:space="preserve">Track Identification: </w:t>
      </w:r>
      <w:r>
        <w:rPr>
          <w:rFonts w:ascii="Calibri" w:cs="Calibri" w:eastAsia="Calibri" w:hAnsi="Calibri"/>
          <w:sz w:val="22"/>
          <w:szCs w:val="22"/>
        </w:rPr>
        <w:t xml:space="preserve">The case is on TRACK B, civil conduct under DOJ (Sherman §1/§2, Clayton). This is indicated by the focus on anticompetitive effects and procompetitive justifications, as well as the references to the Sherman Act and the analysis of market conditions </w:t>
      </w:r>
      <w:hyperlink w:history="1" r:id="rIdex-_v-g8q4hog7q3uf7aa">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Initiation: </w:t>
      </w:r>
      <w:r>
        <w:rPr>
          <w:rFonts w:ascii="Calibri" w:cs="Calibri" w:eastAsia="Calibri" w:hAnsi="Calibri"/>
          <w:sz w:val="22"/>
          <w:szCs w:val="22"/>
        </w:rPr>
        <w:t xml:space="preserve">The case was initiated through a civil complaint filed in U.S. District Court, which outlines the alleged antitrust violations. The Government bears the initial burden of proving that the challenged conduct has anticompetitive effects </w:t>
      </w:r>
      <w:hyperlink w:history="1" r:id="rIdvyjgxh0kbdb9vfnaj-l_f">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Investigation: </w:t>
      </w:r>
      <w:r>
        <w:rPr>
          <w:rFonts w:ascii="Calibri" w:cs="Calibri" w:eastAsia="Calibri" w:hAnsi="Calibri"/>
          <w:sz w:val="22"/>
          <w:szCs w:val="22"/>
        </w:rPr>
        <w:t xml:space="preserve">The investigation involved a thorough analysis of the alleged restraints and their impact on relevant markets, as indicated by the extensive examination of evidence presented by both parties </w:t>
      </w:r>
      <w:hyperlink w:history="1" r:id="rIddl6-uqd-a7qcftqnetrcl">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 The legal test applied here is the rule of reason, focusing on whether the restraints promote or suppress competition. Discovery and Expert Reports: During the discovery phase, expert reports were gathered, including market definitions provided by the Government’s expert economist, Professor Michael Katz. This evidence was crucial in establishing the relevant markets for antitrust analysis </w:t>
      </w:r>
      <w:hyperlink w:history="1" r:id="rIdjbq232hzg2lcpftli493a">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Bench Trial on Liability: </w:t>
      </w:r>
      <w:r>
        <w:rPr>
          <w:rFonts w:ascii="Calibri" w:cs="Calibri" w:eastAsia="Calibri" w:hAnsi="Calibri"/>
          <w:sz w:val="22"/>
          <w:szCs w:val="22"/>
        </w:rPr>
        <w:t xml:space="preserve">The case proceeded to a bench trial where the district judge evaluated the evidence and made findings of fact and conclusions of law regarding the alleged antitrust violations. The court considered whether the restraints were unreasonable and if their anticompetitive effects outweighed any procompetitive justifications </w:t>
      </w:r>
      <w:hyperlink w:history="1" r:id="rIdkqdysraubatrxmgzblep-">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Separate Remedies Phase: </w:t>
      </w:r>
      <w:r>
        <w:rPr>
          <w:rFonts w:ascii="Calibri" w:cs="Calibri" w:eastAsia="Calibri" w:hAnsi="Calibri"/>
          <w:sz w:val="22"/>
          <w:szCs w:val="22"/>
        </w:rPr>
        <w:t xml:space="preserve">Following a finding of liability, a separate remedies phase would determine the appropriate conduct and/or structural decree to restore competition. The specifics of this phase are not detailed in the record provided, indicating that further proceedings may be necessary </w:t>
      </w:r>
      <w:hyperlink w:history="1" r:id="rIdhuelzyakeoeo2ct29awan">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spacing w:after="120" w:before="240"/>
      </w:pPr>
      <w:r>
        <w:rPr>
          <w:rFonts w:ascii="Calibri" w:cs="Calibri" w:eastAsia="Calibri" w:hAnsi="Calibri"/>
          <w:b/>
          <w:bCs/>
          <w:i/>
          <w:iCs/>
          <w:color w:val="1F4E5F"/>
          <w:sz w:val="22"/>
          <w:szCs w:val="22"/>
        </w:rPr>
        <w:t xml:space="preserve">Market Definition</w:t>
      </w:r>
    </w:p>
    <w:p>
      <w:pPr>
        <w:spacing w:after="160"/>
      </w:pPr>
      <w:r>
        <w:rPr>
          <w:rFonts w:ascii="Calibri" w:cs="Calibri" w:eastAsia="Calibri" w:hAnsi="Calibri"/>
          <w:sz w:val="22"/>
          <w:szCs w:val="22"/>
        </w:rPr>
        <w:t xml:space="preserve">The relevant markets identified for antitrust analysis in this case are the general purpose card network services market and the general purpose card market. </w:t>
      </w:r>
      <w:hyperlink w:history="1" r:id="rIdeafog9fdcvectoccrzusd">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To define the market, the court considered the concept of substitutability, focusing on whether consumers view the products as interchangeable. </w:t>
      </w:r>
      <w:hyperlink w:history="1" r:id="rIdhxuzcgut2vy_jgkuhj3dq">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assessment of the market took into account factors influencing consumer choices, such as product function, price, and quality, to determine reasonable interchangeability. </w:t>
      </w:r>
      <w:hyperlink w:history="1" r:id="rIdcqx1okn0o6v_1msdionw8">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court adopted the market definitions proposed by the Government’s expert economist, Professor Michael Katz, indicating reliance on expert testimony for market analysis. </w:t>
      </w:r>
      <w:hyperlink w:history="1" r:id="rIdoyjoexgvraakzh9wxie4x">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analysis involved determining whether a hypothetical profit-maximizing firm could charge supracompetitive prices without losing a significant number of sales to substitute products, which is a key aspect of market definition. </w:t>
      </w:r>
      <w:hyperlink w:history="1" r:id="rIdirtqa1djtbbeh65vfmksf">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court emphasized that the inquiry into the market must identify the range of substitutes relevant for assessing competitive conditions and potential anticompetitive effects. </w:t>
      </w:r>
      <w:hyperlink w:history="1" r:id="rIdlninh0wdakhlbkafqkyhr">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rule of reason was applied to evaluate the impact of the defendants' conduct on competition, requiring a thorough analysis of the alleged restraints and their effects on the relevant markets. </w:t>
      </w:r>
      <w:hyperlink w:history="1" r:id="rIdik0kkpwhg5xeht2xcbfmm">
        <w:r>
          <w:rPr>
            <w:rStyle w:val="Hyperlink"/>
            <w:rFonts w:ascii="Calibri" w:cs="Calibri" w:eastAsia="Calibri" w:hAnsi="Calibri"/>
            <w:sz w:val="22"/>
            <w:szCs w:val="22"/>
          </w:rPr>
          <w:t xml:space="preserve">[3]</w:t>
        </w:r>
      </w:hyperlink>
    </w:p>
    <w:p>
      <w:pPr>
        <w:spacing w:after="120" w:before="24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120"/>
      </w:pPr>
      <w:r>
        <w:rPr>
          <w:rFonts w:ascii="Calibri" w:cs="Calibri" w:eastAsia="Calibri" w:hAnsi="Calibri"/>
          <w:b/>
          <w:bCs/>
          <w:sz w:val="22"/>
          <w:szCs w:val="22"/>
        </w:rPr>
        <w:t xml:space="preserve">Market Definition Test: </w:t>
      </w:r>
      <w:r>
        <w:rPr>
          <w:rFonts w:ascii="Calibri" w:cs="Calibri" w:eastAsia="Calibri" w:hAnsi="Calibri"/>
          <w:sz w:val="22"/>
          <w:szCs w:val="22"/>
        </w:rPr>
        <w:t xml:space="preserve">This test assesses the degree of market power held by the defendants and determines the relevant market for antitrust analysis. It involves evaluating whether the goods or services are sufficiently substitutable in the eyes of consumers, such that supracompetitive pricing would lead to a significant loss of sales. The court adopts the market definitions provided by the Government’s expert economist, indicating that the general purpose card network services market and the general purpose card market are the relevant markets in this case. </w:t>
      </w:r>
      <w:hyperlink w:history="1" r:id="rId6noxn2vhjbnmeca_mc0gg">
        <w:r>
          <w:rPr>
            <w:rStyle w:val="Hyperlink"/>
            <w:rFonts w:ascii="Calibri" w:cs="Calibri" w:eastAsia="Calibri" w:hAnsi="Calibri"/>
            <w:sz w:val="22"/>
            <w:szCs w:val="22"/>
          </w:rPr>
          <w:t xml:space="preserve">[3]</w:t>
        </w:r>
      </w:hyperlink>
    </w:p>
    <w:p>
      <w:pPr>
        <w:pStyle w:val="ListParagraph"/>
        <w:numPr>
          <w:ilvl w:val="0"/>
          <w:numId w:val="1"/>
        </w:numPr>
        <w:spacing w:after="120"/>
      </w:pPr>
      <w:r>
        <w:rPr>
          <w:rFonts w:ascii="Calibri" w:cs="Calibri" w:eastAsia="Calibri" w:hAnsi="Calibri"/>
          <w:b/>
          <w:bCs/>
          <w:sz w:val="22"/>
          <w:szCs w:val="22"/>
        </w:rPr>
        <w:t xml:space="preserve">Rule of Reason Analysis: </w:t>
      </w:r>
      <w:r>
        <w:rPr>
          <w:rFonts w:ascii="Calibri" w:cs="Calibri" w:eastAsia="Calibri" w:hAnsi="Calibri"/>
          <w:sz w:val="22"/>
          <w:szCs w:val="22"/>
        </w:rPr>
        <w:t xml:space="preserve">This test examines whether the challenged restraint is unreasonable by weighing its anticompetitive effects against any procompetitive justifications. The analysis considers the actual effects on the market and whether the restraint is necessary for achieving legitimate procompetitive objectives. The court has already conducted a thorough analysis of the alleged restraints and their impact, indicating that a detailed examination of market circumstances was undertaken. </w:t>
      </w:r>
      <w:hyperlink w:history="1" r:id="rIdmtalht3cocdr6n5skiuld">
        <w:r>
          <w:rPr>
            <w:rStyle w:val="Hyperlink"/>
            <w:rFonts w:ascii="Calibri" w:cs="Calibri" w:eastAsia="Calibri" w:hAnsi="Calibri"/>
            <w:sz w:val="22"/>
            <w:szCs w:val="22"/>
          </w:rPr>
          <w:t xml:space="preserve">[3]</w:t>
        </w:r>
      </w:hyperlink>
    </w:p>
    <w:p>
      <w:pPr>
        <w:pStyle w:val="ListParagraph"/>
        <w:numPr>
          <w:ilvl w:val="0"/>
          <w:numId w:val="1"/>
        </w:numPr>
        <w:spacing w:after="120"/>
      </w:pPr>
      <w:r>
        <w:rPr>
          <w:rFonts w:ascii="Calibri" w:cs="Calibri" w:eastAsia="Calibri" w:hAnsi="Calibri"/>
          <w:b/>
          <w:bCs/>
          <w:sz w:val="22"/>
          <w:szCs w:val="22"/>
        </w:rPr>
        <w:t xml:space="preserve">Quick Look Analysis: </w:t>
      </w:r>
      <w:r>
        <w:rPr>
          <w:rFonts w:ascii="Calibri" w:cs="Calibri" w:eastAsia="Calibri" w:hAnsi="Calibri"/>
          <w:sz w:val="22"/>
          <w:szCs w:val="22"/>
        </w:rPr>
        <w:t xml:space="preserve">This is a streamlined version of the rule of reason analysis applied when the likelihood of anticompetitive effects is evident. If an observer with basic economic understanding can conclude that the arrangements would harm competition, a quick look analysis suffices. However, in this case, the court opted for a comprehensive analysis rather than a quick look, as extensive evidence had already been presented. </w:t>
      </w:r>
      <w:hyperlink w:history="1" r:id="rIdvnzwkfb7mzifylppg9a8b">
        <w:r>
          <w:rPr>
            <w:rStyle w:val="Hyperlink"/>
            <w:rFonts w:ascii="Calibri" w:cs="Calibri" w:eastAsia="Calibri" w:hAnsi="Calibri"/>
            <w:sz w:val="22"/>
            <w:szCs w:val="22"/>
          </w:rPr>
          <w:t xml:space="preserve">[3]</w:t>
        </w:r>
      </w:hyperlink>
    </w:p>
    <w:p>
      <w:pPr>
        <w:spacing w:after="120" w:before="240"/>
      </w:pPr>
      <w:r>
        <w:rPr>
          <w:rFonts w:ascii="Calibri" w:cs="Calibri" w:eastAsia="Calibri" w:hAnsi="Calibri"/>
          <w:b/>
          <w:bCs/>
          <w:i/>
          <w:iCs/>
          <w:color w:val="1F4E5F"/>
          <w:sz w:val="22"/>
          <w:szCs w:val="22"/>
        </w:rPr>
        <w:t xml:space="preserve">Conclusion</w:t>
      </w:r>
    </w:p>
    <w:p>
      <w:pPr>
        <w:pStyle w:val="ListParagraph"/>
        <w:numPr>
          <w:ilvl w:val="0"/>
          <w:numId w:val="1"/>
        </w:numPr>
        <w:spacing w:after="120"/>
      </w:pPr>
      <w:r>
        <w:rPr>
          <w:rFonts w:ascii="Calibri" w:cs="Calibri" w:eastAsia="Calibri" w:hAnsi="Calibri"/>
          <w:sz w:val="22"/>
          <w:szCs w:val="22"/>
        </w:rPr>
        <w:t xml:space="preserve">The court adopted the market definitions proposed by the Government's expert economist, Professor Michael Katz, identifying the general purpose card network services market and the general purpose card market as relevant for antitrust analysis </w:t>
      </w:r>
      <w:hyperlink w:history="1" r:id="rIdqkwgchmrf8yax_swsirhh">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court conducted a thorough examination of the evidence, including over six thousand pages of trial testimony and numerous expert testimonies, to determine the facts and legal conclusions </w:t>
      </w:r>
      <w:hyperlink w:history="1" r:id="rIduo7bcfnqmzvvllhnbtplk">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analysis under the rule of reason focused on whether the challenged restraints had anticompetitive effects that outweighed any procompetitive justifications, emphasizing the need to assess the actual effects on competition </w:t>
      </w:r>
      <w:hyperlink w:history="1" r:id="rIdzqkfbdhhn4apthehhkrys">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court highlighted that any agreement found to have a restrictive effect on competition would be deemed unlawful unless it was reasonably necessary to achieve a legitimate procompetitive objective </w:t>
      </w:r>
      <w:hyperlink w:history="1" r:id="rIdeh0odztuemerdwat07dhx">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findings indicated that the abolition of the defendants' exclusionary rules would likely increase competition at the network level, benefiting both competition and consumers </w:t>
      </w:r>
      <w:hyperlink w:history="1" r:id="rIdxean9idqlwrzbca1urtvp">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court's conclusions were based on the principle that restraints on competition do not constitute antitrust violations unless they affect prices or deprive consumers of the advantages of free competition </w:t>
      </w:r>
      <w:hyperlink w:history="1" r:id="rIdogbm3anhaz9gjprra6_fc">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Specific remedies or fines imposed were not detailed in the provided excerpts, indicating that the focus was primarily on the analysis of competitive effects rather than on punitive measures (no specific page reference).</w:t>
      </w:r>
    </w:p>
    <w:p>
      <w:pPr>
        <w:spacing w:after="160" w:before="300"/>
      </w:pPr>
      <w:r>
        <w:rPr>
          <w:rFonts w:ascii="Calibri" w:cs="Calibri" w:eastAsia="Calibri" w:hAnsi="Calibri"/>
          <w:b/>
          <w:bCs/>
          <w:color w:val="1F4E5F"/>
          <w:sz w:val="22"/>
          <w:szCs w:val="22"/>
        </w:rPr>
        <w:t xml:space="preserve">[PDF] Competitive Impact Statement: U.S. v. BankAmerica Corp., et al.</w:t>
      </w:r>
    </w:p>
    <w:p>
      <w:pPr>
        <w:spacing w:after="120" w:before="240"/>
      </w:pPr>
      <w:r>
        <w:rPr>
          <w:rFonts w:ascii="Calibri" w:cs="Calibri" w:eastAsia="Calibri" w:hAnsi="Calibri"/>
          <w:b/>
          <w:bCs/>
          <w:i/>
          <w:iCs/>
          <w:color w:val="1F4E5F"/>
          <w:sz w:val="22"/>
          <w:szCs w:val="22"/>
        </w:rPr>
        <w:t xml:space="preserve">Case Background</w:t>
      </w:r>
    </w:p>
    <w:p>
      <w:pPr>
        <w:spacing w:after="160"/>
      </w:pPr>
      <w:r>
        <w:rPr>
          <w:rFonts w:ascii="Calibri" w:cs="Calibri" w:eastAsia="Calibri" w:hAnsi="Calibri"/>
          <w:sz w:val="22"/>
          <w:szCs w:val="22"/>
        </w:rPr>
        <w:t xml:space="preserve">The allegation made in this case is that a director of BankAmerica Corporation and its subsidiary Bank of America, along with a director of Bankers Trust New York Corporation and its subsidiary, were serving concurrently on the board of directors of The Prudential Insurance Company, which constituted a violation of Section 8 of the Clayton Act. </w:t>
      </w:r>
      <w:hyperlink w:history="1" r:id="rId8vgcfharh0mhevl4csnn5">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companies involved in the allegations are BankAmerica Corporation, Bank of America National Trust &amp; Savings Association, Bankers Trust New York Corporation, Bankers Trust Company, and The Prudential Insurance Company of America. </w:t>
      </w:r>
      <w:hyperlink w:history="1" r:id="rIdhuzzijlsugipgsnsfczpj">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case was initiated in the year 1975, specifically on October 6. </w:t>
      </w:r>
      <w:hyperlink w:history="1" r:id="rIdcr-9muqlupu_0ukmhjuny">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violation pertains to Section 8 of the Clayton Act, which prohibits an individual from serving as a director of two or more competing corporations, one of which has substantial assets and is engaged in interstate commerce. The conduct involved E. Hornsby Wasson serving as a director of both BankAmerica and Prudential, while Paul A. Gorman served as a director of both Bankers Trust and Prudential, thereby creating interlocking directorates that could eliminate competition. </w:t>
      </w:r>
      <w:hyperlink w:history="1" r:id="rId0bndgxkibovogrunxbb8l">
        <w:r>
          <w:rPr>
            <w:rStyle w:val="Hyperlink"/>
            <w:rFonts w:ascii="Calibri" w:cs="Calibri" w:eastAsia="Calibri" w:hAnsi="Calibri"/>
            <w:sz w:val="22"/>
            <w:szCs w:val="22"/>
          </w:rPr>
          <w:t xml:space="preserve">[4]</w:t>
        </w:r>
      </w:hyperlink>
    </w:p>
    <w:p>
      <w:pPr>
        <w:spacing w:after="120" w:before="240"/>
      </w:pPr>
      <w:r>
        <w:rPr>
          <w:rFonts w:ascii="Calibri" w:cs="Calibri" w:eastAsia="Calibri" w:hAnsi="Calibri"/>
          <w:b/>
          <w:bCs/>
          <w:i/>
          <w:iCs/>
          <w:color w:val="1F4E5F"/>
          <w:sz w:val="22"/>
          <w:szCs w:val="22"/>
        </w:rPr>
        <w:t xml:space="preserve">Case Progression</w:t>
      </w:r>
    </w:p>
    <w:p>
      <w:pPr>
        <w:pStyle w:val="ListParagraph"/>
        <w:numPr>
          <w:ilvl w:val="0"/>
          <w:numId w:val="1"/>
        </w:numPr>
        <w:spacing w:after="120"/>
      </w:pPr>
      <w:r>
        <w:rPr>
          <w:rFonts w:ascii="Calibri" w:cs="Calibri" w:eastAsia="Calibri" w:hAnsi="Calibri"/>
          <w:b/>
          <w:bCs/>
          <w:sz w:val="22"/>
          <w:szCs w:val="22"/>
        </w:rPr>
        <w:t xml:space="preserve">Track Identification: </w:t>
      </w:r>
      <w:r>
        <w:rPr>
          <w:rFonts w:ascii="Calibri" w:cs="Calibri" w:eastAsia="Calibri" w:hAnsi="Calibri"/>
          <w:sz w:val="22"/>
          <w:szCs w:val="22"/>
        </w:rPr>
        <w:t xml:space="preserve">The case is on the civil conduct track under the DOJ, specifically involving allegations of violations of the Clayton Act, as indicated by the nature of the complaint filed against multiple defendants, including BankAmerica and Prudential </w:t>
      </w:r>
      <w:hyperlink w:history="1" r:id="rIdwle3xj-cp2msl3xqzyo6g">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Initiation: </w:t>
      </w:r>
      <w:r>
        <w:rPr>
          <w:rFonts w:ascii="Calibri" w:cs="Calibri" w:eastAsia="Calibri" w:hAnsi="Calibri"/>
          <w:sz w:val="22"/>
          <w:szCs w:val="22"/>
        </w:rPr>
        <w:t xml:space="preserve">The Department of Justice initiated the case by filing a civil antitrust suit on October 6, 1975, alleging violations of Section 8 of the Clayton Act due to interlocking directorates among competing corporations </w:t>
      </w:r>
      <w:hyperlink w:history="1" r:id="rIdkhnyja0yfl5dy4qiv_zyi">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Complaint Filing: </w:t>
      </w:r>
      <w:r>
        <w:rPr>
          <w:rFonts w:ascii="Calibri" w:cs="Calibri" w:eastAsia="Calibri" w:hAnsi="Calibri"/>
          <w:sz w:val="22"/>
          <w:szCs w:val="22"/>
        </w:rPr>
        <w:t xml:space="preserve">The complaint was filed in the U.S. District Court for the Northern District of California, detailing the alleged violations and seeking injunctive relief against E. Hornsby Wasson </w:t>
      </w:r>
      <w:hyperlink w:history="1" r:id="rId1hzfm5lhozzf6diz5jxyp">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 The legal test applied here involves determining whether the defendants' actions constituted a violation of Section 8, which prohibits interlocking directorates among competitors. Proposed Consent Judgment: A proposed consent judgment was submitted, which enjoins Wasson from serving as a director of both BankAmerica and Prudential simultaneously. This judgment aims to eliminate the interlocks that violate the Clayton Act </w:t>
      </w:r>
      <w:hyperlink w:history="1" r:id="rIdvbsiucolsmbtvweyhqsft">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burden of proof lies with the DOJ to demonstrate that the consent judgment serves the public interest. Public Comment Period: Following the proposed consent judgment, there is a provision for a 60-day public comment period, allowing individuals to submit comments regarding the judgment to the DOJ </w:t>
      </w:r>
      <w:hyperlink w:history="1" r:id="rIdf5sv5alqwx6icxnxijlyd">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 The district judge will ultimately determine if the judgment aligns with public interest based on the comments received. Finalization: The record does not specify the final outcome or whether the consent judgment was entered, as it focuses on the proposed judgment and the procedures for modification and public comment </w:t>
      </w:r>
      <w:hyperlink w:history="1" r:id="rIdq42z1mt-mg3thsvsk_duq">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 The district judge would be responsible for the final decision on the entry of the decree.</w:t>
      </w:r>
    </w:p>
    <w:p>
      <w:pPr>
        <w:spacing w:after="120" w:before="240"/>
      </w:pPr>
      <w:r>
        <w:rPr>
          <w:rFonts w:ascii="Calibri" w:cs="Calibri" w:eastAsia="Calibri" w:hAnsi="Calibri"/>
          <w:b/>
          <w:bCs/>
          <w:i/>
          <w:iCs/>
          <w:color w:val="1F4E5F"/>
          <w:sz w:val="22"/>
          <w:szCs w:val="22"/>
        </w:rPr>
        <w:t xml:space="preserve">Market Definition</w:t>
      </w:r>
    </w:p>
    <w:p>
      <w:pPr>
        <w:spacing w:after="160"/>
      </w:pPr>
      <w:r>
        <w:rPr>
          <w:rFonts w:ascii="Calibri" w:cs="Calibri" w:eastAsia="Calibri" w:hAnsi="Calibri"/>
          <w:sz w:val="22"/>
          <w:szCs w:val="22"/>
        </w:rPr>
        <w:t xml:space="preserve">The market considered in this case involved commercial banks and life insurance companies, specifically in the context of their competition in offering various forms of credit, including real estate mortgage loans. </w:t>
      </w:r>
      <w:hyperlink w:history="1" r:id="rIdrjfsecyq9oizsf869rhvr">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complaint alleges that BankAmerica, Bank of America, Bankers Trust, and Prudential were competitors in the market for real estate mortgage loans, particularly in California. </w:t>
      </w:r>
      <w:hyperlink w:history="1" r:id="rIdlxm_rpo8ydflqx9y1r_-9">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definition of "competitors" was based on Section 8 of the Clayton Act, which prohibits individuals from serving as directors of competing corporations, where one has substantial financial holdings and engages in interstate commerce. </w:t>
      </w:r>
      <w:hyperlink w:history="1" r:id="rId4afaer8htyag8lccimiib">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Department of Justice contended that the activities of commercial banks and life insurance companies made them competitors, as both sectors provide financing for real estate and consumer loans. </w:t>
      </w:r>
      <w:hyperlink w:history="1" r:id="rId0eepsatfleihoov66nucq">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evidence presented did not identify specific restraints of trade but indicated a probability of anticompetitive effects arising from the interlocking directorates, which was a key factor in defining the competitive landscape. </w:t>
      </w:r>
      <w:hyperlink w:history="1" r:id="rIdywhftltrgjbaiydn9pwct">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proposed consent judgment aimed to eliminate the interlocks between the involved corporations, thereby addressing the potential for anticompetitive effects without needing to demonstrate specific competitive harm. </w:t>
      </w:r>
      <w:hyperlink w:history="1" r:id="rIddx054ffo9b_e03ao9albe">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process for defining the market involved analyzing the roles of the corporations in question and their overlapping interests in the credit market, particularly in real estate lending, which was substantiated by their financial holdings and market activities. </w:t>
      </w:r>
      <w:hyperlink w:history="1" r:id="rIdi2tcfubx4fqzl-1_davmf">
        <w:r>
          <w:rPr>
            <w:rStyle w:val="Hyperlink"/>
            <w:rFonts w:ascii="Calibri" w:cs="Calibri" w:eastAsia="Calibri" w:hAnsi="Calibri"/>
            <w:sz w:val="22"/>
            <w:szCs w:val="22"/>
          </w:rPr>
          <w:t xml:space="preserve">[4]</w:t>
        </w:r>
      </w:hyperlink>
    </w:p>
    <w:p>
      <w:pPr>
        <w:spacing w:after="120" w:before="24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120"/>
      </w:pPr>
      <w:r>
        <w:rPr>
          <w:rFonts w:ascii="Calibri" w:cs="Calibri" w:eastAsia="Calibri" w:hAnsi="Calibri"/>
          <w:b/>
          <w:bCs/>
          <w:sz w:val="22"/>
          <w:szCs w:val="22"/>
        </w:rPr>
        <w:t xml:space="preserve">Section 8 of the Clayton Act: </w:t>
      </w:r>
      <w:r>
        <w:rPr>
          <w:rFonts w:ascii="Calibri" w:cs="Calibri" w:eastAsia="Calibri" w:hAnsi="Calibri"/>
          <w:sz w:val="22"/>
          <w:szCs w:val="22"/>
        </w:rPr>
        <w:t xml:space="preserve">This legal provision prohibits an individual from serving as a director of two or more competing corporations if one has substantial assets and is engaged in interstate commerce. In this case, the Department of Justice argued that the concurrent directorships of E. Hornsby Wasson and Paul A. Gorman violated this section, as the involved corporations were competitors in offering credit services. The process involved identifying the competing entities and assessing their market activities to establish the violation. </w:t>
      </w:r>
      <w:hyperlink w:history="1" r:id="rIdswco-cqm79dgddzx8t2ia">
        <w:r>
          <w:rPr>
            <w:rStyle w:val="Hyperlink"/>
            <w:rFonts w:ascii="Calibri" w:cs="Calibri" w:eastAsia="Calibri" w:hAnsi="Calibri"/>
            <w:sz w:val="22"/>
            <w:szCs w:val="22"/>
          </w:rPr>
          <w:t xml:space="preserve">[4]</w:t>
        </w:r>
      </w:hyperlink>
    </w:p>
    <w:p>
      <w:pPr>
        <w:pStyle w:val="ListParagraph"/>
        <w:numPr>
          <w:ilvl w:val="0"/>
          <w:numId w:val="1"/>
        </w:numPr>
        <w:spacing w:after="120"/>
      </w:pPr>
      <w:r>
        <w:rPr>
          <w:rFonts w:ascii="Calibri" w:cs="Calibri" w:eastAsia="Calibri" w:hAnsi="Calibri"/>
          <w:b/>
          <w:bCs/>
          <w:sz w:val="22"/>
          <w:szCs w:val="22"/>
        </w:rPr>
        <w:t xml:space="preserve">Anticipated Effects on Competition: </w:t>
      </w:r>
      <w:r>
        <w:rPr>
          <w:rFonts w:ascii="Calibri" w:cs="Calibri" w:eastAsia="Calibri" w:hAnsi="Calibri"/>
          <w:sz w:val="22"/>
          <w:szCs w:val="22"/>
        </w:rPr>
        <w:t xml:space="preserve">The proposed consent judgment aimed to eliminate the potential for anticompetitive effects arising from interlocking directorates. The assessment did not focus on specific restraints of trade but rather on the likelihood of such restraints occurring due to the overlapping directorships. The process involved evaluating the competitive landscape and the risks posed by the interlocks, leading to the conclusion that their removal would mitigate these risks. </w:t>
      </w:r>
      <w:hyperlink w:history="1" r:id="rIdb1jt6jvcouvxe3w_th9oj">
        <w:r>
          <w:rPr>
            <w:rStyle w:val="Hyperlink"/>
            <w:rFonts w:ascii="Calibri" w:cs="Calibri" w:eastAsia="Calibri" w:hAnsi="Calibri"/>
            <w:sz w:val="22"/>
            <w:szCs w:val="22"/>
          </w:rPr>
          <w:t xml:space="preserve">[4]</w:t>
        </w:r>
      </w:hyperlink>
    </w:p>
    <w:p>
      <w:pPr>
        <w:pStyle w:val="ListParagraph"/>
        <w:numPr>
          <w:ilvl w:val="0"/>
          <w:numId w:val="1"/>
        </w:numPr>
        <w:spacing w:after="120"/>
      </w:pPr>
      <w:r>
        <w:rPr>
          <w:rFonts w:ascii="Calibri" w:cs="Calibri" w:eastAsia="Calibri" w:hAnsi="Calibri"/>
          <w:b/>
          <w:bCs/>
          <w:sz w:val="22"/>
          <w:szCs w:val="22"/>
        </w:rPr>
        <w:t xml:space="preserve">Retention of Jurisdiction for Modification: </w:t>
      </w:r>
      <w:r>
        <w:rPr>
          <w:rFonts w:ascii="Calibri" w:cs="Calibri" w:eastAsia="Calibri" w:hAnsi="Calibri"/>
          <w:sz w:val="22"/>
          <w:szCs w:val="22"/>
        </w:rPr>
        <w:t xml:space="preserve">The proposed consent judgment allows for the retention of jurisdiction, enabling either party to seek modifications if necessary. This legal test ensures that the court can respond to changing circumstances or new evidence that may arise post-judgment. The process involves submitting written comments to the Department of Justice, which are then filed with the court and published, allowing for public input on potential modifications. </w:t>
      </w:r>
      <w:hyperlink w:history="1" r:id="rIdpgbitx2xzdzmpbbqc7qaz">
        <w:r>
          <w:rPr>
            <w:rStyle w:val="Hyperlink"/>
            <w:rFonts w:ascii="Calibri" w:cs="Calibri" w:eastAsia="Calibri" w:hAnsi="Calibri"/>
            <w:sz w:val="22"/>
            <w:szCs w:val="22"/>
          </w:rPr>
          <w:t xml:space="preserve">[4]</w:t>
        </w:r>
      </w:hyperlink>
    </w:p>
    <w:p>
      <w:pPr>
        <w:spacing w:after="120" w:before="240"/>
      </w:pPr>
      <w:r>
        <w:rPr>
          <w:rFonts w:ascii="Calibri" w:cs="Calibri" w:eastAsia="Calibri" w:hAnsi="Calibri"/>
          <w:b/>
          <w:bCs/>
          <w:i/>
          <w:iCs/>
          <w:color w:val="1F4E5F"/>
          <w:sz w:val="22"/>
          <w:szCs w:val="22"/>
        </w:rPr>
        <w:t xml:space="preserve">Conclusion</w:t>
      </w:r>
    </w:p>
    <w:p>
      <w:pPr>
        <w:pStyle w:val="ListParagraph"/>
        <w:numPr>
          <w:ilvl w:val="0"/>
          <w:numId w:val="1"/>
        </w:numPr>
        <w:spacing w:after="120"/>
      </w:pPr>
      <w:r>
        <w:rPr>
          <w:rFonts w:ascii="Calibri" w:cs="Calibri" w:eastAsia="Calibri" w:hAnsi="Calibri"/>
          <w:sz w:val="22"/>
          <w:szCs w:val="22"/>
        </w:rPr>
        <w:t xml:space="preserve">The proposed consent judgment enjoins E. Hornsby Wasson from serving as a director of BankAmerica and Bank of America or any subsidiary while also serving as a director of Prudential or its subsidiaries </w:t>
      </w:r>
      <w:hyperlink w:history="1" r:id="rId_mlykdrvx9sjl007gyb-9">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judgment allows potential private plaintiffs who may have been harmed by the alleged violations to retain their right to sue for monetary damages and other legal remedies, but it cannot be used as prima facie evidence in private litigation under the Clayton Act </w:t>
      </w:r>
      <w:hyperlink w:history="1" r:id="rIdpbfrq_tcbuegoyqkb09y2">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Department of Justice considered the relief requested in the complaint, which sought to prevent Wasson from serving on the boards of competing corporations, as a principal alternative to the proposed consent judgment </w:t>
      </w:r>
      <w:hyperlink w:history="1" r:id="rIduypcfim9z_cymdcdgosle">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judgment aims to eliminate interlocks between BankAmerica, Bank of America, and Prudential, addressing the concerns of competition law regarding the potential for anticompetitive effects from such interlocking directorates </w:t>
      </w:r>
      <w:hyperlink w:history="1" r:id="rIds_jn35ffuikrgyi0fgcge">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Department of Justice did not find any determinative documents that influenced the formulation of the proposed consent judgment, indicating that the decision was based on the allegations and the need to address the violations </w:t>
      </w:r>
      <w:hyperlink w:history="1" r:id="rIdy3nf4xmo13opu10sa78a5">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anticipated effect of the consent judgment is the removal of the risk of anticompetitive effects resulting from the interlocking directorates, although specific measurable effects on competition were not identified </w:t>
      </w:r>
      <w:hyperlink w:history="1" r:id="rId7qaie3nof88mjnbhsqqql">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spacing w:after="160" w:before="300"/>
      </w:pPr>
      <w:r>
        <w:rPr>
          <w:rFonts w:ascii="Calibri" w:cs="Calibri" w:eastAsia="Calibri" w:hAnsi="Calibri"/>
          <w:b/>
          <w:bCs/>
          <w:color w:val="1F4E5F"/>
          <w:sz w:val="22"/>
          <w:szCs w:val="22"/>
        </w:rPr>
        <w:t xml:space="preserve">Final Judgment: U.S. v. BankAmerica Corp., et al.</w:t>
      </w:r>
    </w:p>
    <w:p>
      <w:pPr>
        <w:spacing w:after="120" w:before="240"/>
      </w:pPr>
      <w:r>
        <w:rPr>
          <w:rFonts w:ascii="Calibri" w:cs="Calibri" w:eastAsia="Calibri" w:hAnsi="Calibri"/>
          <w:b/>
          <w:bCs/>
          <w:i/>
          <w:iCs/>
          <w:color w:val="1F4E5F"/>
          <w:sz w:val="22"/>
          <w:szCs w:val="22"/>
        </w:rPr>
        <w:t xml:space="preserve">Case Background</w:t>
      </w:r>
    </w:p>
    <w:p>
      <w:pPr>
        <w:spacing w:after="160"/>
      </w:pPr>
      <w:r>
        <w:rPr>
          <w:rFonts w:ascii="Calibri" w:cs="Calibri" w:eastAsia="Calibri" w:hAnsi="Calibri"/>
          <w:sz w:val="22"/>
          <w:szCs w:val="22"/>
        </w:rPr>
        <w:t xml:space="preserve">The allegation made in this case involves antitrust violations related to director interlocks between competing corporations. </w:t>
      </w:r>
      <w:hyperlink w:history="1" r:id="rIdsjmi1o3kllldoatt6s-9n">
        <w:r>
          <w:rPr>
            <w:rStyle w:val="Hyperlink"/>
            <w:rFonts w:ascii="Calibri" w:cs="Calibri" w:eastAsia="Calibri" w:hAnsi="Calibri"/>
            <w:sz w:val="22"/>
            <w:szCs w:val="22"/>
          </w:rPr>
          <w:t xml:space="preserve">[5]</w:t>
        </w:r>
      </w:hyperlink>
    </w:p>
    <w:p>
      <w:pPr>
        <w:spacing w:after="160"/>
      </w:pPr>
      <w:r>
        <w:rPr>
          <w:rFonts w:ascii="Calibri" w:cs="Calibri" w:eastAsia="Calibri" w:hAnsi="Calibri"/>
          <w:sz w:val="22"/>
          <w:szCs w:val="22"/>
        </w:rPr>
        <w:t xml:space="preserve">The companies involved in the allegations include BankAmerica Corporation, Bank of America National Trust &amp; Savings Association, Bankers Trust New York Corporation, Bankers Trust Company, and The Prudential Insurance Company of America. </w:t>
      </w:r>
      <w:hyperlink w:history="1" r:id="rIdbfvak4us-1mt2qrgjz3tk">
        <w:r>
          <w:rPr>
            <w:rStyle w:val="Hyperlink"/>
            <w:rFonts w:ascii="Calibri" w:cs="Calibri" w:eastAsia="Calibri" w:hAnsi="Calibri"/>
            <w:sz w:val="22"/>
            <w:szCs w:val="22"/>
          </w:rPr>
          <w:t xml:space="preserve">[5]</w:t>
        </w:r>
      </w:hyperlink>
    </w:p>
    <w:p>
      <w:pPr>
        <w:spacing w:after="160"/>
      </w:pPr>
      <w:r>
        <w:rPr>
          <w:rFonts w:ascii="Calibri" w:cs="Calibri" w:eastAsia="Calibri" w:hAnsi="Calibri"/>
          <w:sz w:val="22"/>
          <w:szCs w:val="22"/>
        </w:rPr>
        <w:t xml:space="preserve">The case was initiated in the year 1975, with the complaint filed on October 6 of that year. </w:t>
      </w:r>
      <w:hyperlink w:history="1" r:id="rIdk30kefrydmjdvuqvoecka">
        <w:r>
          <w:rPr>
            <w:rStyle w:val="Hyperlink"/>
            <w:rFonts w:ascii="Calibri" w:cs="Calibri" w:eastAsia="Calibri" w:hAnsi="Calibri"/>
            <w:sz w:val="22"/>
            <w:szCs w:val="22"/>
          </w:rPr>
          <w:t xml:space="preserve">[5]</w:t>
        </w:r>
      </w:hyperlink>
    </w:p>
    <w:p>
      <w:pPr>
        <w:spacing w:after="160"/>
      </w:pPr>
      <w:r>
        <w:rPr>
          <w:rFonts w:ascii="Calibri" w:cs="Calibri" w:eastAsia="Calibri" w:hAnsi="Calibri"/>
          <w:sz w:val="22"/>
          <w:szCs w:val="22"/>
        </w:rPr>
        <w:t xml:space="preserve">The violation pertains to Section 8 of the Clayton Act, which prohibits a person from serving as a director in multiple corporations that are competitors if one of them has significant capital and is engaged in commerce. This was conducted through the appointment of E. Hornsby Wasson as a director in both BankAmerica and The Prudential Insurance Company, which created a conflict of interest and potential anti-competitive behavior. </w:t>
      </w:r>
      <w:hyperlink w:history="1" r:id="rId5-irpmo4nyzvbmamwvu8c">
        <w:r>
          <w:rPr>
            <w:rStyle w:val="Hyperlink"/>
            <w:rFonts w:ascii="Calibri" w:cs="Calibri" w:eastAsia="Calibri" w:hAnsi="Calibri"/>
            <w:sz w:val="22"/>
            <w:szCs w:val="22"/>
          </w:rPr>
          <w:t xml:space="preserve">[5]</w:t>
        </w:r>
      </w:hyperlink>
    </w:p>
    <w:p>
      <w:pPr>
        <w:spacing w:after="120" w:before="240"/>
      </w:pPr>
      <w:r>
        <w:rPr>
          <w:rFonts w:ascii="Calibri" w:cs="Calibri" w:eastAsia="Calibri" w:hAnsi="Calibri"/>
          <w:b/>
          <w:bCs/>
          <w:i/>
          <w:iCs/>
          <w:color w:val="1F4E5F"/>
          <w:sz w:val="22"/>
          <w:szCs w:val="22"/>
        </w:rPr>
        <w:t xml:space="preserve">Case Progression</w:t>
      </w:r>
    </w:p>
    <w:p>
      <w:pPr>
        <w:pStyle w:val="ListParagraph"/>
        <w:numPr>
          <w:ilvl w:val="0"/>
          <w:numId w:val="1"/>
        </w:numPr>
        <w:spacing w:after="120"/>
      </w:pPr>
      <w:r>
        <w:rPr>
          <w:rFonts w:ascii="Calibri" w:cs="Calibri" w:eastAsia="Calibri" w:hAnsi="Calibri"/>
          <w:b/>
          <w:bCs/>
          <w:sz w:val="22"/>
          <w:szCs w:val="22"/>
        </w:rPr>
        <w:t xml:space="preserve">Track Identification: </w:t>
      </w:r>
      <w:r>
        <w:rPr>
          <w:rFonts w:ascii="Calibri" w:cs="Calibri" w:eastAsia="Calibri" w:hAnsi="Calibri"/>
          <w:sz w:val="22"/>
          <w:szCs w:val="22"/>
        </w:rPr>
        <w:t xml:space="preserve">The case is on TRACK B, which involves civil conduct under the DOJ, specifically related to the Clayton Act. This is indicated by the filing of a civil action by the United States against multiple defendants, including BankAmerica Corporation and E. Hornsby Wasson </w:t>
      </w:r>
      <w:hyperlink w:history="1" r:id="rIdysfjjko7vex2c8yh7sb-l">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Complaint Filing: </w:t>
      </w:r>
      <w:r>
        <w:rPr>
          <w:rFonts w:ascii="Calibri" w:cs="Calibri" w:eastAsia="Calibri" w:hAnsi="Calibri"/>
          <w:sz w:val="22"/>
          <w:szCs w:val="22"/>
        </w:rPr>
        <w:t xml:space="preserve">The complaint was filed in the U.S. District Court on October 6, 1975, stating a claim under Section 8 of the Clayton Act, which addresses interlocking directorates that may lessen competition </w:t>
      </w:r>
      <w:hyperlink w:history="1" r:id="rId62lezs1u42joykqovwbst">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Consent to Final Judgment: </w:t>
      </w:r>
      <w:r>
        <w:rPr>
          <w:rFonts w:ascii="Calibri" w:cs="Calibri" w:eastAsia="Calibri" w:hAnsi="Calibri"/>
          <w:sz w:val="22"/>
          <w:szCs w:val="22"/>
        </w:rPr>
        <w:t xml:space="preserve">The defendant, E. Hornsby Wasson, consented to the entry of a Final Judgment without trial or adjudication of any issues of law or fact, indicating a negotiated resolution rather than a litigated outcome </w:t>
      </w:r>
      <w:hyperlink w:history="1" r:id="rId_3jmtapmjseokjkrme2kl">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Injunction Issued: </w:t>
      </w:r>
      <w:r>
        <w:rPr>
          <w:rFonts w:ascii="Calibri" w:cs="Calibri" w:eastAsia="Calibri" w:hAnsi="Calibri"/>
          <w:sz w:val="22"/>
          <w:szCs w:val="22"/>
        </w:rPr>
        <w:t xml:space="preserve">The Final Judgment enjoined Wasson from serving as a director of BankAmerica and its subsidiaries while also serving as a director of The Prudential Insurance Company, reflecting the court's application of the Clayton Act's provisions regarding director interlocks </w:t>
      </w:r>
      <w:hyperlink w:history="1" r:id="rIdouiwjekssmlgzefggt4pz">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Retention of Jurisdiction: </w:t>
      </w:r>
      <w:r>
        <w:rPr>
          <w:rFonts w:ascii="Calibri" w:cs="Calibri" w:eastAsia="Calibri" w:hAnsi="Calibri"/>
          <w:sz w:val="22"/>
          <w:szCs w:val="22"/>
        </w:rPr>
        <w:t xml:space="preserve">The court retained jurisdiction to enable any party to apply for further orders or modifications of the judgment, which is a common practice in civil antitrust cases to ensure compliance and address future developments </w:t>
      </w:r>
      <w:hyperlink w:history="1" r:id="rIdsywqaka2jnu3mxdolax-q">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Public Interest Determination: </w:t>
      </w:r>
      <w:r>
        <w:rPr>
          <w:rFonts w:ascii="Calibri" w:cs="Calibri" w:eastAsia="Calibri" w:hAnsi="Calibri"/>
          <w:sz w:val="22"/>
          <w:szCs w:val="22"/>
        </w:rPr>
        <w:t xml:space="preserve">The entry of the Final Judgment was deemed to be in the public interest, which is a requirement under the Tunney Act for civil antitrust cases, ensuring that the resolution serves the broader community's interests </w:t>
      </w:r>
      <w:hyperlink w:history="1" r:id="rIdymqzkvwbtiylsuphtf6am">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spacing w:after="120" w:before="240"/>
      </w:pPr>
      <w:r>
        <w:rPr>
          <w:rFonts w:ascii="Calibri" w:cs="Calibri" w:eastAsia="Calibri" w:hAnsi="Calibri"/>
          <w:b/>
          <w:bCs/>
          <w:i/>
          <w:iCs/>
          <w:color w:val="1F4E5F"/>
          <w:sz w:val="22"/>
          <w:szCs w:val="22"/>
        </w:rPr>
        <w:t xml:space="preserve">Market Definition</w:t>
      </w:r>
    </w:p>
    <w:p>
      <w:pPr>
        <w:spacing w:after="160"/>
      </w:pPr>
      <w:r>
        <w:rPr>
          <w:rFonts w:ascii="Calibri" w:cs="Calibri" w:eastAsia="Calibri" w:hAnsi="Calibri"/>
          <w:sz w:val="22"/>
          <w:szCs w:val="22"/>
        </w:rPr>
        <w:t xml:space="preserve">The case involved the antitrust implications of director interlocks between banks and non- banking entities, specifically focusing on BankAmerica and The Prudential Insurance Company of America. </w:t>
      </w:r>
      <w:hyperlink w:history="1" r:id="rIdlu3tc-zztm5y28rmvptfp">
        <w:r>
          <w:rPr>
            <w:rStyle w:val="Hyperlink"/>
            <w:rFonts w:ascii="Calibri" w:cs="Calibri" w:eastAsia="Calibri" w:hAnsi="Calibri"/>
            <w:sz w:val="22"/>
            <w:szCs w:val="22"/>
          </w:rPr>
          <w:t xml:space="preserve">[5]</w:t>
        </w:r>
      </w:hyperlink>
    </w:p>
    <w:p>
      <w:pPr>
        <w:spacing w:after="160"/>
      </w:pPr>
      <w:r>
        <w:rPr>
          <w:rFonts w:ascii="Calibri" w:cs="Calibri" w:eastAsia="Calibri" w:hAnsi="Calibri"/>
          <w:sz w:val="22"/>
          <w:szCs w:val="22"/>
        </w:rPr>
        <w:t xml:space="preserve">The jurisdiction of the court was established under the Clayton Act, which addresses anti- competitive practices and director interlocks that may harm competition. </w:t>
      </w:r>
      <w:hyperlink w:history="1" r:id="rIdpufrdh_erf2q0jzv23qib">
        <w:r>
          <w:rPr>
            <w:rStyle w:val="Hyperlink"/>
            <w:rFonts w:ascii="Calibri" w:cs="Calibri" w:eastAsia="Calibri" w:hAnsi="Calibri"/>
            <w:sz w:val="22"/>
            <w:szCs w:val="22"/>
          </w:rPr>
          <w:t xml:space="preserve">[5]</w:t>
        </w:r>
      </w:hyperlink>
    </w:p>
    <w:p>
      <w:pPr>
        <w:spacing w:after="160"/>
      </w:pPr>
      <w:r>
        <w:rPr>
          <w:rFonts w:ascii="Calibri" w:cs="Calibri" w:eastAsia="Calibri" w:hAnsi="Calibri"/>
          <w:sz w:val="22"/>
          <w:szCs w:val="22"/>
        </w:rPr>
        <w:t xml:space="preserve">The specific provision cited was 15 U.S.C. §19, which prohibits individuals from serving as directors in competing corporations, particularly when one has significant capital and is engaged in commerce. </w:t>
      </w:r>
      <w:hyperlink w:history="1" r:id="rIdtwxsr6n7crxkjlqmv1asw">
        <w:r>
          <w:rPr>
            <w:rStyle w:val="Hyperlink"/>
            <w:rFonts w:ascii="Calibri" w:cs="Calibri" w:eastAsia="Calibri" w:hAnsi="Calibri"/>
            <w:sz w:val="22"/>
            <w:szCs w:val="22"/>
          </w:rPr>
          <w:t xml:space="preserve">[5]</w:t>
        </w:r>
      </w:hyperlink>
    </w:p>
    <w:p>
      <w:pPr>
        <w:spacing w:after="160"/>
      </w:pPr>
      <w:r>
        <w:rPr>
          <w:rFonts w:ascii="Calibri" w:cs="Calibri" w:eastAsia="Calibri" w:hAnsi="Calibri"/>
          <w:sz w:val="22"/>
          <w:szCs w:val="22"/>
        </w:rPr>
        <w:t xml:space="preserve">The judgment included an injunction against E. Hornsby Wasson from serving as a director of both BankAmerica and The Prudential Insurance Company simultaneously, highlighting the concern over potential anti-competitive behavior. </w:t>
      </w:r>
      <w:hyperlink w:history="1" r:id="rIdvgxhkia41dgxnf534xde-">
        <w:r>
          <w:rPr>
            <w:rStyle w:val="Hyperlink"/>
            <w:rFonts w:ascii="Calibri" w:cs="Calibri" w:eastAsia="Calibri" w:hAnsi="Calibri"/>
            <w:sz w:val="22"/>
            <w:szCs w:val="22"/>
          </w:rPr>
          <w:t xml:space="preserve">[5]</w:t>
        </w:r>
      </w:hyperlink>
    </w:p>
    <w:p>
      <w:pPr>
        <w:spacing w:after="160"/>
      </w:pPr>
      <w:r>
        <w:rPr>
          <w:rFonts w:ascii="Calibri" w:cs="Calibri" w:eastAsia="Calibri" w:hAnsi="Calibri"/>
          <w:sz w:val="22"/>
          <w:szCs w:val="22"/>
        </w:rPr>
        <w:t xml:space="preserve">The court retained jurisdiction to allow for future modifications of the judgment if legislative or judicial changes occurred that would affect the applicability of the director interlock provisions. </w:t>
      </w:r>
      <w:hyperlink w:history="1" r:id="rIdhwbu7l8x2blcky3elpl7j">
        <w:r>
          <w:rPr>
            <w:rStyle w:val="Hyperlink"/>
            <w:rFonts w:ascii="Calibri" w:cs="Calibri" w:eastAsia="Calibri" w:hAnsi="Calibri"/>
            <w:sz w:val="22"/>
            <w:szCs w:val="22"/>
          </w:rPr>
          <w:t xml:space="preserve">[5]</w:t>
        </w:r>
      </w:hyperlink>
    </w:p>
    <w:p>
      <w:pPr>
        <w:spacing w:after="160"/>
      </w:pPr>
      <w:r>
        <w:rPr>
          <w:rFonts w:ascii="Calibri" w:cs="Calibri" w:eastAsia="Calibri" w:hAnsi="Calibri"/>
          <w:sz w:val="22"/>
          <w:szCs w:val="22"/>
        </w:rPr>
        <w:t xml:space="preserve">The final judgment was deemed to be in the public interest, indicating that the court recognized the broader implications for competition and market integrity. </w:t>
      </w:r>
      <w:hyperlink w:history="1" r:id="rIdsvpksr8_qxczutn87qgki">
        <w:r>
          <w:rPr>
            <w:rStyle w:val="Hyperlink"/>
            <w:rFonts w:ascii="Calibri" w:cs="Calibri" w:eastAsia="Calibri" w:hAnsi="Calibri"/>
            <w:sz w:val="22"/>
            <w:szCs w:val="22"/>
          </w:rPr>
          <w:t xml:space="preserve">[5]</w:t>
        </w:r>
      </w:hyperlink>
    </w:p>
    <w:p>
      <w:pPr>
        <w:spacing w:after="160"/>
      </w:pPr>
      <w:r>
        <w:rPr>
          <w:rFonts w:ascii="Calibri" w:cs="Calibri" w:eastAsia="Calibri" w:hAnsi="Calibri"/>
          <w:sz w:val="22"/>
          <w:szCs w:val="22"/>
        </w:rPr>
        <w:t xml:space="preserve">The judgment is set to remain in effect for twenty years, emphasizing the long-term commitment to maintaining competitive practices in the market. </w:t>
      </w:r>
      <w:hyperlink w:history="1" r:id="rIdgyskga-5ypdlcod0jbsl8">
        <w:r>
          <w:rPr>
            <w:rStyle w:val="Hyperlink"/>
            <w:rFonts w:ascii="Calibri" w:cs="Calibri" w:eastAsia="Calibri" w:hAnsi="Calibri"/>
            <w:sz w:val="22"/>
            <w:szCs w:val="22"/>
          </w:rPr>
          <w:t xml:space="preserve">[5]</w:t>
        </w:r>
      </w:hyperlink>
    </w:p>
    <w:p>
      <w:pPr>
        <w:spacing w:after="120" w:before="24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120"/>
      </w:pPr>
      <w:r>
        <w:rPr>
          <w:rFonts w:ascii="Calibri" w:cs="Calibri" w:eastAsia="Calibri" w:hAnsi="Calibri"/>
          <w:sz w:val="22"/>
          <w:szCs w:val="22"/>
        </w:rPr>
        <w:t xml:space="preserve">The case involves the application of the Clayton Act, specifically Section 8, which prohibits interlocking directorates between competing corporations. This legal test assesses whether the presence of a director in multiple competing firms could potentially reduce competition, thereby violating antitrust laws. The process in this case led to the injunction against E. Hornsby Wasson from serving as a director in both BankAmerica and The Prudential Insurance Company of America, as they were deemed competitors. </w:t>
      </w:r>
      <w:hyperlink w:history="1" r:id="rIdcdrwxnepiysolh3mmxf2l">
        <w:r>
          <w:rPr>
            <w:rStyle w:val="Hyperlink"/>
            <w:rFonts w:ascii="Calibri" w:cs="Calibri" w:eastAsia="Calibri" w:hAnsi="Calibri"/>
            <w:sz w:val="22"/>
            <w:szCs w:val="22"/>
          </w:rPr>
          <w:t xml:space="preserve">[5]</w:t>
        </w:r>
      </w:hyperlink>
    </w:p>
    <w:p>
      <w:pPr>
        <w:pStyle w:val="ListParagraph"/>
        <w:numPr>
          <w:ilvl w:val="0"/>
          <w:numId w:val="1"/>
        </w:numPr>
        <w:spacing w:after="120"/>
      </w:pPr>
      <w:r>
        <w:rPr>
          <w:rFonts w:ascii="Calibri" w:cs="Calibri" w:eastAsia="Calibri" w:hAnsi="Calibri"/>
          <w:sz w:val="22"/>
          <w:szCs w:val="22"/>
        </w:rPr>
        <w:t xml:space="preserve">The judgment allows for the possibility of modification based on future legislative or judicial changes that might exempt certain director interlocks from the provisions of the Clayton Act. This economic test evaluates the evolving nature of competition and regulatory frameworks, allowing the defendant to petition for changes if new laws or Supreme Court decisions alter the competitive landscape. </w:t>
      </w:r>
      <w:hyperlink w:history="1" r:id="rIdbs2uwifcygt8llpk2dke0">
        <w:r>
          <w:rPr>
            <w:rStyle w:val="Hyperlink"/>
            <w:rFonts w:ascii="Calibri" w:cs="Calibri" w:eastAsia="Calibri" w:hAnsi="Calibri"/>
            <w:sz w:val="22"/>
            <w:szCs w:val="22"/>
          </w:rPr>
          <w:t xml:space="preserve">[5]</w:t>
        </w:r>
      </w:hyperlink>
    </w:p>
    <w:p>
      <w:pPr>
        <w:pStyle w:val="ListParagraph"/>
        <w:numPr>
          <w:ilvl w:val="0"/>
          <w:numId w:val="1"/>
        </w:numPr>
        <w:spacing w:after="120"/>
      </w:pPr>
      <w:r>
        <w:rPr>
          <w:rFonts w:ascii="Calibri" w:cs="Calibri" w:eastAsia="Calibri" w:hAnsi="Calibri"/>
          <w:sz w:val="22"/>
          <w:szCs w:val="22"/>
        </w:rPr>
        <w:t xml:space="preserve">The court retains jurisdiction to enforce compliance and address any violations of the judgment, which serves as a mechanism to ensure ongoing adherence to antitrust laws. This enforcement test is crucial for maintaining competitive practices over the 20-year duration of the judgment, ensuring that any future actions by the involved parties do not undermine the intent of the ruling. </w:t>
      </w:r>
      <w:hyperlink w:history="1" r:id="rIdttsnch9hpgjmvqzhyigt2">
        <w:r>
          <w:rPr>
            <w:rStyle w:val="Hyperlink"/>
            <w:rFonts w:ascii="Calibri" w:cs="Calibri" w:eastAsia="Calibri" w:hAnsi="Calibri"/>
            <w:sz w:val="22"/>
            <w:szCs w:val="22"/>
          </w:rPr>
          <w:t xml:space="preserve">[5]</w:t>
        </w:r>
      </w:hyperlink>
    </w:p>
    <w:p>
      <w:pPr>
        <w:spacing w:after="120" w:before="240"/>
      </w:pPr>
      <w:r>
        <w:rPr>
          <w:rFonts w:ascii="Calibri" w:cs="Calibri" w:eastAsia="Calibri" w:hAnsi="Calibri"/>
          <w:b/>
          <w:bCs/>
          <w:i/>
          <w:iCs/>
          <w:color w:val="1F4E5F"/>
          <w:sz w:val="22"/>
          <w:szCs w:val="22"/>
        </w:rPr>
        <w:t xml:space="preserve">Conclusion</w:t>
      </w:r>
    </w:p>
    <w:p>
      <w:pPr>
        <w:pStyle w:val="ListParagraph"/>
        <w:numPr>
          <w:ilvl w:val="0"/>
          <w:numId w:val="1"/>
        </w:numPr>
        <w:spacing w:after="120"/>
      </w:pPr>
      <w:r>
        <w:rPr>
          <w:rFonts w:ascii="Calibri" w:cs="Calibri" w:eastAsia="Calibri" w:hAnsi="Calibri"/>
          <w:sz w:val="22"/>
          <w:szCs w:val="22"/>
        </w:rPr>
        <w:t xml:space="preserve">The court retained jurisdiction for the purpose of enabling any party to apply for further orders or directions regarding the construction, modification, enforcement, and punishment of violations of the Final Judgment </w:t>
      </w:r>
      <w:hyperlink w:history="1" r:id="rIduwvdxrkpp0o1_pbjkrq-5">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Final Judgment is effective for a period of twenty years from the date of entry, after which it will have no further force and effect </w:t>
      </w:r>
      <w:hyperlink w:history="1" r:id="rIdyl17kb_udsstrph0n0ovu">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E. Hornsby Wasson is specifically enjoined and restrained from serving as a director of BankAmerica and Bank of America or any of their subsidiaries while also serving as a director of The Prudential Insurance Company of America or its subsidiaries </w:t>
      </w:r>
      <w:hyperlink w:history="1" r:id="rIdg43xpzavfide3vgz-h-kn">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defendant may petition for the abatement or modification of the Judgment upon sixty days written notice to the Attorney General if subsequent legal changes exempt director interlocks between banks and non-banks from the relevant provisions </w:t>
      </w:r>
      <w:hyperlink w:history="1" r:id="rIdnfvhqiquguqnkttewx6zu">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case was resolved without trial or adjudication of any issues of law or fact, indicating a consent agreement rather than a determination of guilt or innocence </w:t>
      </w:r>
      <w:hyperlink w:history="1" r:id="rId8ci2sjzadjm4pspgbismf">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entry of the Final Judgment was deemed to be in the public interest </w:t>
      </w:r>
      <w:hyperlink w:history="1" r:id="rId66siqsivnz8iffbij5izo">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spacing w:after="120" w:before="280"/>
      </w:pPr>
      <w:r>
        <w:rPr>
          <w:rFonts w:ascii="Calibri" w:cs="Calibri" w:eastAsia="Calibri" w:hAnsi="Calibri"/>
          <w:b/>
          <w:bCs/>
          <w:color w:val="1F4E5F"/>
          <w:sz w:val="22"/>
          <w:szCs w:val="22"/>
        </w:rPr>
        <w:t xml:space="preserve">Cited Sources</w:t>
      </w:r>
    </w:p>
    <w:p>
      <w:pPr>
        <w:pStyle w:val="ListParagraph"/>
        <w:numPr>
          <w:ilvl w:val="0"/>
          <w:numId w:val="2"/>
        </w:numPr>
        <w:spacing w:after="100"/>
      </w:pPr>
      <w:hyperlink w:history="1" r:id="rIdjrikhpxpl6mcf7t5rlxxa">
        <w:r>
          <w:rPr>
            <w:rStyle w:val="Hyperlink"/>
            <w:rFonts w:ascii="Calibri" w:cs="Calibri" w:eastAsia="Calibri" w:hAnsi="Calibri"/>
            <w:sz w:val="22"/>
            <w:szCs w:val="22"/>
          </w:rPr>
          <w:t xml:space="preserve">Final Judgment: U.S. v. BankAmerica Corp., et al.</w:t>
        </w:r>
      </w:hyperlink>
    </w:p>
    <w:p>
      <w:pPr>
        <w:pStyle w:val="ListParagraph"/>
        <w:numPr>
          <w:ilvl w:val="0"/>
          <w:numId w:val="2"/>
        </w:numPr>
        <w:spacing w:after="100"/>
      </w:pPr>
      <w:hyperlink w:history="1" r:id="rId2ey1zjpw5envsuinupsfk">
        <w:r>
          <w:rPr>
            <w:rStyle w:val="Hyperlink"/>
            <w:rFonts w:ascii="Calibri" w:cs="Calibri" w:eastAsia="Calibri" w:hAnsi="Calibri"/>
            <w:sz w:val="22"/>
            <w:szCs w:val="22"/>
          </w:rPr>
          <w:t xml:space="preserve">Complaint: U.S. v. BankAmerica Corp., et al.</w:t>
        </w:r>
      </w:hyperlink>
    </w:p>
    <w:p>
      <w:pPr>
        <w:pStyle w:val="ListParagraph"/>
        <w:numPr>
          <w:ilvl w:val="0"/>
          <w:numId w:val="2"/>
        </w:numPr>
        <w:spacing w:after="100"/>
      </w:pPr>
      <w:hyperlink w:history="1" r:id="rIds3txkfvwcvjoby-rl7smd">
        <w:r>
          <w:rPr>
            <w:rStyle w:val="Hyperlink"/>
            <w:rFonts w:ascii="Calibri" w:cs="Calibri" w:eastAsia="Calibri" w:hAnsi="Calibri"/>
            <w:sz w:val="22"/>
            <w:szCs w:val="22"/>
          </w:rPr>
          <w:t xml:space="preserve">[PDF] U.S. v. Visa U.S.A. Inc., Visa International Corp., and Mastercard ...</w:t>
        </w:r>
      </w:hyperlink>
    </w:p>
    <w:p>
      <w:pPr>
        <w:pStyle w:val="ListParagraph"/>
        <w:numPr>
          <w:ilvl w:val="0"/>
          <w:numId w:val="2"/>
        </w:numPr>
        <w:spacing w:after="100"/>
      </w:pPr>
      <w:hyperlink w:history="1" r:id="rIdbh3wsysaxyx9hdphkivl2">
        <w:r>
          <w:rPr>
            <w:rStyle w:val="Hyperlink"/>
            <w:rFonts w:ascii="Calibri" w:cs="Calibri" w:eastAsia="Calibri" w:hAnsi="Calibri"/>
            <w:sz w:val="22"/>
            <w:szCs w:val="22"/>
          </w:rPr>
          <w:t xml:space="preserve">[PDF] Competitive Impact Statement: U.S. v. BankAmerica Corp., et al.</w:t>
        </w:r>
      </w:hyperlink>
    </w:p>
    <w:p>
      <w:pPr>
        <w:pStyle w:val="ListParagraph"/>
        <w:numPr>
          <w:ilvl w:val="0"/>
          <w:numId w:val="2"/>
        </w:numPr>
        <w:spacing w:after="100"/>
      </w:pPr>
      <w:hyperlink w:history="1" r:id="rIdnirhawokj6p8enu6mfdgw">
        <w:r>
          <w:rPr>
            <w:rStyle w:val="Hyperlink"/>
            <w:rFonts w:ascii="Calibri" w:cs="Calibri" w:eastAsia="Calibri" w:hAnsi="Calibri"/>
            <w:sz w:val="22"/>
            <w:szCs w:val="22"/>
          </w:rPr>
          <w:t xml:space="preserve">Final Judgment: U.S. v. BankAmerica Corp., et al.</w:t>
        </w:r>
      </w:hyperlink>
    </w:p>
    <w:sectPr>
      <w:headerReference w:type="default" r:id="rId7"/>
      <w:footerReference w:type="default" r:id="rId8"/>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Competition-Law Assistant Evaluation — Blinded Transcript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6bm_q_z-s7aac8nvq_j6" Type="http://schemas.openxmlformats.org/officeDocument/2006/relationships/hyperlink" Target="https://www.justice.gov/atr/case-document/file/936571/dl" TargetMode="External"/><Relationship Id="rId8cxr9wm7hkgmzokpra8h2" Type="http://schemas.openxmlformats.org/officeDocument/2006/relationships/hyperlink" Target="https://www.justice.gov/atr/case-document/file/936571/dl" TargetMode="External"/><Relationship Id="rIdb80etexbszli7lpo_lmff" Type="http://schemas.openxmlformats.org/officeDocument/2006/relationships/hyperlink" Target="https://www.justice.gov/atr/case-document/file/936571/dl" TargetMode="External"/><Relationship Id="rIdthathqcs0455naurjhol7" Type="http://schemas.openxmlformats.org/officeDocument/2006/relationships/hyperlink" Target="https://www.justice.gov/atr/case-document/file/936571/dl" TargetMode="External"/><Relationship Id="rIdt4-ptahpijcfacqay3lee" Type="http://schemas.openxmlformats.org/officeDocument/2006/relationships/hyperlink" Target="https://www.justice.gov/atr/case-document/file/936571/dl" TargetMode="External"/><Relationship Id="rId4qblddfoaojgae1jkldfd" Type="http://schemas.openxmlformats.org/officeDocument/2006/relationships/hyperlink" Target="https://www.justice.gov/atr/case-document/file/936571/dl" TargetMode="External"/><Relationship Id="rIdhesf_ybqnlas3ek1a98mo" Type="http://schemas.openxmlformats.org/officeDocument/2006/relationships/hyperlink" Target="https://www.justice.gov/atr/case-document/file/936571/dl" TargetMode="External"/><Relationship Id="rIdqnqore-reudqwnbaddyd_" Type="http://schemas.openxmlformats.org/officeDocument/2006/relationships/hyperlink" Target="https://www.justice.gov/atr/case-document/file/936571/dl" TargetMode="External"/><Relationship Id="rIdp1ii9qul6_opdktzasqz4" Type="http://schemas.openxmlformats.org/officeDocument/2006/relationships/hyperlink" Target="https://www.justice.gov/atr/case-document/file/936571/dl" TargetMode="External"/><Relationship Id="rIde-ehpqrhvbhibgo8f5ob0" Type="http://schemas.openxmlformats.org/officeDocument/2006/relationships/hyperlink" Target="https://www.justice.gov/atr/case-document/file/936571/dl" TargetMode="External"/><Relationship Id="rIdd2nemw1vlgfnib-a988vw" Type="http://schemas.openxmlformats.org/officeDocument/2006/relationships/hyperlink" Target="https://www.justice.gov/atr/case-document/file/936571/dl" TargetMode="External"/><Relationship Id="rId7dfsrtlq9vsj9vixzpk4s" Type="http://schemas.openxmlformats.org/officeDocument/2006/relationships/hyperlink" Target="https://www.justice.gov/atr/case-document/file/936571/dl" TargetMode="External"/><Relationship Id="rIdpwdtv3lyp8ylytaaycnrt" Type="http://schemas.openxmlformats.org/officeDocument/2006/relationships/hyperlink" Target="https://www.justice.gov/atr/case-document/file/936571/dl" TargetMode="External"/><Relationship Id="rIdacf8sq0zbbzl_yieqk2b3" Type="http://schemas.openxmlformats.org/officeDocument/2006/relationships/hyperlink" Target="https://www.justice.gov/atr/case-document/file/936571/dl" TargetMode="External"/><Relationship Id="rIdmwqxhpeuaj90jdxm4h-gk" Type="http://schemas.openxmlformats.org/officeDocument/2006/relationships/hyperlink" Target="https://www.justice.gov/atr/case-document/file/936571/dl" TargetMode="External"/><Relationship Id="rIdn5yu3ps5kygrdjjw86-4n" Type="http://schemas.openxmlformats.org/officeDocument/2006/relationships/hyperlink" Target="https://www.justice.gov/atr/case-document/file/936571/dl" TargetMode="External"/><Relationship Id="rId4ir60whfnixmrz5yuznvu" Type="http://schemas.openxmlformats.org/officeDocument/2006/relationships/hyperlink" Target="https://www.justice.gov/atr/case-document/file/936571/dl" TargetMode="External"/><Relationship Id="rIdifxfy0wrdlwhyeoy7xrik" Type="http://schemas.openxmlformats.org/officeDocument/2006/relationships/hyperlink" Target="https://www.justice.gov/atr/case-document/file/936571/dl" TargetMode="External"/><Relationship Id="rIdsocalrp7-rehjtai2ytkv" Type="http://schemas.openxmlformats.org/officeDocument/2006/relationships/hyperlink" Target="https://www.justice.gov/atr/case-document/file/936571/dl" TargetMode="External"/><Relationship Id="rIdotwia8rydugorenilukbl" Type="http://schemas.openxmlformats.org/officeDocument/2006/relationships/hyperlink" Target="https://www.justice.gov/atr/case-document/file/936571/dl" TargetMode="External"/><Relationship Id="rIdvlcao0xxk7uhasmwbhhit" Type="http://schemas.openxmlformats.org/officeDocument/2006/relationships/hyperlink" Target="https://www.justice.gov/atr/case-document/file/936571/dl" TargetMode="External"/><Relationship Id="rId4hnpcscdxcbc08dnty4wi" Type="http://schemas.openxmlformats.org/officeDocument/2006/relationships/hyperlink" Target="https://www.justice.gov/atr/case-document/file/936571/dl" TargetMode="External"/><Relationship Id="rId8hhg1s4pn-gasinjcmh7y" Type="http://schemas.openxmlformats.org/officeDocument/2006/relationships/hyperlink" Target="https://www.justice.gov/atr/case-document/file/936571/dl" TargetMode="External"/><Relationship Id="rIdrzguvgn0a_xf3grgncwxr" Type="http://schemas.openxmlformats.org/officeDocument/2006/relationships/hyperlink" Target="https://www.justice.gov/atr/case-document/file/936571/dl" TargetMode="External"/><Relationship Id="rIdxylhfkjkjx7i3vxyn7gsn" Type="http://schemas.openxmlformats.org/officeDocument/2006/relationships/hyperlink" Target="https://www.justice.gov/atr/case-document/file/936571/dl" TargetMode="External"/><Relationship Id="rIdcp_eq6idj63ahzacvnhcy" Type="http://schemas.openxmlformats.org/officeDocument/2006/relationships/hyperlink" Target="https://www.justice.gov/atr/case-document/file/936571/dl" TargetMode="External"/><Relationship Id="rIdbiev_gzio-x9w_uwlflvi" Type="http://schemas.openxmlformats.org/officeDocument/2006/relationships/hyperlink" Target="https://www.justice.gov/atr/case-document/file/936571/dl" TargetMode="External"/><Relationship Id="rIda4hi-fpa-ku7ufuu3sm1u" Type="http://schemas.openxmlformats.org/officeDocument/2006/relationships/hyperlink" Target="https://www.justice.gov/atr/case-document/file/936571/dl" TargetMode="External"/><Relationship Id="rIdbzp9zegrumcffremhiwwv" Type="http://schemas.openxmlformats.org/officeDocument/2006/relationships/hyperlink" Target="https://www.justice.gov/atr/case-document/file/937226/dl" TargetMode="External"/><Relationship Id="rIdtrktq_4m04cgyolx9-tf5" Type="http://schemas.openxmlformats.org/officeDocument/2006/relationships/hyperlink" Target="https://www.justice.gov/atr/case-document/file/937226/dl" TargetMode="External"/><Relationship Id="rIdcrec2zesc1ybh8-6mws2t" Type="http://schemas.openxmlformats.org/officeDocument/2006/relationships/hyperlink" Target="https://www.justice.gov/atr/case-document/file/937226/dl" TargetMode="External"/><Relationship Id="rIdqf61lrbgwfxjdmfou8jh0" Type="http://schemas.openxmlformats.org/officeDocument/2006/relationships/hyperlink" Target="https://www.justice.gov/atr/case-document/file/937226/dl" TargetMode="External"/><Relationship Id="rIdh7k1o_2olk_ebvpe1xwcw" Type="http://schemas.openxmlformats.org/officeDocument/2006/relationships/hyperlink" Target="https://www.justice.gov/atr/case-document/file/937226/dl" TargetMode="External"/><Relationship Id="rId0wywjih8aluq4owzria4r" Type="http://schemas.openxmlformats.org/officeDocument/2006/relationships/hyperlink" Target="https://www.justice.gov/atr/case-document/file/937226/dl" TargetMode="External"/><Relationship Id="rIdnwkafjkodafaa3gyrrhjb" Type="http://schemas.openxmlformats.org/officeDocument/2006/relationships/hyperlink" Target="https://www.justice.gov/atr/case-document/file/937226/dl" TargetMode="External"/><Relationship Id="rIdzjdpqyuzc_bipk5xg6ho5" Type="http://schemas.openxmlformats.org/officeDocument/2006/relationships/hyperlink" Target="https://www.justice.gov/atr/case-document/file/937226/dl" TargetMode="External"/><Relationship Id="rIdgtay5aupytc9rai-a0rso" Type="http://schemas.openxmlformats.org/officeDocument/2006/relationships/hyperlink" Target="https://www.justice.gov/atr/case-document/file/937226/dl" TargetMode="External"/><Relationship Id="rIdncuhqzs9mqdb-dkc-fkco" Type="http://schemas.openxmlformats.org/officeDocument/2006/relationships/hyperlink" Target="https://www.justice.gov/atr/case-document/file/937226/dl" TargetMode="External"/><Relationship Id="rId7di8pu0cjnxsruw0zcocv" Type="http://schemas.openxmlformats.org/officeDocument/2006/relationships/hyperlink" Target="https://www.justice.gov/atr/case-document/file/937226/dl" TargetMode="External"/><Relationship Id="rIdvr5fs9m-8j3n0h6egpwzv" Type="http://schemas.openxmlformats.org/officeDocument/2006/relationships/hyperlink" Target="https://www.justice.gov/atr/case-document/file/937226/dl" TargetMode="External"/><Relationship Id="rIdmfuukudmjmetvwmmjfjyl" Type="http://schemas.openxmlformats.org/officeDocument/2006/relationships/hyperlink" Target="https://www.justice.gov/atr/case-document/file/937226/dl" TargetMode="External"/><Relationship Id="rIdiodk1appbku5xdop4ybn1" Type="http://schemas.openxmlformats.org/officeDocument/2006/relationships/hyperlink" Target="https://www.justice.gov/atr/case-document/file/937226/dl" TargetMode="External"/><Relationship Id="rIdtltccxbbiexrbihj47ewn" Type="http://schemas.openxmlformats.org/officeDocument/2006/relationships/hyperlink" Target="https://www.justice.gov/atr/case-document/file/937226/dl" TargetMode="External"/><Relationship Id="rId2ohhvao6zf6bgznbelovs" Type="http://schemas.openxmlformats.org/officeDocument/2006/relationships/hyperlink" Target="https://www.justice.gov/atr/case-document/file/937226/dl" TargetMode="External"/><Relationship Id="rIdq8jlbnx3jw1axy4_ysyhu" Type="http://schemas.openxmlformats.org/officeDocument/2006/relationships/hyperlink" Target="https://www.justice.gov/atr/case-document/file/937226/dl" TargetMode="External"/><Relationship Id="rIdokoxx_ar9zmqna0zo8knu" Type="http://schemas.openxmlformats.org/officeDocument/2006/relationships/hyperlink" Target="https://www.justice.gov/atr/case-document/file/937226/dl" TargetMode="External"/><Relationship Id="rIdnwtlp3f-bpwqyfpbh2gnv" Type="http://schemas.openxmlformats.org/officeDocument/2006/relationships/hyperlink" Target="https://www.justice.gov/atr/case-document/file/937226/dl" TargetMode="External"/><Relationship Id="rIdnrsxdo7rplfnomtjckb9a" Type="http://schemas.openxmlformats.org/officeDocument/2006/relationships/hyperlink" Target="https://www.justice.gov/atr/case-document/file/937226/dl" TargetMode="External"/><Relationship Id="rIdf1zdek5nlgtyuyb2g8dam" Type="http://schemas.openxmlformats.org/officeDocument/2006/relationships/hyperlink" Target="https://www.justice.gov/atr/case-document/file/937226/dl" TargetMode="External"/><Relationship Id="rId_cfccdk7eraop5pfcffh_" Type="http://schemas.openxmlformats.org/officeDocument/2006/relationships/hyperlink" Target="https://www.justice.gov/atr/case-document/file/937226/dl" TargetMode="External"/><Relationship Id="rIdf5v3qckkilcmtoxlnq3cj" Type="http://schemas.openxmlformats.org/officeDocument/2006/relationships/hyperlink" Target="https://www.justice.gov/atr/case-document/file/937226/dl" TargetMode="External"/><Relationship Id="rIdl-13qgnoro_nrkwhhxc8u" Type="http://schemas.openxmlformats.org/officeDocument/2006/relationships/hyperlink" Target="https://www.justice.gov/atr/case-document/file/937226/dl" TargetMode="External"/><Relationship Id="rId6gtd-yhh6gwlhl0or_ken" Type="http://schemas.openxmlformats.org/officeDocument/2006/relationships/hyperlink" Target="https://www.justice.gov/atr/case-document/file/937226/dl" TargetMode="External"/><Relationship Id="rIdo5guax9jusj4gnjy7u7uk" Type="http://schemas.openxmlformats.org/officeDocument/2006/relationships/hyperlink" Target="https://www.justice.gov/atr/case-document/file/937226/dl" TargetMode="External"/><Relationship Id="rIdeenesuirhselzhan63vrv" Type="http://schemas.openxmlformats.org/officeDocument/2006/relationships/hyperlink" Target="https://www.justice.gov/atr/case-document/file/515596/dl" TargetMode="External"/><Relationship Id="rIddbzo9tvqicm6rluc-wzfg" Type="http://schemas.openxmlformats.org/officeDocument/2006/relationships/hyperlink" Target="https://www.justice.gov/atr/case-document/file/515596/dl" TargetMode="External"/><Relationship Id="rIdswl119o3hego4l0lp5tmm" Type="http://schemas.openxmlformats.org/officeDocument/2006/relationships/hyperlink" Target="https://www.justice.gov/atr/case-document/file/515596/dl" TargetMode="External"/><Relationship Id="rIdcsgge1vf-2kw5xmxosreg" Type="http://schemas.openxmlformats.org/officeDocument/2006/relationships/hyperlink" Target="https://www.justice.gov/atr/case-document/file/515596/dl" TargetMode="External"/><Relationship Id="rIdex-_v-g8q4hog7q3uf7aa" Type="http://schemas.openxmlformats.org/officeDocument/2006/relationships/hyperlink" Target="https://www.justice.gov/atr/case-document/file/515596/dl" TargetMode="External"/><Relationship Id="rIdvyjgxh0kbdb9vfnaj-l_f" Type="http://schemas.openxmlformats.org/officeDocument/2006/relationships/hyperlink" Target="https://www.justice.gov/atr/case-document/file/515596/dl" TargetMode="External"/><Relationship Id="rIddl6-uqd-a7qcftqnetrcl" Type="http://schemas.openxmlformats.org/officeDocument/2006/relationships/hyperlink" Target="https://www.justice.gov/atr/case-document/file/515596/dl" TargetMode="External"/><Relationship Id="rIdjbq232hzg2lcpftli493a" Type="http://schemas.openxmlformats.org/officeDocument/2006/relationships/hyperlink" Target="https://www.justice.gov/atr/case-document/file/515596/dl" TargetMode="External"/><Relationship Id="rIdkqdysraubatrxmgzblep-" Type="http://schemas.openxmlformats.org/officeDocument/2006/relationships/hyperlink" Target="https://www.justice.gov/atr/case-document/file/515596/dl" TargetMode="External"/><Relationship Id="rIdhuelzyakeoeo2ct29awan" Type="http://schemas.openxmlformats.org/officeDocument/2006/relationships/hyperlink" Target="https://www.justice.gov/atr/case-document/file/515596/dl" TargetMode="External"/><Relationship Id="rIdeafog9fdcvectoccrzusd" Type="http://schemas.openxmlformats.org/officeDocument/2006/relationships/hyperlink" Target="https://www.justice.gov/atr/case-document/file/515596/dl" TargetMode="External"/><Relationship Id="rIdhxuzcgut2vy_jgkuhj3dq" Type="http://schemas.openxmlformats.org/officeDocument/2006/relationships/hyperlink" Target="https://www.justice.gov/atr/case-document/file/515596/dl" TargetMode="External"/><Relationship Id="rIdcqx1okn0o6v_1msdionw8" Type="http://schemas.openxmlformats.org/officeDocument/2006/relationships/hyperlink" Target="https://www.justice.gov/atr/case-document/file/515596/dl" TargetMode="External"/><Relationship Id="rIdoyjoexgvraakzh9wxie4x" Type="http://schemas.openxmlformats.org/officeDocument/2006/relationships/hyperlink" Target="https://www.justice.gov/atr/case-document/file/515596/dl" TargetMode="External"/><Relationship Id="rIdirtqa1djtbbeh65vfmksf" Type="http://schemas.openxmlformats.org/officeDocument/2006/relationships/hyperlink" Target="https://www.justice.gov/atr/case-document/file/515596/dl" TargetMode="External"/><Relationship Id="rIdlninh0wdakhlbkafqkyhr" Type="http://schemas.openxmlformats.org/officeDocument/2006/relationships/hyperlink" Target="https://www.justice.gov/atr/case-document/file/515596/dl" TargetMode="External"/><Relationship Id="rIdik0kkpwhg5xeht2xcbfmm" Type="http://schemas.openxmlformats.org/officeDocument/2006/relationships/hyperlink" Target="https://www.justice.gov/atr/case-document/file/515596/dl" TargetMode="External"/><Relationship Id="rId6noxn2vhjbnmeca_mc0gg" Type="http://schemas.openxmlformats.org/officeDocument/2006/relationships/hyperlink" Target="https://www.justice.gov/atr/case-document/file/515596/dl" TargetMode="External"/><Relationship Id="rIdmtalht3cocdr6n5skiuld" Type="http://schemas.openxmlformats.org/officeDocument/2006/relationships/hyperlink" Target="https://www.justice.gov/atr/case-document/file/515596/dl" TargetMode="External"/><Relationship Id="rIdvnzwkfb7mzifylppg9a8b" Type="http://schemas.openxmlformats.org/officeDocument/2006/relationships/hyperlink" Target="https://www.justice.gov/atr/case-document/file/515596/dl" TargetMode="External"/><Relationship Id="rIdqkwgchmrf8yax_swsirhh" Type="http://schemas.openxmlformats.org/officeDocument/2006/relationships/hyperlink" Target="https://www.justice.gov/atr/case-document/file/515596/dl" TargetMode="External"/><Relationship Id="rIduo7bcfnqmzvvllhnbtplk" Type="http://schemas.openxmlformats.org/officeDocument/2006/relationships/hyperlink" Target="https://www.justice.gov/atr/case-document/file/515596/dl" TargetMode="External"/><Relationship Id="rIdzqkfbdhhn4apthehhkrys" Type="http://schemas.openxmlformats.org/officeDocument/2006/relationships/hyperlink" Target="https://www.justice.gov/atr/case-document/file/515596/dl" TargetMode="External"/><Relationship Id="rIdeh0odztuemerdwat07dhx" Type="http://schemas.openxmlformats.org/officeDocument/2006/relationships/hyperlink" Target="https://www.justice.gov/atr/case-document/file/515596/dl" TargetMode="External"/><Relationship Id="rIdxean9idqlwrzbca1urtvp" Type="http://schemas.openxmlformats.org/officeDocument/2006/relationships/hyperlink" Target="https://www.justice.gov/atr/case-document/file/515596/dl" TargetMode="External"/><Relationship Id="rIdogbm3anhaz9gjprra6_fc" Type="http://schemas.openxmlformats.org/officeDocument/2006/relationships/hyperlink" Target="https://www.justice.gov/atr/case-document/file/515596/dl" TargetMode="External"/><Relationship Id="rId8vgcfharh0mhevl4csnn5" Type="http://schemas.openxmlformats.org/officeDocument/2006/relationships/hyperlink" Target="https://www.justice.gov/atr/case-document/file/936996/dl" TargetMode="External"/><Relationship Id="rIdhuzzijlsugipgsnsfczpj" Type="http://schemas.openxmlformats.org/officeDocument/2006/relationships/hyperlink" Target="https://www.justice.gov/atr/case-document/file/936996/dl" TargetMode="External"/><Relationship Id="rIdcr-9muqlupu_0ukmhjuny" Type="http://schemas.openxmlformats.org/officeDocument/2006/relationships/hyperlink" Target="https://www.justice.gov/atr/case-document/file/936996/dl" TargetMode="External"/><Relationship Id="rId0bndgxkibovogrunxbb8l" Type="http://schemas.openxmlformats.org/officeDocument/2006/relationships/hyperlink" Target="https://www.justice.gov/atr/case-document/file/936996/dl" TargetMode="External"/><Relationship Id="rIdwle3xj-cp2msl3xqzyo6g" Type="http://schemas.openxmlformats.org/officeDocument/2006/relationships/hyperlink" Target="https://www.justice.gov/atr/case-document/file/936996/dl" TargetMode="External"/><Relationship Id="rIdkhnyja0yfl5dy4qiv_zyi" Type="http://schemas.openxmlformats.org/officeDocument/2006/relationships/hyperlink" Target="https://www.justice.gov/atr/case-document/file/936996/dl" TargetMode="External"/><Relationship Id="rId1hzfm5lhozzf6diz5jxyp" Type="http://schemas.openxmlformats.org/officeDocument/2006/relationships/hyperlink" Target="https://www.justice.gov/atr/case-document/file/936996/dl" TargetMode="External"/><Relationship Id="rIdvbsiucolsmbtvweyhqsft" Type="http://schemas.openxmlformats.org/officeDocument/2006/relationships/hyperlink" Target="https://www.justice.gov/atr/case-document/file/936996/dl" TargetMode="External"/><Relationship Id="rIdf5sv5alqwx6icxnxijlyd" Type="http://schemas.openxmlformats.org/officeDocument/2006/relationships/hyperlink" Target="https://www.justice.gov/atr/case-document/file/936996/dl" TargetMode="External"/><Relationship Id="rIdq42z1mt-mg3thsvsk_duq" Type="http://schemas.openxmlformats.org/officeDocument/2006/relationships/hyperlink" Target="https://www.justice.gov/atr/case-document/file/936996/dl" TargetMode="External"/><Relationship Id="rIdrjfsecyq9oizsf869rhvr" Type="http://schemas.openxmlformats.org/officeDocument/2006/relationships/hyperlink" Target="https://www.justice.gov/atr/case-document/file/936996/dl" TargetMode="External"/><Relationship Id="rIdlxm_rpo8ydflqx9y1r_-9" Type="http://schemas.openxmlformats.org/officeDocument/2006/relationships/hyperlink" Target="https://www.justice.gov/atr/case-document/file/936996/dl" TargetMode="External"/><Relationship Id="rId4afaer8htyag8lccimiib" Type="http://schemas.openxmlformats.org/officeDocument/2006/relationships/hyperlink" Target="https://www.justice.gov/atr/case-document/file/936996/dl" TargetMode="External"/><Relationship Id="rId0eepsatfleihoov66nucq" Type="http://schemas.openxmlformats.org/officeDocument/2006/relationships/hyperlink" Target="https://www.justice.gov/atr/case-document/file/936996/dl" TargetMode="External"/><Relationship Id="rIdywhftltrgjbaiydn9pwct" Type="http://schemas.openxmlformats.org/officeDocument/2006/relationships/hyperlink" Target="https://www.justice.gov/atr/case-document/file/936996/dl" TargetMode="External"/><Relationship Id="rIddx054ffo9b_e03ao9albe" Type="http://schemas.openxmlformats.org/officeDocument/2006/relationships/hyperlink" Target="https://www.justice.gov/atr/case-document/file/936996/dl" TargetMode="External"/><Relationship Id="rIdi2tcfubx4fqzl-1_davmf" Type="http://schemas.openxmlformats.org/officeDocument/2006/relationships/hyperlink" Target="https://www.justice.gov/atr/case-document/file/936996/dl" TargetMode="External"/><Relationship Id="rIdswco-cqm79dgddzx8t2ia" Type="http://schemas.openxmlformats.org/officeDocument/2006/relationships/hyperlink" Target="https://www.justice.gov/atr/case-document/file/936996/dl" TargetMode="External"/><Relationship Id="rIdb1jt6jvcouvxe3w_th9oj" Type="http://schemas.openxmlformats.org/officeDocument/2006/relationships/hyperlink" Target="https://www.justice.gov/atr/case-document/file/936996/dl" TargetMode="External"/><Relationship Id="rIdpgbitx2xzdzmpbbqc7qaz" Type="http://schemas.openxmlformats.org/officeDocument/2006/relationships/hyperlink" Target="https://www.justice.gov/atr/case-document/file/936996/dl" TargetMode="External"/><Relationship Id="rId_mlykdrvx9sjl007gyb-9" Type="http://schemas.openxmlformats.org/officeDocument/2006/relationships/hyperlink" Target="https://www.justice.gov/atr/case-document/file/936996/dl" TargetMode="External"/><Relationship Id="rIdpbfrq_tcbuegoyqkb09y2" Type="http://schemas.openxmlformats.org/officeDocument/2006/relationships/hyperlink" Target="https://www.justice.gov/atr/case-document/file/936996/dl" TargetMode="External"/><Relationship Id="rIduypcfim9z_cymdcdgosle" Type="http://schemas.openxmlformats.org/officeDocument/2006/relationships/hyperlink" Target="https://www.justice.gov/atr/case-document/file/936996/dl" TargetMode="External"/><Relationship Id="rIds_jn35ffuikrgyi0fgcge" Type="http://schemas.openxmlformats.org/officeDocument/2006/relationships/hyperlink" Target="https://www.justice.gov/atr/case-document/file/936996/dl" TargetMode="External"/><Relationship Id="rIdy3nf4xmo13opu10sa78a5" Type="http://schemas.openxmlformats.org/officeDocument/2006/relationships/hyperlink" Target="https://www.justice.gov/atr/case-document/file/936996/dl" TargetMode="External"/><Relationship Id="rId7qaie3nof88mjnbhsqqql" Type="http://schemas.openxmlformats.org/officeDocument/2006/relationships/hyperlink" Target="https://www.justice.gov/atr/case-document/file/936996/dl" TargetMode="External"/><Relationship Id="rIdsjmi1o3kllldoatt6s-9n" Type="http://schemas.openxmlformats.org/officeDocument/2006/relationships/hyperlink" Target="https://www.justice.gov/atr/page/file/1427816/dl?inline" TargetMode="External"/><Relationship Id="rIdbfvak4us-1mt2qrgjz3tk" Type="http://schemas.openxmlformats.org/officeDocument/2006/relationships/hyperlink" Target="https://www.justice.gov/atr/page/file/1427816/dl?inline" TargetMode="External"/><Relationship Id="rIdk30kefrydmjdvuqvoecka" Type="http://schemas.openxmlformats.org/officeDocument/2006/relationships/hyperlink" Target="https://www.justice.gov/atr/page/file/1427816/dl?inline" TargetMode="External"/><Relationship Id="rId5-irpmo4nyzvbmamwvu8c" Type="http://schemas.openxmlformats.org/officeDocument/2006/relationships/hyperlink" Target="https://www.justice.gov/atr/page/file/1427816/dl?inline" TargetMode="External"/><Relationship Id="rIdysfjjko7vex2c8yh7sb-l" Type="http://schemas.openxmlformats.org/officeDocument/2006/relationships/hyperlink" Target="https://www.justice.gov/atr/page/file/1427816/dl?inline" TargetMode="External"/><Relationship Id="rId62lezs1u42joykqovwbst" Type="http://schemas.openxmlformats.org/officeDocument/2006/relationships/hyperlink" Target="https://www.justice.gov/atr/page/file/1427816/dl?inline" TargetMode="External"/><Relationship Id="rId_3jmtapmjseokjkrme2kl" Type="http://schemas.openxmlformats.org/officeDocument/2006/relationships/hyperlink" Target="https://www.justice.gov/atr/page/file/1427816/dl?inline" TargetMode="External"/><Relationship Id="rIdouiwjekssmlgzefggt4pz" Type="http://schemas.openxmlformats.org/officeDocument/2006/relationships/hyperlink" Target="https://www.justice.gov/atr/page/file/1427816/dl?inline" TargetMode="External"/><Relationship Id="rIdsywqaka2jnu3mxdolax-q" Type="http://schemas.openxmlformats.org/officeDocument/2006/relationships/hyperlink" Target="https://www.justice.gov/atr/page/file/1427816/dl?inline" TargetMode="External"/><Relationship Id="rIdymqzkvwbtiylsuphtf6am" Type="http://schemas.openxmlformats.org/officeDocument/2006/relationships/hyperlink" Target="https://www.justice.gov/atr/page/file/1427816/dl?inline" TargetMode="External"/><Relationship Id="rIdlu3tc-zztm5y28rmvptfp" Type="http://schemas.openxmlformats.org/officeDocument/2006/relationships/hyperlink" Target="https://www.justice.gov/atr/page/file/1427816/dl?inline" TargetMode="External"/><Relationship Id="rIdpufrdh_erf2q0jzv23qib" Type="http://schemas.openxmlformats.org/officeDocument/2006/relationships/hyperlink" Target="https://www.justice.gov/atr/page/file/1427816/dl?inline" TargetMode="External"/><Relationship Id="rIdtwxsr6n7crxkjlqmv1asw" Type="http://schemas.openxmlformats.org/officeDocument/2006/relationships/hyperlink" Target="https://www.justice.gov/atr/page/file/1427816/dl?inline" TargetMode="External"/><Relationship Id="rIdvgxhkia41dgxnf534xde-" Type="http://schemas.openxmlformats.org/officeDocument/2006/relationships/hyperlink" Target="https://www.justice.gov/atr/page/file/1427816/dl?inline" TargetMode="External"/><Relationship Id="rIdhwbu7l8x2blcky3elpl7j" Type="http://schemas.openxmlformats.org/officeDocument/2006/relationships/hyperlink" Target="https://www.justice.gov/atr/page/file/1427816/dl?inline" TargetMode="External"/><Relationship Id="rIdsvpksr8_qxczutn87qgki" Type="http://schemas.openxmlformats.org/officeDocument/2006/relationships/hyperlink" Target="https://www.justice.gov/atr/page/file/1427816/dl?inline" TargetMode="External"/><Relationship Id="rIdgyskga-5ypdlcod0jbsl8" Type="http://schemas.openxmlformats.org/officeDocument/2006/relationships/hyperlink" Target="https://www.justice.gov/atr/page/file/1427816/dl?inline" TargetMode="External"/><Relationship Id="rIdcdrwxnepiysolh3mmxf2l" Type="http://schemas.openxmlformats.org/officeDocument/2006/relationships/hyperlink" Target="https://www.justice.gov/atr/page/file/1427816/dl?inline" TargetMode="External"/><Relationship Id="rIdbs2uwifcygt8llpk2dke0" Type="http://schemas.openxmlformats.org/officeDocument/2006/relationships/hyperlink" Target="https://www.justice.gov/atr/page/file/1427816/dl?inline" TargetMode="External"/><Relationship Id="rIdttsnch9hpgjmvqzhyigt2" Type="http://schemas.openxmlformats.org/officeDocument/2006/relationships/hyperlink" Target="https://www.justice.gov/atr/page/file/1427816/dl?inline" TargetMode="External"/><Relationship Id="rIduwvdxrkpp0o1_pbjkrq-5" Type="http://schemas.openxmlformats.org/officeDocument/2006/relationships/hyperlink" Target="https://www.justice.gov/atr/page/file/1427816/dl?inline" TargetMode="External"/><Relationship Id="rIdyl17kb_udsstrph0n0ovu" Type="http://schemas.openxmlformats.org/officeDocument/2006/relationships/hyperlink" Target="https://www.justice.gov/atr/page/file/1427816/dl?inline" TargetMode="External"/><Relationship Id="rIdg43xpzavfide3vgz-h-kn" Type="http://schemas.openxmlformats.org/officeDocument/2006/relationships/hyperlink" Target="https://www.justice.gov/atr/page/file/1427816/dl?inline" TargetMode="External"/><Relationship Id="rIdnfvhqiquguqnkttewx6zu" Type="http://schemas.openxmlformats.org/officeDocument/2006/relationships/hyperlink" Target="https://www.justice.gov/atr/page/file/1427816/dl?inline" TargetMode="External"/><Relationship Id="rId8ci2sjzadjm4pspgbismf" Type="http://schemas.openxmlformats.org/officeDocument/2006/relationships/hyperlink" Target="https://www.justice.gov/atr/page/file/1427816/dl?inline" TargetMode="External"/><Relationship Id="rId66siqsivnz8iffbij5izo" Type="http://schemas.openxmlformats.org/officeDocument/2006/relationships/hyperlink" Target="https://www.justice.gov/atr/page/file/1427816/dl?inline" TargetMode="External"/><Relationship Id="rIdjrikhpxpl6mcf7t5rlxxa" Type="http://schemas.openxmlformats.org/officeDocument/2006/relationships/hyperlink" Target="https://www.justice.gov/atr/case-document/file/936571/dl" TargetMode="External"/><Relationship Id="rId2ey1zjpw5envsuinupsfk" Type="http://schemas.openxmlformats.org/officeDocument/2006/relationships/hyperlink" Target="https://www.justice.gov/atr/case-document/file/937226/dl" TargetMode="External"/><Relationship Id="rIds3txkfvwcvjoby-rl7smd" Type="http://schemas.openxmlformats.org/officeDocument/2006/relationships/hyperlink" Target="https://www.justice.gov/atr/case-document/file/515596/dl" TargetMode="External"/><Relationship Id="rIdbh3wsysaxyx9hdphkivl2" Type="http://schemas.openxmlformats.org/officeDocument/2006/relationships/hyperlink" Target="https://www.justice.gov/atr/case-document/file/936996/dl" TargetMode="External"/><Relationship Id="rIdnirhawokj6p8enu6mfdgw" Type="http://schemas.openxmlformats.org/officeDocument/2006/relationships/hyperlink" Target="https://www.justice.gov/atr/page/file/1427816/dl?inline" TargetMode="External"/><Relationship Id="rId1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2026-09-02T11:17:18.671Z</dcterms:created>
  <dcterms:modified xsi:type="dcterms:W3CDTF">2026-09-02T11:17:18.671Z</dcterms:modified>
</cp:coreProperties>
</file>

<file path=docProps/custom.xml><?xml version="1.0" encoding="utf-8"?>
<Properties xmlns="http://schemas.openxmlformats.org/officeDocument/2006/custom-properties" xmlns:vt="http://schemas.openxmlformats.org/officeDocument/2006/docPropsVTypes"/>
</file>