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4E5F"/>
          <w:sz w:val="40"/>
          <w:szCs w:val="40"/>
        </w:rPr>
        <w:t xml:space="preserve">Response Transcript — Sample 5</w:t>
      </w:r>
    </w:p>
    <w:p>
      <w:pPr>
        <w:pBdr>
          <w:bottom w:val="single" w:color="CCCCCC" w:sz="6" w:space="4"/>
        </w:pBdr>
        <w:spacing w:after="300"/>
      </w:pPr>
    </w:p>
    <w:p>
      <w:pPr>
        <w:pStyle w:val="Heading1"/>
        <w:spacing w:after="140" w:before="280"/>
      </w:pPr>
      <w:r>
        <w:rPr>
          <w:rFonts w:ascii="Calibri" w:cs="Calibri" w:eastAsia="Calibri" w:hAnsi="Calibri"/>
          <w:b/>
          <w:bCs/>
          <w:color w:val="1F4E5F"/>
          <w:sz w:val="26"/>
          <w:szCs w:val="26"/>
        </w:rPr>
        <w:t xml:space="preserve">User Query</w:t>
      </w:r>
    </w:p>
    <w:p>
      <w:pPr>
        <w:pBdr>
          <w:left w:val="single" w:color="1F4E5F" w:sz="18" w:space="8"/>
        </w:pBdr>
        <w:spacing w:after="240"/>
        <w:ind w:left="360"/>
      </w:pPr>
      <w:r>
        <w:rPr>
          <w:rFonts w:ascii="Calibri" w:cs="Calibri" w:eastAsia="Calibri" w:hAnsi="Calibri"/>
          <w:i/>
          <w:iCs/>
          <w:sz w:val="24"/>
          <w:szCs w:val="24"/>
        </w:rPr>
        <w:t xml:space="preserve">Get me American cases by bank of america</w:t>
      </w:r>
    </w:p>
    <w:p>
      <w:pPr>
        <w:pStyle w:val="Heading1"/>
        <w:spacing w:after="140" w:before="280"/>
      </w:pPr>
      <w:r>
        <w:rPr>
          <w:rFonts w:ascii="Calibri" w:cs="Calibri" w:eastAsia="Calibri" w:hAnsi="Calibri"/>
          <w:b/>
          <w:bCs/>
          <w:color w:val="1F4E5F"/>
          <w:sz w:val="26"/>
          <w:szCs w:val="26"/>
        </w:rPr>
        <w:t xml:space="preserve">System Response</w:t>
      </w:r>
    </w:p>
    <w:p>
      <w:pPr>
        <w:spacing w:after="140"/>
      </w:pPr>
      <w:r>
        <w:rPr>
          <w:rFonts w:ascii="Calibri" w:cs="Calibri" w:eastAsia="Calibri" w:hAnsi="Calibri"/>
          <w:i w:val="false"/>
          <w:iCs w:val="false"/>
          <w:sz w:val="22"/>
          <w:szCs w:val="22"/>
        </w:rPr>
        <w:t xml:space="preserve">There have been a significant number of cases involving Bank of America in the United States. Some of the most notable and relevant cases include:</w:t>
      </w:r>
    </w:p>
    <w:p>
      <w:pPr>
        <w:pStyle w:val="Heading2"/>
        <w:spacing w:after="100" w:before="200"/>
      </w:pPr>
      <w:r>
        <w:rPr>
          <w:rFonts w:ascii="Calibri" w:cs="Calibri" w:eastAsia="Calibri" w:hAnsi="Calibri"/>
          <w:b/>
          <w:bCs/>
          <w:i/>
          <w:iCs/>
          <w:color w:val="333333"/>
          <w:sz w:val="22"/>
          <w:szCs w:val="22"/>
        </w:rPr>
        <w:t xml:space="preserve">1. In re Bank of America Securities Litigation (2016)</w:t>
      </w:r>
    </w:p>
    <w:p>
      <w:pPr>
        <w:spacing w:after="140"/>
      </w:pPr>
      <w:r>
        <w:rPr>
          <w:rFonts w:ascii="Calibri" w:cs="Calibri" w:eastAsia="Calibri" w:hAnsi="Calibri"/>
          <w:i w:val="false"/>
          <w:iCs w:val="false"/>
          <w:sz w:val="22"/>
          <w:szCs w:val="22"/>
        </w:rPr>
        <w:t xml:space="preserve">This case was brought against Bank of America for alleged securities fraud. Plaintiffs claimed that the defendant made misleading statements and failed to disclose material information related to the bank's mortgage-backed securities.</w:t>
      </w:r>
    </w:p>
    <w:p>
      <w:pPr>
        <w:pStyle w:val="Heading2"/>
        <w:spacing w:after="100" w:before="200"/>
      </w:pPr>
      <w:r>
        <w:rPr>
          <w:rFonts w:ascii="Calibri" w:cs="Calibri" w:eastAsia="Calibri" w:hAnsi="Calibri"/>
          <w:b/>
          <w:bCs/>
          <w:i/>
          <w:iCs/>
          <w:color w:val="333333"/>
          <w:sz w:val="22"/>
          <w:szCs w:val="22"/>
        </w:rPr>
        <w:t xml:space="preserve">2. Song v. Bank of America (2019)</w:t>
      </w:r>
    </w:p>
    <w:p>
      <w:pPr>
        <w:spacing w:after="140"/>
      </w:pPr>
      <w:r>
        <w:rPr>
          <w:rFonts w:ascii="Calibri" w:cs="Calibri" w:eastAsia="Calibri" w:hAnsi="Calibri"/>
          <w:i w:val="false"/>
          <w:iCs w:val="false"/>
          <w:sz w:val="22"/>
          <w:szCs w:val="22"/>
        </w:rPr>
        <w:t xml:space="preserve">This case involved allegations of discriminatory lending practices by Bank of America. Plaintiffs claimed that Bank of America provided less favorable loan terms to Asian-American borrowers compared to non-Asian-American borrowers, especially in the act of giving them mortgage loans.</w:t>
      </w:r>
    </w:p>
    <w:p>
      <w:pPr>
        <w:pStyle w:val="Heading2"/>
        <w:spacing w:after="100" w:before="200"/>
      </w:pPr>
      <w:r>
        <w:rPr>
          <w:rFonts w:ascii="Calibri" w:cs="Calibri" w:eastAsia="Calibri" w:hAnsi="Calibri"/>
          <w:b/>
          <w:bCs/>
          <w:i/>
          <w:iCs/>
          <w:color w:val="333333"/>
          <w:sz w:val="22"/>
          <w:szCs w:val="22"/>
        </w:rPr>
        <w:t xml:space="preserve">3. In re Bank of America RMBS Securities Litigation (2017)</w:t>
      </w:r>
    </w:p>
    <w:p>
      <w:pPr>
        <w:spacing w:after="140"/>
      </w:pPr>
      <w:r>
        <w:rPr>
          <w:rFonts w:ascii="Calibri" w:cs="Calibri" w:eastAsia="Calibri" w:hAnsi="Calibri"/>
          <w:i w:val="false"/>
          <w:iCs w:val="false"/>
          <w:sz w:val="22"/>
          <w:szCs w:val="22"/>
        </w:rPr>
        <w:t xml:space="preserve">This case was brought against Bank of America over the quality of mortgages it sold to investors through mortgage-backed securities. Plaintiffs claimed that Bank of America misrepresented the quality of these mortgages, leading to significant financial losses for the investors.</w:t>
      </w:r>
    </w:p>
    <w:p>
      <w:pPr>
        <w:pStyle w:val="Heading2"/>
        <w:spacing w:after="100" w:before="200"/>
      </w:pPr>
      <w:r>
        <w:rPr>
          <w:rFonts w:ascii="Calibri" w:cs="Calibri" w:eastAsia="Calibri" w:hAnsi="Calibri"/>
          <w:b/>
          <w:bCs/>
          <w:i/>
          <w:iCs/>
          <w:color w:val="333333"/>
          <w:sz w:val="22"/>
          <w:szCs w:val="22"/>
        </w:rPr>
        <w:t xml:space="preserve">4. Citigroup v. Bank of America (2016)</w:t>
      </w:r>
    </w:p>
    <w:p>
      <w:pPr>
        <w:spacing w:after="140"/>
      </w:pPr>
      <w:r>
        <w:rPr>
          <w:rFonts w:ascii="Calibri" w:cs="Calibri" w:eastAsia="Calibri" w:hAnsi="Calibri"/>
          <w:i w:val="false"/>
          <w:iCs w:val="false"/>
          <w:sz w:val="22"/>
          <w:szCs w:val="22"/>
        </w:rPr>
        <w:t xml:space="preserve">This case involved a dispute between the two banks over monies owed under two credit default swap (CDS) agreements. The CDS agreements were entered into at various times between 2006 and 2009, when the United States was in the grips of a financial crisis.</w:t>
      </w:r>
    </w:p>
    <w:p>
      <w:pPr>
        <w:pStyle w:val="Heading2"/>
        <w:spacing w:after="100" w:before="200"/>
      </w:pPr>
      <w:r>
        <w:rPr>
          <w:rFonts w:ascii="Calibri" w:cs="Calibri" w:eastAsia="Calibri" w:hAnsi="Calibri"/>
          <w:b/>
          <w:bCs/>
          <w:i/>
          <w:iCs/>
          <w:color w:val="333333"/>
          <w:sz w:val="22"/>
          <w:szCs w:val="22"/>
        </w:rPr>
        <w:t xml:space="preserve">5. Securities and Exchange Commission v. Bank of America (2011)</w:t>
      </w:r>
    </w:p>
    <w:p>
      <w:pPr>
        <w:spacing w:after="140"/>
      </w:pPr>
      <w:r>
        <w:rPr>
          <w:rFonts w:ascii="Calibri" w:cs="Calibri" w:eastAsia="Calibri" w:hAnsi="Calibri"/>
          <w:i w:val="false"/>
          <w:iCs w:val="false"/>
          <w:sz w:val="22"/>
          <w:szCs w:val="22"/>
        </w:rPr>
        <w:t xml:space="preserve">The SEC brought this case against Bank of America for failing to implement appropriate safeguards to protect sensitive customer information, resulting in data breaches. The SEC claimed that these breaches harmed consumers by increasing the risk of identity theft and financial fraud.</w:t>
      </w:r>
    </w:p>
    <w:p>
      <w:pPr>
        <w:pStyle w:val="Heading2"/>
        <w:spacing w:after="100" w:before="200"/>
      </w:pPr>
      <w:r>
        <w:rPr>
          <w:rFonts w:ascii="Calibri" w:cs="Calibri" w:eastAsia="Calibri" w:hAnsi="Calibri"/>
          <w:b/>
          <w:bCs/>
          <w:i/>
          <w:iCs/>
          <w:color w:val="333333"/>
          <w:sz w:val="22"/>
          <w:szCs w:val="22"/>
        </w:rPr>
        <w:t xml:space="preserve">6. United States Securities and Exchange Commission v. Bank of America, N.A., et al. (2002)</w:t>
      </w:r>
    </w:p>
    <w:p>
      <w:pPr>
        <w:spacing w:after="140"/>
      </w:pPr>
      <w:r>
        <w:rPr>
          <w:rFonts w:ascii="Calibri" w:cs="Calibri" w:eastAsia="Calibri" w:hAnsi="Calibri"/>
          <w:i w:val="false"/>
          <w:iCs w:val="false"/>
          <w:sz w:val="22"/>
          <w:szCs w:val="22"/>
        </w:rPr>
        <w:t xml:space="preserve">This securities fraud case was brought against Bank of America for allegedly participating in fraudulent accounting practices that inflated the bank's earnings and hid billion dollars in loss reserves. The SEC accused Bank of America of artificially boosting its reported income and concealing massive losses.</w:t>
      </w:r>
    </w:p>
    <w:p>
      <w:pPr>
        <w:spacing w:after="140"/>
      </w:pPr>
      <w:r>
        <w:rPr>
          <w:rFonts w:ascii="Calibri" w:cs="Calibri" w:eastAsia="Calibri" w:hAnsi="Calibri"/>
          <w:i w:val="false"/>
          <w:iCs w:val="false"/>
          <w:sz w:val="22"/>
          <w:szCs w:val="22"/>
        </w:rPr>
        <w:t xml:space="preserve">Each of these cases highlights specific issues faced by Bank of America, demonstrating the diverse range of legal actions and controversies that have arisen in its history and in the American legal system.</w:t>
      </w:r>
    </w:p>
    <w:p>
      <w:pPr>
        <w:pStyle w:val="Heading1"/>
        <w:spacing w:after="140" w:before="280"/>
      </w:pPr>
      <w:r>
        <w:rPr>
          <w:rFonts w:ascii="Calibri" w:cs="Calibri" w:eastAsia="Calibri" w:hAnsi="Calibri"/>
          <w:b/>
          <w:bCs/>
          <w:color w:val="1F4E5F"/>
          <w:sz w:val="26"/>
          <w:szCs w:val="26"/>
        </w:rPr>
        <w:t xml:space="preserve">Cited Sources</w:t>
      </w:r>
    </w:p>
    <w:p>
      <w:pPr>
        <w:spacing w:after="140"/>
      </w:pPr>
      <w:r>
        <w:rPr>
          <w:rFonts w:ascii="Calibri" w:cs="Calibri" w:eastAsia="Calibri" w:hAnsi="Calibri"/>
          <w:i/>
          <w:iCs/>
          <w:sz w:val="22"/>
          <w:szCs w:val="22"/>
        </w:rPr>
        <w:t xml:space="preserve">No source links were included in the original response.</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2026-09-02T10:46:34.772Z</dcterms:created>
  <dcterms:modified xsi:type="dcterms:W3CDTF">2026-09-02T10:46:34.772Z</dcterms:modified>
</cp:coreProperties>
</file>

<file path=docProps/custom.xml><?xml version="1.0" encoding="utf-8"?>
<Properties xmlns="http://schemas.openxmlformats.org/officeDocument/2006/custom-properties" xmlns:vt="http://schemas.openxmlformats.org/officeDocument/2006/docPropsVTypes"/>
</file>