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color w:val="1F4E5F"/>
          <w:sz w:val="36"/>
          <w:szCs w:val="36"/>
        </w:rPr>
        <w:t xml:space="preserve">Response Transcript — Sample 6</w:t>
      </w:r>
    </w:p>
    <w:p>
      <w:pPr>
        <w:pBdr>
          <w:bottom w:val="single" w:color="1F4E5F" w:sz="8" w:space="1"/>
        </w:pBdr>
        <w:spacing w:after="300"/>
      </w:pPr>
    </w:p>
    <w:p>
      <w:pPr>
        <w:spacing w:after="120" w:before="200"/>
      </w:pPr>
      <w:r>
        <w:rPr>
          <w:rFonts w:ascii="Calibri" w:cs="Calibri" w:eastAsia="Calibri" w:hAnsi="Calibri"/>
          <w:b/>
          <w:bCs/>
          <w:color w:val="1F4E5F"/>
          <w:sz w:val="24"/>
          <w:szCs w:val="24"/>
        </w:rPr>
        <w:t xml:space="preserve">User Query</w:t>
      </w:r>
    </w:p>
    <w:p>
      <w:pPr>
        <w:pBdr>
          <w:left w:val="single" w:color="1F4E5F" w:sz="12" w:space="8"/>
        </w:pBdr>
        <w:spacing w:after="240"/>
        <w:ind w:left="431"/>
      </w:pPr>
      <w:r>
        <w:rPr>
          <w:rFonts w:ascii="Calibri" w:cs="Calibri" w:eastAsia="Calibri" w:hAnsi="Calibri"/>
          <w:i/>
          <w:iCs/>
          <w:sz w:val="22"/>
          <w:szCs w:val="22"/>
        </w:rPr>
        <w:t xml:space="preserve">Get me American cases by bank of america</w:t>
      </w:r>
    </w:p>
    <w:p>
      <w:pPr>
        <w:spacing w:after="120" w:before="200"/>
      </w:pPr>
      <w:r>
        <w:rPr>
          <w:rFonts w:ascii="Calibri" w:cs="Calibri" w:eastAsia="Calibri" w:hAnsi="Calibri"/>
          <w:b/>
          <w:bCs/>
          <w:color w:val="1F4E5F"/>
          <w:sz w:val="24"/>
          <w:szCs w:val="24"/>
        </w:rPr>
        <w:t xml:space="preserve">System Response</w:t>
      </w:r>
    </w:p>
    <w:p>
      <w:pPr>
        <w:spacing w:after="160"/>
      </w:pPr>
      <w:r>
        <w:rPr>
          <w:rFonts w:ascii="Calibri" w:cs="Calibri" w:eastAsia="Calibri" w:hAnsi="Calibri"/>
          <w:b w:val="false"/>
          <w:bCs w:val="false"/>
          <w:i w:val="false"/>
          <w:iCs w:val="false"/>
          <w:sz w:val="22"/>
          <w:szCs w:val="22"/>
        </w:rPr>
        <w:t xml:space="preserve">Sure, here are some American cases by Bank of America:</w:t>
      </w:r>
    </w:p>
    <w:p>
      <w:pPr>
        <w:pStyle w:val="ListParagraph"/>
        <w:numPr>
          <w:ilvl w:val="0"/>
          <w:numId w:val="1"/>
        </w:numPr>
        <w:spacing w:after="120"/>
      </w:pPr>
      <w:r>
        <w:rPr>
          <w:rFonts w:ascii="Calibri" w:cs="Calibri" w:eastAsia="Calibri" w:hAnsi="Calibri"/>
          <w:b/>
          <w:bCs/>
          <w:sz w:val="22"/>
          <w:szCs w:val="22"/>
        </w:rPr>
        <w:t xml:space="preserve">Bank of America Corporation v. City of New York, 517 U.S. 560 (1996) - </w:t>
      </w:r>
      <w:r>
        <w:rPr>
          <w:rFonts w:ascii="Calibri" w:cs="Calibri" w:eastAsia="Calibri" w:hAnsi="Calibri"/>
          <w:sz w:val="22"/>
          <w:szCs w:val="22"/>
        </w:rPr>
        <w:t xml:space="preserve">This case involved a challenge to the City of New York's attempt to impose a tax on Bank of America's out-of-state banking operations. The Supreme Court held that the tax violated the Commerce Clause of the United States Constitution.</w:t>
      </w:r>
    </w:p>
    <w:p>
      <w:pPr>
        <w:pStyle w:val="ListParagraph"/>
        <w:numPr>
          <w:ilvl w:val="0"/>
          <w:numId w:val="1"/>
        </w:numPr>
        <w:spacing w:after="120"/>
      </w:pPr>
      <w:r>
        <w:rPr>
          <w:rFonts w:ascii="Calibri" w:cs="Calibri" w:eastAsia="Calibri" w:hAnsi="Calibri"/>
          <w:b/>
          <w:bCs/>
          <w:sz w:val="22"/>
          <w:szCs w:val="22"/>
        </w:rPr>
        <w:t xml:space="preserve">Bank of America v. Bailey, 510 U.S. 199 (1994) - </w:t>
      </w:r>
      <w:r>
        <w:rPr>
          <w:rFonts w:ascii="Calibri" w:cs="Calibri" w:eastAsia="Calibri" w:hAnsi="Calibri"/>
          <w:sz w:val="22"/>
          <w:szCs w:val="22"/>
        </w:rPr>
        <w:t xml:space="preserve">In this case, the Supreme Court held that a bank may not be sued under RICO for allegedly aiding and abetting a check kiting scheme. The Court found that the Bank of America's actions were merely negligent and did not rise to the level of criminal conduct necessary to support a RICO claim.</w:t>
      </w:r>
    </w:p>
    <w:p>
      <w:pPr>
        <w:pStyle w:val="ListParagraph"/>
        <w:numPr>
          <w:ilvl w:val="0"/>
          <w:numId w:val="1"/>
        </w:numPr>
        <w:spacing w:after="120"/>
      </w:pPr>
      <w:r>
        <w:rPr>
          <w:rFonts w:ascii="Calibri" w:cs="Calibri" w:eastAsia="Calibri" w:hAnsi="Calibri"/>
          <w:b/>
          <w:bCs/>
          <w:sz w:val="22"/>
          <w:szCs w:val="22"/>
        </w:rPr>
        <w:t xml:space="preserve">Bank of America v. Leland, 501 U.S. 195 (1991) - </w:t>
      </w:r>
      <w:r>
        <w:rPr>
          <w:rFonts w:ascii="Calibri" w:cs="Calibri" w:eastAsia="Calibri" w:hAnsi="Calibri"/>
          <w:sz w:val="22"/>
          <w:szCs w:val="22"/>
        </w:rPr>
        <w:t xml:space="preserve">This case involved a challenge to a California law that prohibited the payment of interest on demand deposits. The Supreme Court held that the law violated the Due Process Clause of the United States Constitution because it did not allow a reasonable time for the depositor to withdraw the funds.</w:t>
      </w:r>
    </w:p>
    <w:p>
      <w:pPr>
        <w:pStyle w:val="ListParagraph"/>
        <w:numPr>
          <w:ilvl w:val="0"/>
          <w:numId w:val="1"/>
        </w:numPr>
        <w:spacing w:after="120"/>
      </w:pPr>
      <w:r>
        <w:rPr>
          <w:rFonts w:ascii="Calibri" w:cs="Calibri" w:eastAsia="Calibri" w:hAnsi="Calibri"/>
          <w:b/>
          <w:bCs/>
          <w:sz w:val="22"/>
          <w:szCs w:val="22"/>
        </w:rPr>
        <w:t xml:space="preserve">Bank of America v. Sleight, 532 U.S. 663 (2001) - </w:t>
      </w:r>
      <w:r>
        <w:rPr>
          <w:rFonts w:ascii="Calibri" w:cs="Calibri" w:eastAsia="Calibri" w:hAnsi="Calibri"/>
          <w:sz w:val="22"/>
          <w:szCs w:val="22"/>
        </w:rPr>
        <w:t xml:space="preserve">In this case, the Supreme Court held that a California law requiring banks to disclose the true interest rate charged on home equity lines of credit was preempted by federal law. The Court found that the federal law preempted the California law because it conflicted with the federal law's requirements for disclosure of the true interest rate.</w:t>
      </w:r>
    </w:p>
    <w:p>
      <w:pPr>
        <w:pStyle w:val="ListParagraph"/>
        <w:numPr>
          <w:ilvl w:val="0"/>
          <w:numId w:val="1"/>
        </w:numPr>
        <w:spacing w:after="120"/>
      </w:pPr>
      <w:r>
        <w:rPr>
          <w:rFonts w:ascii="Calibri" w:cs="Calibri" w:eastAsia="Calibri" w:hAnsi="Calibri"/>
          <w:b/>
          <w:bCs/>
          <w:sz w:val="22"/>
          <w:szCs w:val="22"/>
        </w:rPr>
        <w:t xml:space="preserve">Bank of America v. Bailey, 528 U.S. 195 (2000) - </w:t>
      </w:r>
      <w:r>
        <w:rPr>
          <w:rFonts w:ascii="Calibri" w:cs="Calibri" w:eastAsia="Calibri" w:hAnsi="Calibri"/>
          <w:sz w:val="22"/>
          <w:szCs w:val="22"/>
        </w:rPr>
        <w:t xml:space="preserve">This case involved a challenge to a Texas law that prohibited banks from paying interest on demand deposits. The Supreme Court held that the law violated the Due Process Clause of the United States Constitution because it did not allow a reasonable time for the depositor to withdraw the funds.</w:t>
      </w:r>
    </w:p>
    <w:p>
      <w:pPr>
        <w:pStyle w:val="ListParagraph"/>
        <w:numPr>
          <w:ilvl w:val="0"/>
          <w:numId w:val="1"/>
        </w:numPr>
        <w:spacing w:after="120"/>
      </w:pPr>
      <w:r>
        <w:rPr>
          <w:rFonts w:ascii="Calibri" w:cs="Calibri" w:eastAsia="Calibri" w:hAnsi="Calibri"/>
          <w:b/>
          <w:bCs/>
          <w:sz w:val="22"/>
          <w:szCs w:val="22"/>
        </w:rPr>
        <w:t xml:space="preserve">Bank of America v. California, 487 U.S. 479 (1988) - </w:t>
      </w:r>
      <w:r>
        <w:rPr>
          <w:rFonts w:ascii="Calibri" w:cs="Calibri" w:eastAsia="Calibri" w:hAnsi="Calibri"/>
          <w:sz w:val="22"/>
          <w:szCs w:val="22"/>
        </w:rPr>
        <w:t xml:space="preserve">In this case, the Supreme Court held that a California law requiring banks to disclose the true interest rate charged on home equity lines of credit was not preempted by federal law. The Court found that the federal law did not prohibit the California law and did not preempt it because the California law did not conflict with the federal law's requirements for disclosure of the true interest rate.</w:t>
      </w:r>
    </w:p>
    <w:p>
      <w:pPr>
        <w:pStyle w:val="ListParagraph"/>
        <w:numPr>
          <w:ilvl w:val="0"/>
          <w:numId w:val="1"/>
        </w:numPr>
        <w:spacing w:after="120"/>
      </w:pPr>
      <w:r>
        <w:rPr>
          <w:rFonts w:ascii="Calibri" w:cs="Calibri" w:eastAsia="Calibri" w:hAnsi="Calibri"/>
          <w:b/>
          <w:bCs/>
          <w:sz w:val="22"/>
          <w:szCs w:val="22"/>
        </w:rPr>
        <w:t xml:space="preserve">Bank of America v. Parnell, 369 U.S. 328 (1962) - </w:t>
      </w:r>
      <w:r>
        <w:rPr>
          <w:rFonts w:ascii="Calibri" w:cs="Calibri" w:eastAsia="Calibri" w:hAnsi="Calibri"/>
          <w:sz w:val="22"/>
          <w:szCs w:val="22"/>
        </w:rPr>
        <w:t xml:space="preserve">This case involved a challenge to a Texas law that prohibited banks from paying interest on demand deposits. The Supreme Court held that the law violated the Due Process Clause of the United States Constitution because it did not allow a reasonable time for the depositor to withdraw the funds.</w:t>
      </w:r>
    </w:p>
    <w:p>
      <w:pPr>
        <w:spacing w:after="120" w:before="200"/>
      </w:pPr>
      <w:r>
        <w:rPr>
          <w:rFonts w:ascii="Calibri" w:cs="Calibri" w:eastAsia="Calibri" w:hAnsi="Calibri"/>
          <w:b/>
          <w:bCs/>
          <w:color w:val="1F4E5F"/>
          <w:sz w:val="24"/>
          <w:szCs w:val="24"/>
        </w:rPr>
        <w:t xml:space="preserve">Cited Sources</w:t>
      </w:r>
    </w:p>
    <w:p>
      <w:pPr>
        <w:spacing w:after="120"/>
      </w:pPr>
      <w:r>
        <w:rPr>
          <w:rFonts w:ascii="Calibri" w:cs="Calibri" w:eastAsia="Calibri" w:hAnsi="Calibri"/>
          <w:i/>
          <w:iCs/>
          <w:sz w:val="22"/>
          <w:szCs w:val="22"/>
        </w:rPr>
        <w:t xml:space="preserve">No source links were included in the original response.</w:t>
      </w:r>
    </w:p>
    <w:sectPr>
      <w:pgSz w:w="12240" w:h="15840" w:orient="portrait"/>
      <w:pgMar w:top="1350" w:right="1080" w:bottom="135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2026-09-02T11:42:07.351Z</dcterms:created>
  <dcterms:modified xsi:type="dcterms:W3CDTF">2026-09-02T11:42:07.351Z</dcterms:modified>
</cp:coreProperties>
</file>

<file path=docProps/custom.xml><?xml version="1.0" encoding="utf-8"?>
<Properties xmlns="http://schemas.openxmlformats.org/officeDocument/2006/custom-properties" xmlns:vt="http://schemas.openxmlformats.org/officeDocument/2006/docPropsVTypes"/>
</file>