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Calibri" w:cs="Calibri" w:eastAsia="Calibri" w:hAnsi="Calibri"/>
          <w:b/>
          <w:bCs/>
          <w:color w:val="1F4E5F"/>
          <w:sz w:val="32"/>
          <w:szCs w:val="32"/>
        </w:rPr>
        <w:t xml:space="preserve">Response Transcript — Sample 3</w:t>
      </w:r>
    </w:p>
    <w:p>
      <w:pPr>
        <w:pBdr>
          <w:bottom w:val="single" w:color="AAAAAA" w:sz="6" w:space="4"/>
        </w:pBdr>
        <w:spacing w:after="200" w:before="200"/>
      </w:pPr>
    </w:p>
    <w:p>
      <w:pPr>
        <w:spacing w:after="120" w:before="240"/>
      </w:pPr>
      <w:r>
        <w:rPr>
          <w:rFonts w:ascii="Calibri" w:cs="Calibri" w:eastAsia="Calibri" w:hAnsi="Calibri"/>
          <w:b/>
          <w:bCs/>
          <w:color w:val="1F4E5F"/>
          <w:sz w:val="24"/>
          <w:szCs w:val="24"/>
        </w:rPr>
        <w:t xml:space="preserve">User Query</w:t>
      </w:r>
    </w:p>
    <w:p>
      <w:pPr>
        <w:pBdr>
          <w:left w:val="single" w:color="1F4E5F" w:sz="12" w:space="8"/>
        </w:pBdr>
        <w:spacing w:after="200"/>
        <w:ind w:left="360"/>
      </w:pPr>
      <w:r>
        <w:rPr>
          <w:rFonts w:ascii="Calibri" w:cs="Calibri" w:eastAsia="Calibri" w:hAnsi="Calibri"/>
          <w:i/>
          <w:iCs/>
          <w:sz w:val="22"/>
          <w:szCs w:val="22"/>
        </w:rPr>
        <w:t xml:space="preserve">Give me a list of EU cases by Apple</w:t>
      </w:r>
    </w:p>
    <w:p>
      <w:pPr>
        <w:spacing w:after="120" w:before="240"/>
      </w:pPr>
      <w:r>
        <w:rPr>
          <w:rFonts w:ascii="Calibri" w:cs="Calibri" w:eastAsia="Calibri" w:hAnsi="Calibri"/>
          <w:b/>
          <w:bCs/>
          <w:color w:val="1F4E5F"/>
          <w:sz w:val="24"/>
          <w:szCs w:val="24"/>
        </w:rPr>
        <w:t xml:space="preserve">System Response</w:t>
      </w:r>
    </w:p>
    <w:p>
      <w:pPr>
        <w:spacing w:after="120"/>
      </w:pPr>
      <w:r>
        <w:rPr>
          <w:rFonts w:ascii="Calibri" w:cs="Calibri" w:eastAsia="Calibri" w:hAnsi="Calibri"/>
          <w:b w:val="false"/>
          <w:bCs w:val="false"/>
          <w:i w:val="false"/>
          <w:iCs w:val="false"/>
          <w:sz w:val="22"/>
          <w:szCs w:val="22"/>
        </w:rPr>
        <w:t xml:space="preserve">Here's an overview of Apple's major EU cases, organized by type and status as of September 2026:</w:t>
      </w:r>
    </w:p>
    <w:p>
      <w:pPr>
        <w:spacing w:after="120" w:before="240"/>
      </w:pPr>
      <w:r>
        <w:rPr>
          <w:rFonts w:ascii="Calibri" w:cs="Calibri" w:eastAsia="Calibri" w:hAnsi="Calibri"/>
          <w:b/>
          <w:bCs/>
          <w:sz w:val="22"/>
          <w:szCs w:val="22"/>
        </w:rPr>
        <w:t xml:space="preserve">Digital Markets Act (DMA) — Antitrust/Gatekeeper Cases</w:t>
      </w:r>
    </w:p>
    <w:p>
      <w:pPr>
        <w:pStyle w:val="ListParagraph"/>
        <w:numPr>
          <w:ilvl w:val="0"/>
          <w:numId w:val="2"/>
        </w:numPr>
        <w:spacing w:after="100"/>
      </w:pPr>
      <w:r>
        <w:rPr>
          <w:rFonts w:ascii="Calibri" w:cs="Calibri" w:eastAsia="Calibri" w:hAnsi="Calibri"/>
          <w:b/>
          <w:bCs/>
          <w:i w:val="false"/>
          <w:iCs w:val="false"/>
          <w:sz w:val="22"/>
          <w:szCs w:val="22"/>
        </w:rPr>
        <w:t xml:space="preserve">Gatekeeper status appeal (lost)</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Apple challenged its designation as a "gatekeeper" under the DMA for both iOS and the App Store. In July 2026, the EU's General Court in Luxembourg dismissed all three of Apple's claims regarding its gatekeeper designation, though it also ruled that Apple's claims regarding iMessage were inadmissible. Apple can still appeal to the Court of Justice of the EU (CJEU), the bloc's highest court. </w:t>
      </w:r>
      <w:hyperlink w:history="1" r:id="rIdtovdoepsewegilkbgo19-">
        <w:r>
          <w:rPr>
            <w:rStyle w:val="Hyperlink"/>
            <w:rFonts w:ascii="Calibri" w:cs="Calibri" w:eastAsia="Calibri" w:hAnsi="Calibri"/>
            <w:sz w:val="22"/>
            <w:szCs w:val="22"/>
          </w:rPr>
          <w:t xml:space="preserve">[1]</w:t>
        </w:r>
      </w:hyperlink>
    </w:p>
    <w:p>
      <w:pPr>
        <w:pStyle w:val="ListParagraph"/>
        <w:numPr>
          <w:ilvl w:val="0"/>
          <w:numId w:val="2"/>
        </w:numPr>
        <w:spacing w:after="100"/>
      </w:pPr>
      <w:r>
        <w:rPr>
          <w:rFonts w:ascii="Calibri" w:cs="Calibri" w:eastAsia="Calibri" w:hAnsi="Calibri"/>
          <w:b/>
          <w:bCs/>
          <w:i w:val="false"/>
          <w:iCs w:val="false"/>
          <w:sz w:val="22"/>
          <w:szCs w:val="22"/>
        </w:rPr>
        <w:t xml:space="preserve">Anti-steering / App Store commission fine</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Apple was fined €500 million ($583 million) in April 2026 for violating the Digital Markets Act, related to App Store terms restricting how developers can direct users to alternative payment options. </w:t>
      </w:r>
      <w:hyperlink w:history="1" r:id="rIddx6xulgk2izos6_lvd6ee">
        <w:r>
          <w:rPr>
            <w:rStyle w:val="Hyperlink"/>
            <w:rFonts w:ascii="Calibri" w:cs="Calibri" w:eastAsia="Calibri" w:hAnsi="Calibri"/>
            <w:sz w:val="22"/>
            <w:szCs w:val="22"/>
          </w:rPr>
          <w:t xml:space="preserve">[2]</w:t>
        </w:r>
      </w:hyperlink>
    </w:p>
    <w:p>
      <w:pPr>
        <w:pStyle w:val="ListParagraph"/>
        <w:numPr>
          <w:ilvl w:val="0"/>
          <w:numId w:val="2"/>
        </w:numPr>
        <w:spacing w:after="100"/>
      </w:pPr>
      <w:r>
        <w:rPr>
          <w:rFonts w:ascii="Calibri" w:cs="Calibri" w:eastAsia="Calibri" w:hAnsi="Calibri"/>
          <w:b/>
          <w:bCs/>
          <w:i w:val="false"/>
          <w:iCs w:val="false"/>
          <w:sz w:val="22"/>
          <w:szCs w:val="22"/>
        </w:rPr>
        <w:t xml:space="preserve">Interoperability requirements</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As part of the DMA ruling, courts upheld regulations requiring Apple to permit rival software interoperability within iOS and across its App Stores, something Apple argued compromises user privacy and security. </w:t>
      </w:r>
      <w:hyperlink w:history="1" r:id="rIdrb79xjsqkaj7p8qrq3-cc">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sz w:val="22"/>
          <w:szCs w:val="22"/>
        </w:rPr>
        <w:t xml:space="preserve">Traditional Antitrust Complaints</w:t>
      </w:r>
    </w:p>
    <w:p>
      <w:pPr>
        <w:pStyle w:val="ListParagraph"/>
        <w:numPr>
          <w:ilvl w:val="0"/>
          <w:numId w:val="2"/>
        </w:numPr>
        <w:spacing w:after="100"/>
      </w:pPr>
      <w:r>
        <w:rPr>
          <w:rFonts w:ascii="Calibri" w:cs="Calibri" w:eastAsia="Calibri" w:hAnsi="Calibri"/>
          <w:b/>
          <w:bCs/>
          <w:i w:val="false"/>
          <w:iCs w:val="false"/>
          <w:sz w:val="22"/>
          <w:szCs w:val="22"/>
        </w:rPr>
        <w:t xml:space="preserve">Spotify-driven App Store investigation</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Originating from a Spotify complaint about Apple Music being unfairly favored, this grew into a broader set of antitrust cases over Apple's 30% commission fee and restrictions on alternative payment systems or app stores on iOS. </w:t>
      </w:r>
      <w:hyperlink w:history="1" r:id="rIdxgo3ngsezgt85i4isvczo">
        <w:r>
          <w:rPr>
            <w:rStyle w:val="Hyperlink"/>
            <w:rFonts w:ascii="Calibri" w:cs="Calibri" w:eastAsia="Calibri" w:hAnsi="Calibri"/>
            <w:sz w:val="22"/>
            <w:szCs w:val="22"/>
          </w:rPr>
          <w:t xml:space="preserve">[4]</w:t>
        </w:r>
      </w:hyperlink>
    </w:p>
    <w:p>
      <w:pPr>
        <w:pStyle w:val="ListParagraph"/>
        <w:numPr>
          <w:ilvl w:val="0"/>
          <w:numId w:val="2"/>
        </w:numPr>
        <w:spacing w:after="100"/>
      </w:pPr>
      <w:r>
        <w:rPr>
          <w:rFonts w:ascii="Calibri" w:cs="Calibri" w:eastAsia="Calibri" w:hAnsi="Calibri"/>
          <w:b/>
          <w:bCs/>
          <w:i w:val="false"/>
          <w:iCs w:val="false"/>
          <w:sz w:val="22"/>
          <w:szCs w:val="22"/>
        </w:rPr>
        <w:t xml:space="preserve">Article 19 / Society for Civil Rights complaint</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In 2025, two civil rights groups filed a joint complaint with EU antitrust regulators over Apple's App Store and device terms and conditions, alleging further breaches of Big Tech rules. </w:t>
      </w:r>
      <w:hyperlink w:history="1" r:id="rIdvacjw6wugquwqabios1bt">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sz w:val="22"/>
          <w:szCs w:val="22"/>
        </w:rPr>
        <w:t xml:space="preserve">Private Damages Litigation (Netherlands)</w:t>
      </w:r>
    </w:p>
    <w:p>
      <w:pPr>
        <w:pStyle w:val="ListParagraph"/>
        <w:numPr>
          <w:ilvl w:val="0"/>
          <w:numId w:val="2"/>
        </w:numPr>
        <w:spacing w:after="100"/>
      </w:pPr>
      <w:r>
        <w:rPr>
          <w:rFonts w:ascii="Calibri" w:cs="Calibri" w:eastAsia="Calibri" w:hAnsi="Calibri"/>
          <w:b/>
          <w:bCs/>
          <w:i w:val="false"/>
          <w:iCs w:val="false"/>
          <w:sz w:val="22"/>
          <w:szCs w:val="22"/>
        </w:rPr>
        <w:t xml:space="preserve">Dutch consumer damages case</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The CJEU ruled that Apple can be sued in Dutch courts for antitrust damages, backing two foundations (Right to Consumer Justice and App Stores Claims) seeking compensation. Damages for roughly seven million affected iPhone users and seven million iPad users were estimated at around €637 million including statutory interest. A merits hearing was expected around early 2026. </w:t>
      </w:r>
      <w:hyperlink w:history="1" r:id="rId4e_c7_xvs09pkzc72gw7n">
        <w:r>
          <w:rPr>
            <w:rStyle w:val="Hyperlink"/>
            <w:rFonts w:ascii="Calibri" w:cs="Calibri" w:eastAsia="Calibri" w:hAnsi="Calibri"/>
            <w:sz w:val="22"/>
            <w:szCs w:val="22"/>
          </w:rPr>
          <w:t xml:space="preserve">[5]</w:t>
        </w:r>
      </w:hyperlink>
    </w:p>
    <w:p>
      <w:pPr>
        <w:spacing w:after="120" w:before="240"/>
      </w:pPr>
      <w:r>
        <w:rPr>
          <w:rFonts w:ascii="Calibri" w:cs="Calibri" w:eastAsia="Calibri" w:hAnsi="Calibri"/>
          <w:b/>
          <w:bCs/>
          <w:sz w:val="22"/>
          <w:szCs w:val="22"/>
        </w:rPr>
        <w:t xml:space="preserve">Other EU-adjacent regulatory activity</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The European Commission has also been </w:t>
      </w:r>
      <w:r>
        <w:rPr>
          <w:rFonts w:ascii="Calibri" w:cs="Calibri" w:eastAsia="Calibri" w:hAnsi="Calibri"/>
          <w:b/>
          <w:bCs/>
          <w:i w:val="false"/>
          <w:iCs w:val="false"/>
          <w:sz w:val="22"/>
          <w:szCs w:val="22"/>
        </w:rPr>
        <w:t xml:space="preserve">reassessing the scope/pace</w:t>
      </w:r>
      <w:r>
        <w:rPr>
          <w:rFonts w:ascii="Calibri" w:cs="Calibri" w:eastAsia="Calibri" w:hAnsi="Calibri"/>
          <w:b w:val="false"/>
          <w:bCs w:val="false"/>
          <w:i w:val="false"/>
          <w:iCs w:val="false"/>
          <w:sz w:val="22"/>
          <w:szCs w:val="22"/>
        </w:rPr>
        <w:t xml:space="preserve"> of its DMA investigations into Apple (along with Meta and Google) amid political pressure, and is weighing whether to expand DMA coverage to areas like cloud computing.</w:t>
      </w:r>
    </w:p>
    <w:p>
      <w:pPr>
        <w:pBdr>
          <w:bottom w:val="single" w:color="AAAAAA" w:sz="6" w:space="4"/>
        </w:pBdr>
        <w:spacing w:after="200" w:before="200"/>
      </w:pPr>
    </w:p>
    <w:p>
      <w:pPr>
        <w:spacing w:after="120"/>
      </w:pPr>
      <w:r>
        <w:rPr>
          <w:rFonts w:ascii="Calibri" w:cs="Calibri" w:eastAsia="Calibri" w:hAnsi="Calibri"/>
          <w:b w:val="false"/>
          <w:bCs w:val="false"/>
          <w:i w:val="false"/>
          <w:iCs w:val="false"/>
          <w:sz w:val="22"/>
          <w:szCs w:val="22"/>
        </w:rPr>
        <w:t xml:space="preserve">Want me to dig into any one of these in more depth — e.g., the €500M fine, the gatekeeper appeal, or the Dutch damages case?</w:t>
      </w:r>
    </w:p>
    <w:p>
      <w:pPr>
        <w:spacing w:after="120" w:before="240"/>
      </w:pPr>
      <w:r>
        <w:rPr>
          <w:rFonts w:ascii="Calibri" w:cs="Calibri" w:eastAsia="Calibri" w:hAnsi="Calibri"/>
          <w:b/>
          <w:bCs/>
          <w:color w:val="1F4E5F"/>
          <w:sz w:val="24"/>
          <w:szCs w:val="24"/>
        </w:rPr>
        <w:t xml:space="preserve">Cited Sources</w:t>
      </w:r>
    </w:p>
    <w:p>
      <w:pPr>
        <w:pStyle w:val="ListParagraph"/>
        <w:numPr>
          <w:ilvl w:val="0"/>
          <w:numId w:val="3"/>
        </w:numPr>
        <w:spacing w:after="80"/>
      </w:pPr>
      <w:hyperlink w:history="1" r:id="rIdn5k1kwtlbzpswgyajysoj">
        <w:r>
          <w:rPr>
            <w:rStyle w:val="Hyperlink"/>
            <w:rFonts w:ascii="Calibri" w:cs="Calibri" w:eastAsia="Calibri" w:hAnsi="Calibri"/>
            <w:sz w:val="22"/>
            <w:szCs w:val="22"/>
          </w:rPr>
          <w:t xml:space="preserve">https://9to5mac.com/2026/07/08/apple-loses-major-antitrust-appeal-in-europe-remains-a-gatekeeper/</w:t>
        </w:r>
      </w:hyperlink>
    </w:p>
    <w:p>
      <w:pPr>
        <w:pStyle w:val="ListParagraph"/>
        <w:numPr>
          <w:ilvl w:val="0"/>
          <w:numId w:val="3"/>
        </w:numPr>
        <w:spacing w:after="80"/>
      </w:pPr>
      <w:hyperlink w:history="1" r:id="rIdsfevr8c6ldbrlnwoljd65">
        <w:r>
          <w:rPr>
            <w:rStyle w:val="Hyperlink"/>
            <w:rFonts w:ascii="Calibri" w:cs="Calibri" w:eastAsia="Calibri" w:hAnsi="Calibri"/>
            <w:sz w:val="22"/>
            <w:szCs w:val="22"/>
          </w:rPr>
          <w:t xml:space="preserve">https://my.tradingview.com/news/reuters.com,2025:newsml_L1N3W30FA:0-apple-hit-with-eu-antitrust-complaint-over-app-store-terms</w:t>
        </w:r>
      </w:hyperlink>
    </w:p>
    <w:p>
      <w:pPr>
        <w:pStyle w:val="ListParagraph"/>
        <w:numPr>
          <w:ilvl w:val="0"/>
          <w:numId w:val="3"/>
        </w:numPr>
        <w:spacing w:after="80"/>
      </w:pPr>
      <w:hyperlink w:history="1" r:id="rIdfon1hmuaodvkqhqvh17i_">
        <w:r>
          <w:rPr>
            <w:rStyle w:val="Hyperlink"/>
            <w:rFonts w:ascii="Calibri" w:cs="Calibri" w:eastAsia="Calibri" w:hAnsi="Calibri"/>
            <w:sz w:val="22"/>
            <w:szCs w:val="22"/>
          </w:rPr>
          <w:t xml:space="preserve">https://www.androidheadlines.com/2026/07/apple-loses-european-antitrust-appeal-gatekeeper-status.html</w:t>
        </w:r>
      </w:hyperlink>
    </w:p>
    <w:p>
      <w:pPr>
        <w:pStyle w:val="ListParagraph"/>
        <w:numPr>
          <w:ilvl w:val="0"/>
          <w:numId w:val="3"/>
        </w:numPr>
        <w:spacing w:after="80"/>
      </w:pPr>
      <w:hyperlink w:history="1" r:id="rId2zo6iooikwnw_ptzqdsg7">
        <w:r>
          <w:rPr>
            <w:rStyle w:val="Hyperlink"/>
            <w:rFonts w:ascii="Calibri" w:cs="Calibri" w:eastAsia="Calibri" w:hAnsi="Calibri"/>
            <w:sz w:val="22"/>
            <w:szCs w:val="22"/>
          </w:rPr>
          <w:t xml:space="preserve">https://phonearena.com/news/The-EU-comes-after-Apple-with-list-of-antitrust-charges_id130595</w:t>
        </w:r>
      </w:hyperlink>
    </w:p>
    <w:p>
      <w:pPr>
        <w:pStyle w:val="ListParagraph"/>
        <w:numPr>
          <w:ilvl w:val="0"/>
          <w:numId w:val="3"/>
        </w:numPr>
        <w:spacing w:after="80"/>
      </w:pPr>
      <w:hyperlink w:history="1" r:id="rIdoazpoztj7hqui7f_ladma">
        <w:r>
          <w:rPr>
            <w:rStyle w:val="Hyperlink"/>
            <w:rFonts w:ascii="Calibri" w:cs="Calibri" w:eastAsia="Calibri" w:hAnsi="Calibri"/>
            <w:sz w:val="22"/>
            <w:szCs w:val="22"/>
          </w:rPr>
          <w:t xml:space="preserve">https://finance.yahoo.com/news/eu-court-rules-dutch-courts-085420095.html</w:t>
        </w:r>
      </w:hyperlink>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ovdoepsewegilkbgo19-" Type="http://schemas.openxmlformats.org/officeDocument/2006/relationships/hyperlink" Target="https://9to5mac.com/2026/07/08/apple-loses-major-antitrust-appeal-in-europe-remains-a-gatekeeper/" TargetMode="External"/><Relationship Id="rIddx6xulgk2izos6_lvd6ee" Type="http://schemas.openxmlformats.org/officeDocument/2006/relationships/hyperlink" Target="https://my.tradingview.com/news/reuters.com,2025:newsml_L1N3W30FA:0-apple-hit-with-eu-antitrust-complaint-over-app-store-terms" TargetMode="External"/><Relationship Id="rIdrb79xjsqkaj7p8qrq3-cc" Type="http://schemas.openxmlformats.org/officeDocument/2006/relationships/hyperlink" Target="https://www.androidheadlines.com/2026/07/apple-loses-european-antitrust-appeal-gatekeeper-status.html" TargetMode="External"/><Relationship Id="rIdxgo3ngsezgt85i4isvczo" Type="http://schemas.openxmlformats.org/officeDocument/2006/relationships/hyperlink" Target="https://phonearena.com/news/The-EU-comes-after-Apple-with-list-of-antitrust-charges_id130595" TargetMode="External"/><Relationship Id="rIdvacjw6wugquwqabios1bt" Type="http://schemas.openxmlformats.org/officeDocument/2006/relationships/hyperlink" Target="https://my.tradingview.com/news/reuters.com,2025:newsml_L1N3W30FA:0-apple-hit-with-eu-antitrust-complaint-over-app-store-terms" TargetMode="External"/><Relationship Id="rId4e_c7_xvs09pkzc72gw7n" Type="http://schemas.openxmlformats.org/officeDocument/2006/relationships/hyperlink" Target="https://finance.yahoo.com/news/eu-court-rules-dutch-courts-085420095.html" TargetMode="External"/><Relationship Id="rIdn5k1kwtlbzpswgyajysoj" Type="http://schemas.openxmlformats.org/officeDocument/2006/relationships/hyperlink" Target="https://9to5mac.com/2026/07/08/apple-loses-major-antitrust-appeal-in-europe-remains-a-gatekeeper/" TargetMode="External"/><Relationship Id="rIdsfevr8c6ldbrlnwoljd65" Type="http://schemas.openxmlformats.org/officeDocument/2006/relationships/hyperlink" Target="https://my.tradingview.com/news/reuters.com,2025:newsml_L1N3W30FA:0-apple-hit-with-eu-antitrust-complaint-over-app-store-terms" TargetMode="External"/><Relationship Id="rIdfon1hmuaodvkqhqvh17i_" Type="http://schemas.openxmlformats.org/officeDocument/2006/relationships/hyperlink" Target="https://www.androidheadlines.com/2026/07/apple-loses-european-antitrust-appeal-gatekeeper-status.html" TargetMode="External"/><Relationship Id="rId2zo6iooikwnw_ptzqdsg7" Type="http://schemas.openxmlformats.org/officeDocument/2006/relationships/hyperlink" Target="https://phonearena.com/news/The-EU-comes-after-Apple-with-list-of-antitrust-charges_id130595" TargetMode="External"/><Relationship Id="rIdoazpoztj7hqui7f_ladma" Type="http://schemas.openxmlformats.org/officeDocument/2006/relationships/hyperlink" Target="https://finance.yahoo.com/news/eu-court-rules-dutch-courts-085420095.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2026-09-02T12:08:09.167Z</dcterms:created>
  <dcterms:modified xsi:type="dcterms:W3CDTF">2026-09-02T12:08:09.167Z</dcterms:modified>
</cp:coreProperties>
</file>

<file path=docProps/custom.xml><?xml version="1.0" encoding="utf-8"?>
<Properties xmlns="http://schemas.openxmlformats.org/officeDocument/2006/custom-properties" xmlns:vt="http://schemas.openxmlformats.org/officeDocument/2006/docPropsVTypes"/>
</file>