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5F"/>
          <w:sz w:val="32"/>
          <w:szCs w:val="32"/>
        </w:rPr>
        <w:t xml:space="preserve">Response Transcript — Sample 4</w:t>
      </w:r>
    </w:p>
    <w:p>
      <w:pPr>
        <w:pBdr>
          <w:bottom w:val="single" w:color="1F4E5F" w:sz="6" w:space="1"/>
        </w:pBdr>
        <w:spacing w:after="200"/>
      </w:pPr>
    </w:p>
    <w:p>
      <w:pPr>
        <w:spacing w:after="160" w:before="280"/>
      </w:pPr>
      <w:r>
        <w:rPr>
          <w:rFonts w:ascii="Calibri" w:cs="Calibri" w:eastAsia="Calibri" w:hAnsi="Calibri"/>
          <w:b/>
          <w:bCs/>
          <w:color w:val="1F4E5F"/>
          <w:sz w:val="22"/>
          <w:szCs w:val="22"/>
        </w:rPr>
        <w:t xml:space="preserve">User Query</w:t>
      </w:r>
    </w:p>
    <w:p>
      <w:pPr>
        <w:pBdr>
          <w:left w:val="single" w:color="1F4E5F" w:sz="12" w:space="8"/>
        </w:pBdr>
        <w:spacing w:after="200"/>
        <w:ind w:left="431"/>
      </w:pPr>
      <w:r>
        <w:rPr>
          <w:rFonts w:ascii="Calibri" w:cs="Calibri" w:eastAsia="Calibri" w:hAnsi="Calibri"/>
          <w:i/>
          <w:iCs/>
          <w:sz w:val="22"/>
          <w:szCs w:val="22"/>
        </w:rPr>
        <w:t xml:space="preserve">how to assess dominance in the digital market?</w:t>
      </w:r>
    </w:p>
    <w:p>
      <w:pPr>
        <w:spacing w:after="160" w:before="280"/>
      </w:pPr>
      <w:r>
        <w:rPr>
          <w:rFonts w:ascii="Calibri" w:cs="Calibri" w:eastAsia="Calibri" w:hAnsi="Calibri"/>
          <w:b/>
          <w:bCs/>
          <w:color w:val="1F4E5F"/>
          <w:sz w:val="22"/>
          <w:szCs w:val="22"/>
        </w:rPr>
        <w:t xml:space="preserve">System Response</w:t>
      </w:r>
    </w:p>
    <w:p>
      <w:pPr>
        <w:spacing w:after="160"/>
      </w:pPr>
      <w:r>
        <w:rPr>
          <w:rFonts w:ascii="Calibri" w:cs="Calibri" w:eastAsia="Calibri" w:hAnsi="Calibri"/>
          <w:b w:val="false"/>
          <w:bCs w:val="false"/>
          <w:i w:val="false"/>
          <w:iCs w:val="false"/>
          <w:sz w:val="22"/>
          <w:szCs w:val="22"/>
        </w:rPr>
        <w:t xml:space="preserve">Assessing dominance in digital markets starts with the same legal core as other markets: define the relevant market, measure market power, and test whether that power is durable and substantial. In digital settings, the assessment usually gives extra weight to data advantages, network effects, multi-sided demand, switching costs, economies of scale and scope, and ecosystem control.</w:t>
      </w:r>
      <w:hyperlink w:history="1" r:id="rId18t9vuzfdlmftm2a8xmd8">
        <w:r>
          <w:rPr>
            <w:rFonts w:ascii="Calibri" w:cs="Calibri" w:eastAsia="Calibri" w:hAnsi="Calibri"/>
            <w:color w:val="1F4E5F"/>
            <w:sz w:val="22"/>
            <w:szCs w:val="22"/>
            <w:u w:val="single"/>
          </w:rPr>
          <w:t xml:space="preserve">[1]</w:t>
        </w:r>
      </w:hyperlink>
      <w:hyperlink w:history="1" r:id="rIde7vf245li_fweus1phhsl">
        <w:r>
          <w:rPr>
            <w:rFonts w:ascii="Calibri" w:cs="Calibri" w:eastAsia="Calibri" w:hAnsi="Calibri"/>
            <w:color w:val="1F4E5F"/>
            <w:sz w:val="22"/>
            <w:szCs w:val="22"/>
            <w:u w:val="single"/>
          </w:rPr>
          <w:t xml:space="preserve">[2]</w:t>
        </w:r>
      </w:hyperlink>
      <w:hyperlink w:history="1" r:id="rIdhtemy8rgcaehp2ut5sbjy">
        <w:r>
          <w:rPr>
            <w:rFonts w:ascii="Calibri" w:cs="Calibri" w:eastAsia="Calibri" w:hAnsi="Calibri"/>
            <w:color w:val="1F4E5F"/>
            <w:sz w:val="22"/>
            <w:szCs w:val="22"/>
            <w:u w:val="single"/>
          </w:rPr>
          <w:t xml:space="preserve">[3]</w:t>
        </w:r>
      </w:hyperlink>
    </w:p>
    <w:p>
      <w:pPr>
        <w:spacing w:after="120" w:before="200"/>
      </w:pPr>
      <w:r>
        <w:rPr>
          <w:rFonts w:ascii="Calibri" w:cs="Calibri" w:eastAsia="Calibri" w:hAnsi="Calibri"/>
          <w:b/>
          <w:bCs/>
          <w:i/>
          <w:iCs/>
          <w:sz w:val="22"/>
          <w:szCs w:val="22"/>
        </w:rPr>
        <w:t xml:space="preserve">1. Competition-law terminology and the digital-market context</w:t>
      </w:r>
    </w:p>
    <w:p>
      <w:pPr>
        <w:spacing w:after="160"/>
      </w:pPr>
      <w:r>
        <w:rPr>
          <w:rFonts w:ascii="Calibri" w:cs="Calibri" w:eastAsia="Calibri" w:hAnsi="Calibri"/>
          <w:b w:val="false"/>
          <w:bCs w:val="false"/>
          <w:i w:val="false"/>
          <w:iCs w:val="false"/>
          <w:sz w:val="22"/>
          <w:szCs w:val="22"/>
        </w:rPr>
        <w:t xml:space="preserve">Dominance means the ability to behave to an appreciable extent independently of competitors, customers, and ultimately consumers; in digital markets, that assessment often turns on platform structure rather than a single-product market share.</w:t>
      </w:r>
      <w:hyperlink w:history="1" r:id="rIdijuzrxyt1xjee9qbjczx-">
        <w:r>
          <w:rPr>
            <w:rFonts w:ascii="Calibri" w:cs="Calibri" w:eastAsia="Calibri" w:hAnsi="Calibri"/>
            <w:color w:val="1F4E5F"/>
            <w:sz w:val="22"/>
            <w:szCs w:val="22"/>
            <w:u w:val="single"/>
          </w:rPr>
          <w:t xml:space="preserve">[1]</w:t>
        </w:r>
      </w:hyperlink>
      <w:hyperlink w:history="1" r:id="rIdf75vapmtjhmtcqpjjityx">
        <w:r>
          <w:rPr>
            <w:rFonts w:ascii="Calibri" w:cs="Calibri" w:eastAsia="Calibri" w:hAnsi="Calibri"/>
            <w:color w:val="1F4E5F"/>
            <w:sz w:val="22"/>
            <w:szCs w:val="22"/>
            <w:u w:val="single"/>
          </w:rPr>
          <w:t xml:space="preserve">[2]</w:t>
        </w:r>
      </w:hyperlink>
    </w:p>
    <w:p>
      <w:pPr>
        <w:spacing w:after="160"/>
      </w:pPr>
      <w:r>
        <w:rPr>
          <w:rFonts w:ascii="Calibri" w:cs="Calibri" w:eastAsia="Calibri" w:hAnsi="Calibri"/>
          <w:b w:val="false"/>
          <w:bCs w:val="false"/>
          <w:i w:val="false"/>
          <w:iCs w:val="false"/>
          <w:sz w:val="22"/>
          <w:szCs w:val="22"/>
        </w:rPr>
        <w:t xml:space="preserve">Relevant market analysis still matters, but in digital markets it can be more elastic because services may be offered at zero monetary price, quality is often the main competitive parameter, and competition may occur across attention, data, interoperability, and access to users.</w:t>
      </w:r>
      <w:hyperlink w:history="1" r:id="rIdn5yvjqvewrrp1l8bxgmxf">
        <w:r>
          <w:rPr>
            <w:rFonts w:ascii="Calibri" w:cs="Calibri" w:eastAsia="Calibri" w:hAnsi="Calibri"/>
            <w:color w:val="1F4E5F"/>
            <w:sz w:val="22"/>
            <w:szCs w:val="22"/>
            <w:u w:val="single"/>
          </w:rPr>
          <w:t xml:space="preserve">[1]</w:t>
        </w:r>
      </w:hyperlink>
      <w:hyperlink w:history="1" r:id="rIdo2gyyfyxjnksmak7scskd">
        <w:r>
          <w:rPr>
            <w:rFonts w:ascii="Calibri" w:cs="Calibri" w:eastAsia="Calibri" w:hAnsi="Calibri"/>
            <w:color w:val="1F4E5F"/>
            <w:sz w:val="22"/>
            <w:szCs w:val="22"/>
            <w:u w:val="single"/>
          </w:rPr>
          <w:t xml:space="preserve">[4]</w:t>
        </w:r>
      </w:hyperlink>
    </w:p>
    <w:p>
      <w:pPr>
        <w:spacing w:after="160"/>
      </w:pPr>
      <w:r>
        <w:rPr>
          <w:rFonts w:ascii="Calibri" w:cs="Calibri" w:eastAsia="Calibri" w:hAnsi="Calibri"/>
          <w:b w:val="false"/>
          <w:bCs w:val="false"/>
          <w:i w:val="false"/>
          <w:iCs w:val="false"/>
          <w:sz w:val="22"/>
          <w:szCs w:val="22"/>
        </w:rPr>
        <w:t xml:space="preserve">Gatekeeper-type position is a related but distinct concept under the EU digital-regulation framework: it captures an entrenched and durable gateway role, which can inform policy analysis but is not identical to dominance under competition law.</w:t>
      </w:r>
      <w:hyperlink w:history="1" r:id="rIdbynzub-y5kr7vgwlakngu">
        <w:r>
          <w:rPr>
            <w:rFonts w:ascii="Calibri" w:cs="Calibri" w:eastAsia="Calibri" w:hAnsi="Calibri"/>
            <w:color w:val="1F4E5F"/>
            <w:sz w:val="22"/>
            <w:szCs w:val="22"/>
            <w:u w:val="single"/>
          </w:rPr>
          <w:t xml:space="preserve">[3]</w:t>
        </w:r>
      </w:hyperlink>
      <w:hyperlink w:history="1" r:id="rIdxces0rcuv6rmge49y5yxp">
        <w:r>
          <w:rPr>
            <w:rFonts w:ascii="Calibri" w:cs="Calibri" w:eastAsia="Calibri" w:hAnsi="Calibri"/>
            <w:color w:val="1F4E5F"/>
            <w:sz w:val="22"/>
            <w:szCs w:val="22"/>
            <w:u w:val="single"/>
          </w:rPr>
          <w:t xml:space="preserve">[4]</w:t>
        </w:r>
      </w:hyperlink>
    </w:p>
    <w:p>
      <w:pPr>
        <w:spacing w:after="160"/>
      </w:pPr>
      <w:r>
        <w:rPr>
          <w:rFonts w:ascii="Calibri" w:cs="Calibri" w:eastAsia="Calibri" w:hAnsi="Calibri"/>
          <w:b w:val="false"/>
          <w:bCs w:val="false"/>
          <w:i w:val="false"/>
          <w:iCs w:val="false"/>
          <w:sz w:val="22"/>
          <w:szCs w:val="22"/>
        </w:rPr>
        <w:t xml:space="preserve">Ecosystem power refers to control over a set of interconnected services, interfaces, default settings, app stores, identity layers, advertising tech, and cloud or operating-system dependencies that can reinforce market power beyond any single service.</w:t>
      </w:r>
      <w:hyperlink w:history="1" r:id="rIdlegq7010sg1a4s4ukxrua">
        <w:r>
          <w:rPr>
            <w:rFonts w:ascii="Calibri" w:cs="Calibri" w:eastAsia="Calibri" w:hAnsi="Calibri"/>
            <w:color w:val="1F4E5F"/>
            <w:sz w:val="22"/>
            <w:szCs w:val="22"/>
            <w:u w:val="single"/>
          </w:rPr>
          <w:t xml:space="preserve">[3]</w:t>
        </w:r>
      </w:hyperlink>
      <w:hyperlink w:history="1" r:id="rId6hjfcgcwek2bof68xxddt">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2. Economics tests used to assess dominance in digital markets</w:t>
      </w:r>
    </w:p>
    <w:p>
      <w:pPr>
        <w:spacing w:after="120" w:before="200"/>
      </w:pPr>
      <w:r>
        <w:rPr>
          <w:rFonts w:ascii="Calibri" w:cs="Calibri" w:eastAsia="Calibri" w:hAnsi="Calibri"/>
          <w:b/>
          <w:bCs/>
          <w:i/>
          <w:iCs/>
          <w:sz w:val="22"/>
          <w:szCs w:val="22"/>
        </w:rPr>
        <w:t xml:space="preserve">Market definition test</w:t>
      </w:r>
    </w:p>
    <w:p>
      <w:pPr>
        <w:spacing w:after="160"/>
      </w:pPr>
      <w:r>
        <w:rPr>
          <w:rFonts w:ascii="Calibri" w:cs="Calibri" w:eastAsia="Calibri" w:hAnsi="Calibri"/>
          <w:b w:val="false"/>
          <w:bCs w:val="false"/>
          <w:i w:val="false"/>
          <w:iCs w:val="false"/>
          <w:sz w:val="22"/>
          <w:szCs w:val="22"/>
        </w:rPr>
        <w:t xml:space="preserve">The starting point is still substitution on the demand and supply side, but in digital markets the question often becomes whether users or advertisers can realistically switch when price is zero and quality, privacy, or attention are the real competitive variables.</w:t>
      </w:r>
      <w:hyperlink w:history="1" r:id="rId7zqg264kibwtbwwi_ya0g">
        <w:r>
          <w:rPr>
            <w:rFonts w:ascii="Calibri" w:cs="Calibri" w:eastAsia="Calibri" w:hAnsi="Calibri"/>
            <w:color w:val="1F4E5F"/>
            <w:sz w:val="22"/>
            <w:szCs w:val="22"/>
            <w:u w:val="single"/>
          </w:rPr>
          <w:t xml:space="preserve">[1]</w:t>
        </w:r>
      </w:hyperlink>
      <w:hyperlink w:history="1" r:id="rId35hojboeummutu0-inkez">
        <w:r>
          <w:rPr>
            <w:rFonts w:ascii="Calibri" w:cs="Calibri" w:eastAsia="Calibri" w:hAnsi="Calibri"/>
            <w:color w:val="1F4E5F"/>
            <w:sz w:val="22"/>
            <w:szCs w:val="22"/>
            <w:u w:val="single"/>
          </w:rPr>
          <w:t xml:space="preserve">[2]</w:t>
        </w:r>
      </w:hyperlink>
    </w:p>
    <w:p>
      <w:pPr>
        <w:spacing w:after="160"/>
      </w:pPr>
      <w:r>
        <w:rPr>
          <w:rFonts w:ascii="Calibri" w:cs="Calibri" w:eastAsia="Calibri" w:hAnsi="Calibri"/>
          <w:b w:val="false"/>
          <w:bCs w:val="false"/>
          <w:i w:val="false"/>
          <w:iCs w:val="false"/>
          <w:sz w:val="22"/>
          <w:szCs w:val="22"/>
        </w:rPr>
        <w:t xml:space="preserve">For multi-sided platforms, it is often necessary to assess interdependencies between sides of the platform, because power on one side may be reinforced by feedback loops from the other side.</w:t>
      </w:r>
      <w:hyperlink w:history="1" r:id="rIdaax56oo7flndf5fwvmtb0">
        <w:r>
          <w:rPr>
            <w:rFonts w:ascii="Calibri" w:cs="Calibri" w:eastAsia="Calibri" w:hAnsi="Calibri"/>
            <w:color w:val="1F4E5F"/>
            <w:sz w:val="22"/>
            <w:szCs w:val="22"/>
            <w:u w:val="single"/>
          </w:rPr>
          <w:t xml:space="preserve">[3]</w:t>
        </w:r>
      </w:hyperlink>
      <w:hyperlink w:history="1" r:id="rIdc1ern2yffevhdkhq6guz8">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Market share and concentration test</w:t>
      </w:r>
    </w:p>
    <w:p>
      <w:pPr>
        <w:spacing w:after="160"/>
      </w:pPr>
      <w:r>
        <w:rPr>
          <w:rFonts w:ascii="Calibri" w:cs="Calibri" w:eastAsia="Calibri" w:hAnsi="Calibri"/>
          <w:b w:val="false"/>
          <w:bCs w:val="false"/>
          <w:i w:val="false"/>
          <w:iCs w:val="false"/>
          <w:sz w:val="22"/>
          <w:szCs w:val="22"/>
        </w:rPr>
        <w:t xml:space="preserve">High and persistent shares remain a strong indicator, but they are not sufficient on their own; in digital markets, shares can understate power if network effects, defaults, or data advantages make entry difficult and contestability weak.</w:t>
      </w:r>
      <w:hyperlink w:history="1" r:id="rIdzmszceqmzp85e0f2knxjo">
        <w:r>
          <w:rPr>
            <w:rFonts w:ascii="Calibri" w:cs="Calibri" w:eastAsia="Calibri" w:hAnsi="Calibri"/>
            <w:color w:val="1F4E5F"/>
            <w:sz w:val="22"/>
            <w:szCs w:val="22"/>
            <w:u w:val="single"/>
          </w:rPr>
          <w:t xml:space="preserve">[1]</w:t>
        </w:r>
      </w:hyperlink>
      <w:hyperlink w:history="1" r:id="rIdhlyoc_tpcsajmq_k3zd_5">
        <w:r>
          <w:rPr>
            <w:rFonts w:ascii="Calibri" w:cs="Calibri" w:eastAsia="Calibri" w:hAnsi="Calibri"/>
            <w:color w:val="1F4E5F"/>
            <w:sz w:val="22"/>
            <w:szCs w:val="22"/>
            <w:u w:val="single"/>
          </w:rPr>
          <w:t xml:space="preserve">[2]</w:t>
        </w:r>
      </w:hyperlink>
    </w:p>
    <w:p>
      <w:pPr>
        <w:spacing w:after="120" w:before="200"/>
      </w:pPr>
      <w:r>
        <w:rPr>
          <w:rFonts w:ascii="Calibri" w:cs="Calibri" w:eastAsia="Calibri" w:hAnsi="Calibri"/>
          <w:b/>
          <w:bCs/>
          <w:i/>
          <w:iCs/>
          <w:sz w:val="22"/>
          <w:szCs w:val="22"/>
        </w:rPr>
        <w:t xml:space="preserve">Network-effects test</w:t>
      </w:r>
    </w:p>
    <w:p>
      <w:pPr>
        <w:spacing w:after="160"/>
      </w:pPr>
      <w:r>
        <w:rPr>
          <w:rFonts w:ascii="Calibri" w:cs="Calibri" w:eastAsia="Calibri" w:hAnsi="Calibri"/>
          <w:b w:val="false"/>
          <w:bCs w:val="false"/>
          <w:i w:val="false"/>
          <w:iCs w:val="false"/>
          <w:sz w:val="22"/>
          <w:szCs w:val="22"/>
        </w:rPr>
        <w:t xml:space="preserve">Direct and indirect network effects can make a platform more valuable as more users join, which can create tipping risks and make a seemingly modest lead become durable.</w:t>
      </w:r>
      <w:hyperlink w:history="1" r:id="rIdsaqqwx4eswbsqibqsi2zz">
        <w:r>
          <w:rPr>
            <w:rFonts w:ascii="Calibri" w:cs="Calibri" w:eastAsia="Calibri" w:hAnsi="Calibri"/>
            <w:color w:val="1F4E5F"/>
            <w:sz w:val="22"/>
            <w:szCs w:val="22"/>
            <w:u w:val="single"/>
          </w:rPr>
          <w:t xml:space="preserve">[3]</w:t>
        </w:r>
      </w:hyperlink>
      <w:hyperlink w:history="1" r:id="rIdv1lege0ytnymevbzlgiar">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Switching-costs and lock-in test</w:t>
      </w:r>
    </w:p>
    <w:p>
      <w:pPr>
        <w:spacing w:after="160"/>
      </w:pPr>
      <w:r>
        <w:rPr>
          <w:rFonts w:ascii="Calibri" w:cs="Calibri" w:eastAsia="Calibri" w:hAnsi="Calibri"/>
          <w:b w:val="false"/>
          <w:bCs w:val="false"/>
          <w:i w:val="false"/>
          <w:iCs w:val="false"/>
          <w:sz w:val="22"/>
          <w:szCs w:val="22"/>
        </w:rPr>
        <w:t xml:space="preserve">If users, business users, or advertisers face high costs in changing services, including loss of contacts, data, reputation, ranking history, or integration, the firm's freedom to raise quality-degrading terms becomes greater.</w:t>
      </w:r>
      <w:hyperlink w:history="1" r:id="rIdnhqhohiqbmsgfzlozxijw">
        <w:r>
          <w:rPr>
            <w:rFonts w:ascii="Calibri" w:cs="Calibri" w:eastAsia="Calibri" w:hAnsi="Calibri"/>
            <w:color w:val="1F4E5F"/>
            <w:sz w:val="22"/>
            <w:szCs w:val="22"/>
            <w:u w:val="single"/>
          </w:rPr>
          <w:t xml:space="preserve">[1]</w:t>
        </w:r>
      </w:hyperlink>
      <w:hyperlink w:history="1" r:id="rIdlfwupbeux40pfrkjlipqf">
        <w:r>
          <w:rPr>
            <w:rFonts w:ascii="Calibri" w:cs="Calibri" w:eastAsia="Calibri" w:hAnsi="Calibri"/>
            <w:color w:val="1F4E5F"/>
            <w:sz w:val="22"/>
            <w:szCs w:val="22"/>
            <w:u w:val="single"/>
          </w:rPr>
          <w:t xml:space="preserve">[3]</w:t>
        </w:r>
      </w:hyperlink>
    </w:p>
    <w:p>
      <w:pPr>
        <w:spacing w:after="120" w:before="200"/>
      </w:pPr>
      <w:r>
        <w:rPr>
          <w:rFonts w:ascii="Calibri" w:cs="Calibri" w:eastAsia="Calibri" w:hAnsi="Calibri"/>
          <w:b/>
          <w:bCs/>
          <w:i/>
          <w:iCs/>
          <w:sz w:val="22"/>
          <w:szCs w:val="22"/>
        </w:rPr>
        <w:t xml:space="preserve">Data-advantage test</w:t>
      </w:r>
    </w:p>
    <w:p>
      <w:pPr>
        <w:spacing w:after="160"/>
      </w:pPr>
      <w:r>
        <w:rPr>
          <w:rFonts w:ascii="Calibri" w:cs="Calibri" w:eastAsia="Calibri" w:hAnsi="Calibri"/>
          <w:b w:val="false"/>
          <w:bCs w:val="false"/>
          <w:i w:val="false"/>
          <w:iCs w:val="false"/>
          <w:sz w:val="22"/>
          <w:szCs w:val="22"/>
        </w:rPr>
        <w:t xml:space="preserve">A large installed base can generate more data, which can improve targeting, ranking, recommendation, fraud detection, and product refinement. The key question is whether rivals can obtain comparable data by other means or whether the incumbent's data position is self-reinforcing and hard to replicate.</w:t>
      </w:r>
      <w:hyperlink w:history="1" r:id="rIdmcaecn1zy_sed3arguen4">
        <w:r>
          <w:rPr>
            <w:rFonts w:ascii="Calibri" w:cs="Calibri" w:eastAsia="Calibri" w:hAnsi="Calibri"/>
            <w:color w:val="1F4E5F"/>
            <w:sz w:val="22"/>
            <w:szCs w:val="22"/>
            <w:u w:val="single"/>
          </w:rPr>
          <w:t xml:space="preserve">[3]</w:t>
        </w:r>
      </w:hyperlink>
      <w:hyperlink w:history="1" r:id="rIdhbxrzgqanll-yj0jbl7wa">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Entry-barriers and scale test</w:t>
      </w:r>
    </w:p>
    <w:p>
      <w:pPr>
        <w:spacing w:after="160"/>
      </w:pPr>
      <w:r>
        <w:rPr>
          <w:rFonts w:ascii="Calibri" w:cs="Calibri" w:eastAsia="Calibri" w:hAnsi="Calibri"/>
          <w:b w:val="false"/>
          <w:bCs w:val="false"/>
          <w:i w:val="false"/>
          <w:iCs w:val="false"/>
          <w:sz w:val="22"/>
          <w:szCs w:val="22"/>
        </w:rPr>
        <w:t xml:space="preserve">Digital markets often have strong economies of scale and scope, low marginal costs, and high fixed costs in infrastructure, engineering, and acquisition. Dominance is more likely where new entry must overcome both technology and user-base barriers at once.</w:t>
      </w:r>
      <w:hyperlink w:history="1" r:id="rId0dveyii9joslsatpxt-2y">
        <w:r>
          <w:rPr>
            <w:rFonts w:ascii="Calibri" w:cs="Calibri" w:eastAsia="Calibri" w:hAnsi="Calibri"/>
            <w:color w:val="1F4E5F"/>
            <w:sz w:val="22"/>
            <w:szCs w:val="22"/>
            <w:u w:val="single"/>
          </w:rPr>
          <w:t xml:space="preserve">[1]</w:t>
        </w:r>
      </w:hyperlink>
      <w:hyperlink w:history="1" r:id="rIdxpnxjc9sid6gvquhs7jro">
        <w:r>
          <w:rPr>
            <w:rFonts w:ascii="Calibri" w:cs="Calibri" w:eastAsia="Calibri" w:hAnsi="Calibri"/>
            <w:color w:val="1F4E5F"/>
            <w:sz w:val="22"/>
            <w:szCs w:val="22"/>
            <w:u w:val="single"/>
          </w:rPr>
          <w:t xml:space="preserve">[2]</w:t>
        </w:r>
      </w:hyperlink>
    </w:p>
    <w:p>
      <w:pPr>
        <w:spacing w:after="120" w:before="200"/>
      </w:pPr>
      <w:r>
        <w:rPr>
          <w:rFonts w:ascii="Calibri" w:cs="Calibri" w:eastAsia="Calibri" w:hAnsi="Calibri"/>
          <w:b/>
          <w:bCs/>
          <w:i/>
          <w:iCs/>
          <w:sz w:val="22"/>
          <w:szCs w:val="22"/>
        </w:rPr>
        <w:t xml:space="preserve">Ecosystem-leverage test</w:t>
      </w:r>
    </w:p>
    <w:p>
      <w:pPr>
        <w:spacing w:after="160"/>
      </w:pPr>
      <w:r>
        <w:rPr>
          <w:rFonts w:ascii="Calibri" w:cs="Calibri" w:eastAsia="Calibri" w:hAnsi="Calibri"/>
          <w:b w:val="false"/>
          <w:bCs w:val="false"/>
          <w:i w:val="false"/>
          <w:iCs w:val="false"/>
          <w:sz w:val="22"/>
          <w:szCs w:val="22"/>
        </w:rPr>
        <w:t xml:space="preserve">Where a firm controls adjacent services, defaults, app distribution, operating systems, identity, payments, or advertising intermediation, dominance can spill across layers. The assessment asks whether the firm can use one controlled bottleneck to reinforce power elsewhere.</w:t>
      </w:r>
      <w:hyperlink w:history="1" r:id="rIdfgqvgb93-_sjzyzfgy_xs">
        <w:r>
          <w:rPr>
            <w:rFonts w:ascii="Calibri" w:cs="Calibri" w:eastAsia="Calibri" w:hAnsi="Calibri"/>
            <w:color w:val="1F4E5F"/>
            <w:sz w:val="22"/>
            <w:szCs w:val="22"/>
            <w:u w:val="single"/>
          </w:rPr>
          <w:t xml:space="preserve">[3]</w:t>
        </w:r>
      </w:hyperlink>
      <w:hyperlink w:history="1" r:id="rIdw0cj0ufkmf9filz0p1apx">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Durability test</w:t>
      </w:r>
    </w:p>
    <w:p>
      <w:pPr>
        <w:spacing w:after="160"/>
      </w:pPr>
      <w:r>
        <w:rPr>
          <w:rFonts w:ascii="Calibri" w:cs="Calibri" w:eastAsia="Calibri" w:hAnsi="Calibri"/>
          <w:b w:val="false"/>
          <w:bCs w:val="false"/>
          <w:i w:val="false"/>
          <w:iCs w:val="false"/>
          <w:sz w:val="22"/>
          <w:szCs w:val="22"/>
        </w:rPr>
        <w:t xml:space="preserve">A position is more likely to be dominant when the firm's advantages are stable over time, not merely the result of a temporary product lead or a short-term viral effect.</w:t>
      </w:r>
      <w:hyperlink w:history="1" r:id="rId9s6acdloiq7hows1ykavf">
        <w:r>
          <w:rPr>
            <w:rFonts w:ascii="Calibri" w:cs="Calibri" w:eastAsia="Calibri" w:hAnsi="Calibri"/>
            <w:color w:val="1F4E5F"/>
            <w:sz w:val="22"/>
            <w:szCs w:val="22"/>
            <w:u w:val="single"/>
          </w:rPr>
          <w:t xml:space="preserve">[1]</w:t>
        </w:r>
      </w:hyperlink>
      <w:hyperlink w:history="1" r:id="rIdou-4b-d2mcqucrmjli25k">
        <w:r>
          <w:rPr>
            <w:rFonts w:ascii="Calibri" w:cs="Calibri" w:eastAsia="Calibri" w:hAnsi="Calibri"/>
            <w:color w:val="1F4E5F"/>
            <w:sz w:val="22"/>
            <w:szCs w:val="22"/>
            <w:u w:val="single"/>
          </w:rPr>
          <w:t xml:space="preserve">[3]</w:t>
        </w:r>
      </w:hyperlink>
    </w:p>
    <w:p>
      <w:pPr>
        <w:spacing w:after="120" w:before="200"/>
      </w:pPr>
      <w:r>
        <w:rPr>
          <w:rFonts w:ascii="Calibri" w:cs="Calibri" w:eastAsia="Calibri" w:hAnsi="Calibri"/>
          <w:b/>
          <w:bCs/>
          <w:i/>
          <w:iCs/>
          <w:sz w:val="22"/>
          <w:szCs w:val="22"/>
        </w:rPr>
        <w:t xml:space="preserve">3. Legal tests for dominance under EU competition law</w:t>
      </w:r>
    </w:p>
    <w:p>
      <w:pPr>
        <w:spacing w:after="120" w:before="200"/>
      </w:pPr>
      <w:r>
        <w:rPr>
          <w:rFonts w:ascii="Calibri" w:cs="Calibri" w:eastAsia="Calibri" w:hAnsi="Calibri"/>
          <w:b/>
          <w:bCs/>
          <w:i/>
          <w:iCs/>
          <w:sz w:val="22"/>
          <w:szCs w:val="22"/>
        </w:rPr>
        <w:t xml:space="preserve">Article 102 framework</w:t>
      </w:r>
    </w:p>
    <w:p>
      <w:pPr>
        <w:spacing w:after="160"/>
      </w:pPr>
      <w:r>
        <w:rPr>
          <w:rFonts w:ascii="Calibri" w:cs="Calibri" w:eastAsia="Calibri" w:hAnsi="Calibri"/>
          <w:b w:val="false"/>
          <w:bCs w:val="false"/>
          <w:i w:val="false"/>
          <w:iCs w:val="false"/>
          <w:sz w:val="22"/>
          <w:szCs w:val="22"/>
        </w:rPr>
        <w:t xml:space="preserve">The legal question is whether the undertaking holds a dominant position on a relevant market and, if so, whether its conduct is abusive.</w:t>
      </w:r>
      <w:hyperlink w:history="1" r:id="rIddnqyvjkybss86iyzbourb">
        <w:r>
          <w:rPr>
            <w:rFonts w:ascii="Calibri" w:cs="Calibri" w:eastAsia="Calibri" w:hAnsi="Calibri"/>
            <w:color w:val="1F4E5F"/>
            <w:sz w:val="22"/>
            <w:szCs w:val="22"/>
            <w:u w:val="single"/>
          </w:rPr>
          <w:t xml:space="preserve">[1]</w:t>
        </w:r>
      </w:hyperlink>
      <w:hyperlink w:history="1" r:id="rIdwtp9eayrp_gn0vlpwy_dj">
        <w:r>
          <w:rPr>
            <w:rFonts w:ascii="Calibri" w:cs="Calibri" w:eastAsia="Calibri" w:hAnsi="Calibri"/>
            <w:color w:val="1F4E5F"/>
            <w:sz w:val="22"/>
            <w:szCs w:val="22"/>
            <w:u w:val="single"/>
          </w:rPr>
          <w:t xml:space="preserve">[2]</w:t>
        </w:r>
      </w:hyperlink>
    </w:p>
    <w:p>
      <w:pPr>
        <w:spacing w:after="120" w:before="200"/>
      </w:pPr>
      <w:r>
        <w:rPr>
          <w:rFonts w:ascii="Calibri" w:cs="Calibri" w:eastAsia="Calibri" w:hAnsi="Calibri"/>
          <w:b/>
          <w:bCs/>
          <w:i/>
          <w:iCs/>
          <w:sz w:val="22"/>
          <w:szCs w:val="22"/>
        </w:rPr>
        <w:t xml:space="preserve">Single-market versus multi-market approach</w:t>
      </w:r>
    </w:p>
    <w:p>
      <w:pPr>
        <w:spacing w:after="160"/>
      </w:pPr>
      <w:r>
        <w:rPr>
          <w:rFonts w:ascii="Calibri" w:cs="Calibri" w:eastAsia="Calibri" w:hAnsi="Calibri"/>
          <w:b w:val="false"/>
          <w:bCs w:val="false"/>
          <w:i w:val="false"/>
          <w:iCs w:val="false"/>
          <w:sz w:val="22"/>
          <w:szCs w:val="22"/>
        </w:rPr>
        <w:t xml:space="preserve">In digital markets, dominance may exist on one market, on several connected markets, or through control of a bottleneck that affects adjacent markets. The analysis should not assume that dominance requires control of the entire digital ecosystem.</w:t>
      </w:r>
      <w:hyperlink w:history="1" r:id="rIdnpxrj8tmmpt-w2xmyktqn">
        <w:r>
          <w:rPr>
            <w:rFonts w:ascii="Calibri" w:cs="Calibri" w:eastAsia="Calibri" w:hAnsi="Calibri"/>
            <w:color w:val="1F4E5F"/>
            <w:sz w:val="22"/>
            <w:szCs w:val="22"/>
            <w:u w:val="single"/>
          </w:rPr>
          <w:t xml:space="preserve">[1]</w:t>
        </w:r>
      </w:hyperlink>
      <w:hyperlink w:history="1" r:id="rIduzzjs3zn3kifbmoqiwdm4">
        <w:r>
          <w:rPr>
            <w:rFonts w:ascii="Calibri" w:cs="Calibri" w:eastAsia="Calibri" w:hAnsi="Calibri"/>
            <w:color w:val="1F4E5F"/>
            <w:sz w:val="22"/>
            <w:szCs w:val="22"/>
            <w:u w:val="single"/>
          </w:rPr>
          <w:t xml:space="preserve">[3]</w:t>
        </w:r>
      </w:hyperlink>
    </w:p>
    <w:p>
      <w:pPr>
        <w:spacing w:after="120" w:before="200"/>
      </w:pPr>
      <w:r>
        <w:rPr>
          <w:rFonts w:ascii="Calibri" w:cs="Calibri" w:eastAsia="Calibri" w:hAnsi="Calibri"/>
          <w:b/>
          <w:bCs/>
          <w:i/>
          <w:iCs/>
          <w:sz w:val="22"/>
          <w:szCs w:val="22"/>
        </w:rPr>
        <w:t xml:space="preserve">Objective assessment of power</w:t>
      </w:r>
    </w:p>
    <w:p>
      <w:pPr>
        <w:spacing w:after="160"/>
      </w:pPr>
      <w:r>
        <w:rPr>
          <w:rFonts w:ascii="Calibri" w:cs="Calibri" w:eastAsia="Calibri" w:hAnsi="Calibri"/>
          <w:b w:val="false"/>
          <w:bCs w:val="false"/>
          <w:i w:val="false"/>
          <w:iCs w:val="false"/>
          <w:sz w:val="22"/>
          <w:szCs w:val="22"/>
        </w:rPr>
        <w:t xml:space="preserve">The legal test focuses on whether the undertaking can act independently to a significant extent, not merely whether it is popular or innovative. A high-quality product can coexist with dominance if users lack meaningful alternatives.</w:t>
      </w:r>
      <w:hyperlink w:history="1" r:id="rIdpvdcy-xarkaj4p1hhckys">
        <w:r>
          <w:rPr>
            <w:rFonts w:ascii="Calibri" w:cs="Calibri" w:eastAsia="Calibri" w:hAnsi="Calibri"/>
            <w:color w:val="1F4E5F"/>
            <w:sz w:val="22"/>
            <w:szCs w:val="22"/>
            <w:u w:val="single"/>
          </w:rPr>
          <w:t xml:space="preserve">[1]</w:t>
        </w:r>
      </w:hyperlink>
      <w:hyperlink w:history="1" r:id="rId1mrixepwpyzjfeazpyomy">
        <w:r>
          <w:rPr>
            <w:rFonts w:ascii="Calibri" w:cs="Calibri" w:eastAsia="Calibri" w:hAnsi="Calibri"/>
            <w:color w:val="1F4E5F"/>
            <w:sz w:val="22"/>
            <w:szCs w:val="22"/>
            <w:u w:val="single"/>
          </w:rPr>
          <w:t xml:space="preserve">[2]</w:t>
        </w:r>
      </w:hyperlink>
    </w:p>
    <w:p>
      <w:pPr>
        <w:spacing w:after="120" w:before="200"/>
      </w:pPr>
      <w:r>
        <w:rPr>
          <w:rFonts w:ascii="Calibri" w:cs="Calibri" w:eastAsia="Calibri" w:hAnsi="Calibri"/>
          <w:b/>
          <w:bCs/>
          <w:i/>
          <w:iCs/>
          <w:sz w:val="22"/>
          <w:szCs w:val="22"/>
        </w:rPr>
        <w:t xml:space="preserve">Evidence mix</w:t>
      </w:r>
    </w:p>
    <w:p>
      <w:pPr>
        <w:spacing w:after="160"/>
      </w:pPr>
      <w:r>
        <w:rPr>
          <w:rFonts w:ascii="Calibri" w:cs="Calibri" w:eastAsia="Calibri" w:hAnsi="Calibri"/>
          <w:b w:val="false"/>
          <w:bCs w:val="false"/>
          <w:i w:val="false"/>
          <w:iCs w:val="false"/>
          <w:sz w:val="22"/>
          <w:szCs w:val="22"/>
        </w:rPr>
        <w:t xml:space="preserve">Authorities usually combine quantitative and qualitative evidence: shares, user metrics, advertiser dependence, traffic concentration, switching friction, internal documents, pricing or non-price strategies, and the structure of the platform.</w:t>
      </w:r>
      <w:hyperlink w:history="1" r:id="rIda9qacfiu7erqyyusikck5">
        <w:r>
          <w:rPr>
            <w:rFonts w:ascii="Calibri" w:cs="Calibri" w:eastAsia="Calibri" w:hAnsi="Calibri"/>
            <w:color w:val="1F4E5F"/>
            <w:sz w:val="22"/>
            <w:szCs w:val="22"/>
            <w:u w:val="single"/>
          </w:rPr>
          <w:t xml:space="preserve">[1]</w:t>
        </w:r>
      </w:hyperlink>
      <w:hyperlink w:history="1" r:id="rIdkvklgvojfcmmwkrepgeog">
        <w:r>
          <w:rPr>
            <w:rFonts w:ascii="Calibri" w:cs="Calibri" w:eastAsia="Calibri" w:hAnsi="Calibri"/>
            <w:color w:val="1F4E5F"/>
            <w:sz w:val="22"/>
            <w:szCs w:val="22"/>
            <w:u w:val="single"/>
          </w:rPr>
          <w:t xml:space="preserve">[2]</w:t>
        </w:r>
      </w:hyperlink>
    </w:p>
    <w:p>
      <w:pPr>
        <w:spacing w:after="120" w:before="200"/>
      </w:pPr>
      <w:r>
        <w:rPr>
          <w:rFonts w:ascii="Calibri" w:cs="Calibri" w:eastAsia="Calibri" w:hAnsi="Calibri"/>
          <w:b/>
          <w:bCs/>
          <w:i/>
          <w:iCs/>
          <w:sz w:val="22"/>
          <w:szCs w:val="22"/>
        </w:rPr>
        <w:t xml:space="preserve">Conduct-sensitive assessment</w:t>
      </w:r>
    </w:p>
    <w:p>
      <w:pPr>
        <w:spacing w:after="160"/>
      </w:pPr>
      <w:r>
        <w:rPr>
          <w:rFonts w:ascii="Calibri" w:cs="Calibri" w:eastAsia="Calibri" w:hAnsi="Calibri"/>
          <w:b w:val="false"/>
          <w:bCs w:val="false"/>
          <w:i w:val="false"/>
          <w:iCs w:val="false"/>
          <w:sz w:val="22"/>
          <w:szCs w:val="22"/>
        </w:rPr>
        <w:t xml:space="preserve">The Commission's current Article 102 materials indicate a structured approach: first assess market definition, then dominance, then whether the conduct departs from competition on the merits and is capable of exclusionary effects.</w:t>
      </w:r>
      <w:hyperlink w:history="1" r:id="rIdpvmykbnavxjgp6yazqnrn">
        <w:r>
          <w:rPr>
            <w:rFonts w:ascii="Calibri" w:cs="Calibri" w:eastAsia="Calibri" w:hAnsi="Calibri"/>
            <w:color w:val="1F4E5F"/>
            <w:sz w:val="22"/>
            <w:szCs w:val="22"/>
            <w:u w:val="single"/>
          </w:rPr>
          <w:t xml:space="preserve">[1]</w:t>
        </w:r>
      </w:hyperlink>
      <w:hyperlink w:history="1" r:id="rIdmjxt3sd3sdpf3urjteebl">
        <w:r>
          <w:rPr>
            <w:rFonts w:ascii="Calibri" w:cs="Calibri" w:eastAsia="Calibri" w:hAnsi="Calibri"/>
            <w:color w:val="1F4E5F"/>
            <w:sz w:val="22"/>
            <w:szCs w:val="22"/>
            <w:u w:val="single"/>
          </w:rPr>
          <w:t xml:space="preserve">[5]</w:t>
        </w:r>
      </w:hyperlink>
      <w:hyperlink w:history="1" r:id="rIdazbxyr12emk_fozozw6gw">
        <w:r>
          <w:rPr>
            <w:rFonts w:ascii="Calibri" w:cs="Calibri" w:eastAsia="Calibri" w:hAnsi="Calibri"/>
            <w:color w:val="1F4E5F"/>
            <w:sz w:val="22"/>
            <w:szCs w:val="22"/>
            <w:u w:val="single"/>
          </w:rPr>
          <w:t xml:space="preserve">[6]</w:t>
        </w:r>
      </w:hyperlink>
    </w:p>
    <w:p>
      <w:pPr>
        <w:spacing w:after="120" w:before="200"/>
      </w:pPr>
      <w:r>
        <w:rPr>
          <w:rFonts w:ascii="Calibri" w:cs="Calibri" w:eastAsia="Calibri" w:hAnsi="Calibri"/>
          <w:b/>
          <w:bCs/>
          <w:i/>
          <w:iCs/>
          <w:sz w:val="22"/>
          <w:szCs w:val="22"/>
        </w:rPr>
        <w:t xml:space="preserve">4. Special considerations in financial markets and ad-funded digital platforms</w:t>
      </w:r>
    </w:p>
    <w:p>
      <w:pPr>
        <w:spacing w:after="120" w:before="200"/>
      </w:pPr>
      <w:r>
        <w:rPr>
          <w:rFonts w:ascii="Calibri" w:cs="Calibri" w:eastAsia="Calibri" w:hAnsi="Calibri"/>
          <w:b/>
          <w:bCs/>
          <w:i/>
          <w:iCs/>
          <w:sz w:val="22"/>
          <w:szCs w:val="22"/>
        </w:rPr>
        <w:t xml:space="preserve">Zero-price services</w:t>
      </w:r>
    </w:p>
    <w:p>
      <w:pPr>
        <w:spacing w:after="160"/>
      </w:pPr>
      <w:r>
        <w:rPr>
          <w:rFonts w:ascii="Calibri" w:cs="Calibri" w:eastAsia="Calibri" w:hAnsi="Calibri"/>
          <w:b w:val="false"/>
          <w:bCs w:val="false"/>
          <w:i w:val="false"/>
          <w:iCs w:val="false"/>
          <w:sz w:val="22"/>
          <w:szCs w:val="22"/>
        </w:rPr>
        <w:t xml:space="preserve">When users pay no money, dominance analysis should shift from price to quality, privacy, data extraction, advertising load, interoperability, and service degradation.</w:t>
      </w:r>
      <w:hyperlink w:history="1" r:id="rIdjayvzfjzb-s9vu1vobrlg">
        <w:r>
          <w:rPr>
            <w:rFonts w:ascii="Calibri" w:cs="Calibri" w:eastAsia="Calibri" w:hAnsi="Calibri"/>
            <w:color w:val="1F4E5F"/>
            <w:sz w:val="22"/>
            <w:szCs w:val="22"/>
            <w:u w:val="single"/>
          </w:rPr>
          <w:t xml:space="preserve">[3]</w:t>
        </w:r>
      </w:hyperlink>
      <w:hyperlink w:history="1" r:id="rIdrryniyvvugskwz-tr8eka">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Attention markets and advertising intermediation</w:t>
      </w:r>
    </w:p>
    <w:p>
      <w:pPr>
        <w:spacing w:after="160"/>
      </w:pPr>
      <w:r>
        <w:rPr>
          <w:rFonts w:ascii="Calibri" w:cs="Calibri" w:eastAsia="Calibri" w:hAnsi="Calibri"/>
          <w:b w:val="false"/>
          <w:bCs w:val="false"/>
          <w:i w:val="false"/>
          <w:iCs w:val="false"/>
          <w:sz w:val="22"/>
          <w:szCs w:val="22"/>
        </w:rPr>
        <w:t xml:space="preserve">Digital advertising can be a separate relevant market or a chain of connected markets. A platform may be dominant because it controls user attention, measurement data, or ad inventory even where the consumer-facing service is free.</w:t>
      </w:r>
      <w:hyperlink w:history="1" r:id="rId6lxzzkx9mpwtznz0ebus3">
        <w:r>
          <w:rPr>
            <w:rFonts w:ascii="Calibri" w:cs="Calibri" w:eastAsia="Calibri" w:hAnsi="Calibri"/>
            <w:color w:val="1F4E5F"/>
            <w:sz w:val="22"/>
            <w:szCs w:val="22"/>
            <w:u w:val="single"/>
          </w:rPr>
          <w:t xml:space="preserve">[3]</w:t>
        </w:r>
      </w:hyperlink>
      <w:hyperlink w:history="1" r:id="rIddcqz2n002ni2bq2r9ubme">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Multi-homing and single-homing</w:t>
      </w:r>
    </w:p>
    <w:p>
      <w:pPr>
        <w:spacing w:after="160"/>
      </w:pPr>
      <w:r>
        <w:rPr>
          <w:rFonts w:ascii="Calibri" w:cs="Calibri" w:eastAsia="Calibri" w:hAnsi="Calibri"/>
          <w:b w:val="false"/>
          <w:bCs w:val="false"/>
          <w:i w:val="false"/>
          <w:iCs w:val="false"/>
          <w:sz w:val="22"/>
          <w:szCs w:val="22"/>
        </w:rPr>
        <w:t xml:space="preserve">If users or advertisers routinely use several services at once, dominance may be weaker; if they single-home because of default placement, network effects, or exclusive integrations, dominance may be stronger.</w:t>
      </w:r>
      <w:hyperlink w:history="1" r:id="rIdjsbqmb07xyk3bib9d26em">
        <w:r>
          <w:rPr>
            <w:rFonts w:ascii="Calibri" w:cs="Calibri" w:eastAsia="Calibri" w:hAnsi="Calibri"/>
            <w:color w:val="1F4E5F"/>
            <w:sz w:val="22"/>
            <w:szCs w:val="22"/>
            <w:u w:val="single"/>
          </w:rPr>
          <w:t xml:space="preserve">[3]</w:t>
        </w:r>
      </w:hyperlink>
      <w:hyperlink w:history="1" r:id="rId2cxjpcng6ukb5o--0und4">
        <w:r>
          <w:rPr>
            <w:rFonts w:ascii="Calibri" w:cs="Calibri" w:eastAsia="Calibri" w:hAnsi="Calibri"/>
            <w:color w:val="1F4E5F"/>
            <w:sz w:val="22"/>
            <w:szCs w:val="22"/>
            <w:u w:val="single"/>
          </w:rPr>
          <w:t xml:space="preserve">[4]</w:t>
        </w:r>
      </w:hyperlink>
    </w:p>
    <w:p>
      <w:pPr>
        <w:spacing w:after="120" w:before="200"/>
      </w:pPr>
      <w:r>
        <w:rPr>
          <w:rFonts w:ascii="Calibri" w:cs="Calibri" w:eastAsia="Calibri" w:hAnsi="Calibri"/>
          <w:b/>
          <w:bCs/>
          <w:i/>
          <w:iCs/>
          <w:sz w:val="22"/>
          <w:szCs w:val="22"/>
        </w:rPr>
        <w:t xml:space="preserve">Financial-market style infrastructure effects</w:t>
      </w:r>
    </w:p>
    <w:p>
      <w:pPr>
        <w:spacing w:after="160"/>
      </w:pPr>
      <w:r>
        <w:rPr>
          <w:rFonts w:ascii="Calibri" w:cs="Calibri" w:eastAsia="Calibri" w:hAnsi="Calibri"/>
          <w:b w:val="false"/>
          <w:bCs w:val="false"/>
          <w:i w:val="false"/>
          <w:iCs w:val="false"/>
          <w:sz w:val="22"/>
          <w:szCs w:val="22"/>
        </w:rPr>
        <w:t xml:space="preserve">Where a digital platform functions like infrastructure for payments, identity, trading, or data routing, the analysis often resembles essential-bottleneck reasoning: the more indispensable the interface, the stronger the dominance case.</w:t>
      </w:r>
      <w:hyperlink w:history="1" r:id="rId_gzqsifhpd466b-a9hlei">
        <w:r>
          <w:rPr>
            <w:rFonts w:ascii="Calibri" w:cs="Calibri" w:eastAsia="Calibri" w:hAnsi="Calibri"/>
            <w:color w:val="1F4E5F"/>
            <w:sz w:val="22"/>
            <w:szCs w:val="22"/>
            <w:u w:val="single"/>
          </w:rPr>
          <w:t xml:space="preserve">[1]</w:t>
        </w:r>
      </w:hyperlink>
      <w:hyperlink w:history="1" r:id="rIdgkiqibja1uxmmg6qell3k">
        <w:r>
          <w:rPr>
            <w:rFonts w:ascii="Calibri" w:cs="Calibri" w:eastAsia="Calibri" w:hAnsi="Calibri"/>
            <w:color w:val="1F4E5F"/>
            <w:sz w:val="22"/>
            <w:szCs w:val="22"/>
            <w:u w:val="single"/>
          </w:rPr>
          <w:t xml:space="preserve">[2]</w:t>
        </w:r>
      </w:hyperlink>
    </w:p>
    <w:p>
      <w:pPr>
        <w:spacing w:after="120" w:before="200"/>
      </w:pPr>
      <w:r>
        <w:rPr>
          <w:rFonts w:ascii="Calibri" w:cs="Calibri" w:eastAsia="Calibri" w:hAnsi="Calibri"/>
          <w:b/>
          <w:bCs/>
          <w:i/>
          <w:iCs/>
          <w:sz w:val="22"/>
          <w:szCs w:val="22"/>
        </w:rPr>
        <w:t xml:space="preserve">5. Practical assessment sequence</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Define the product and geographic market, including non-price dimensions.</w:t>
      </w:r>
      <w:hyperlink w:history="1" r:id="rIdtscgwf0yzujfxitjtzss9">
        <w:r>
          <w:rPr>
            <w:rFonts w:ascii="Calibri" w:cs="Calibri" w:eastAsia="Calibri" w:hAnsi="Calibri"/>
            <w:color w:val="1F4E5F"/>
            <w:sz w:val="22"/>
            <w:szCs w:val="22"/>
            <w:u w:val="single"/>
          </w:rPr>
          <w:t xml:space="preserve">[1]</w:t>
        </w:r>
      </w:hyperlink>
      <w:hyperlink w:history="1" r:id="rIdg7ywsyfhtzkjs6qmdrhli">
        <w:r>
          <w:rPr>
            <w:rFonts w:ascii="Calibri" w:cs="Calibri" w:eastAsia="Calibri" w:hAnsi="Calibri"/>
            <w:color w:val="1F4E5F"/>
            <w:sz w:val="22"/>
            <w:szCs w:val="22"/>
            <w:u w:val="single"/>
          </w:rPr>
          <w:t xml:space="preserve">[3]</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Identify whether the service is single-sided or multi-sided.</w:t>
      </w:r>
      <w:hyperlink w:history="1" r:id="rIdtwe_rfnjyj1rwu-y16wjw">
        <w:r>
          <w:rPr>
            <w:rFonts w:ascii="Calibri" w:cs="Calibri" w:eastAsia="Calibri" w:hAnsi="Calibri"/>
            <w:color w:val="1F4E5F"/>
            <w:sz w:val="22"/>
            <w:szCs w:val="22"/>
            <w:u w:val="single"/>
          </w:rPr>
          <w:t xml:space="preserve">[3]</w:t>
        </w:r>
      </w:hyperlink>
      <w:hyperlink w:history="1" r:id="rIdurpcbl86njt42fcmzykxh">
        <w:r>
          <w:rPr>
            <w:rFonts w:ascii="Calibri" w:cs="Calibri" w:eastAsia="Calibri" w:hAnsi="Calibri"/>
            <w:color w:val="1F4E5F"/>
            <w:sz w:val="22"/>
            <w:szCs w:val="22"/>
            <w:u w:val="single"/>
          </w:rPr>
          <w:t xml:space="preserve">[4]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Measure shares, usage, and concentration over time.</w:t>
      </w:r>
      <w:hyperlink w:history="1" r:id="rIdwnvp6kqzceoed151hmiah">
        <w:r>
          <w:rPr>
            <w:rFonts w:ascii="Calibri" w:cs="Calibri" w:eastAsia="Calibri" w:hAnsi="Calibri"/>
            <w:color w:val="1F4E5F"/>
            <w:sz w:val="22"/>
            <w:szCs w:val="22"/>
            <w:u w:val="single"/>
          </w:rPr>
          <w:t xml:space="preserve">[1]</w:t>
        </w:r>
      </w:hyperlink>
      <w:hyperlink w:history="1" r:id="rIdak37thl2qbafn74axzive">
        <w:r>
          <w:rPr>
            <w:rFonts w:ascii="Calibri" w:cs="Calibri" w:eastAsia="Calibri" w:hAnsi="Calibri"/>
            <w:color w:val="1F4E5F"/>
            <w:sz w:val="22"/>
            <w:szCs w:val="22"/>
            <w:u w:val="single"/>
          </w:rPr>
          <w:t xml:space="preserve">[2]</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Test network effects, switching costs, and data advantages.</w:t>
      </w:r>
      <w:hyperlink w:history="1" r:id="rIdm-dwplwuaudbttnqiy9id">
        <w:r>
          <w:rPr>
            <w:rFonts w:ascii="Calibri" w:cs="Calibri" w:eastAsia="Calibri" w:hAnsi="Calibri"/>
            <w:color w:val="1F4E5F"/>
            <w:sz w:val="22"/>
            <w:szCs w:val="22"/>
            <w:u w:val="single"/>
          </w:rPr>
          <w:t xml:space="preserve">[3]</w:t>
        </w:r>
      </w:hyperlink>
      <w:hyperlink w:history="1" r:id="rIdni8txmta0ytb35x5yhu05">
        <w:r>
          <w:rPr>
            <w:rFonts w:ascii="Calibri" w:cs="Calibri" w:eastAsia="Calibri" w:hAnsi="Calibri"/>
            <w:color w:val="1F4E5F"/>
            <w:sz w:val="22"/>
            <w:szCs w:val="22"/>
            <w:u w:val="single"/>
          </w:rPr>
          <w:t xml:space="preserve">[4]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Examine entry barriers, scalability, and ecosystem control.</w:t>
      </w:r>
      <w:hyperlink w:history="1" r:id="rId6mabe1wxikb3uquk-swbh">
        <w:r>
          <w:rPr>
            <w:rFonts w:ascii="Calibri" w:cs="Calibri" w:eastAsia="Calibri" w:hAnsi="Calibri"/>
            <w:color w:val="1F4E5F"/>
            <w:sz w:val="22"/>
            <w:szCs w:val="22"/>
            <w:u w:val="single"/>
          </w:rPr>
          <w:t xml:space="preserve">[1]</w:t>
        </w:r>
      </w:hyperlink>
      <w:hyperlink w:history="1" r:id="rIdsip62jgcj_x1an7gqazhd">
        <w:r>
          <w:rPr>
            <w:rFonts w:ascii="Calibri" w:cs="Calibri" w:eastAsia="Calibri" w:hAnsi="Calibri"/>
            <w:color w:val="1F4E5F"/>
            <w:sz w:val="22"/>
            <w:szCs w:val="22"/>
            <w:u w:val="single"/>
          </w:rPr>
          <w:t xml:space="preserve">[2]</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Check whether power is durable or contestable.</w:t>
      </w:r>
      <w:hyperlink w:history="1" r:id="rIdzowugqblbzbs9oxq5aro2">
        <w:r>
          <w:rPr>
            <w:rFonts w:ascii="Calibri" w:cs="Calibri" w:eastAsia="Calibri" w:hAnsi="Calibri"/>
            <w:color w:val="1F4E5F"/>
            <w:sz w:val="22"/>
            <w:szCs w:val="22"/>
            <w:u w:val="single"/>
          </w:rPr>
          <w:t xml:space="preserve">[1]</w:t>
        </w:r>
      </w:hyperlink>
      <w:hyperlink w:history="1" r:id="rIdwb7_h8ylwtj0y8zsoxyj7">
        <w:r>
          <w:rPr>
            <w:rFonts w:ascii="Calibri" w:cs="Calibri" w:eastAsia="Calibri" w:hAnsi="Calibri"/>
            <w:color w:val="1F4E5F"/>
            <w:sz w:val="22"/>
            <w:szCs w:val="22"/>
            <w:u w:val="single"/>
          </w:rPr>
          <w:t xml:space="preserve">[3]</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Assess whether any observed position is reinforced by defaults, bundling, self-preferencing, or control of bottlenecks.</w:t>
      </w:r>
      <w:hyperlink w:history="1" r:id="rIdvsfkq8swza9ymydiriiel">
        <w:r>
          <w:rPr>
            <w:rFonts w:ascii="Calibri" w:cs="Calibri" w:eastAsia="Calibri" w:hAnsi="Calibri"/>
            <w:color w:val="1F4E5F"/>
            <w:sz w:val="22"/>
            <w:szCs w:val="22"/>
            <w:u w:val="single"/>
          </w:rPr>
          <w:t xml:space="preserve">[1]</w:t>
        </w:r>
      </w:hyperlink>
      <w:hyperlink w:history="1" r:id="rIdyojdbooutlbknue1futqa">
        <w:r>
          <w:rPr>
            <w:rFonts w:ascii="Calibri" w:cs="Calibri" w:eastAsia="Calibri" w:hAnsi="Calibri"/>
            <w:color w:val="1F4E5F"/>
            <w:sz w:val="22"/>
            <w:szCs w:val="22"/>
            <w:u w:val="single"/>
          </w:rPr>
          <w:t xml:space="preserve">[2]</w:t>
        </w:r>
      </w:hyperlink>
      <w:hyperlink w:history="1" r:id="rId_yuwz4ev-qwtwfx1xnlix">
        <w:r>
          <w:rPr>
            <w:rFonts w:ascii="Calibri" w:cs="Calibri" w:eastAsia="Calibri" w:hAnsi="Calibri"/>
            <w:color w:val="1F4E5F"/>
            <w:sz w:val="22"/>
            <w:szCs w:val="22"/>
            <w:u w:val="single"/>
          </w:rPr>
          <w:t xml:space="preserve">[3]</w:t>
        </w:r>
      </w:hyperlink>
    </w:p>
    <w:p>
      <w:pPr>
        <w:spacing w:after="120" w:before="200"/>
      </w:pPr>
      <w:r>
        <w:rPr>
          <w:rFonts w:ascii="Calibri" w:cs="Calibri" w:eastAsia="Calibri" w:hAnsi="Calibri"/>
          <w:b/>
          <w:bCs/>
          <w:i/>
          <w:iCs/>
          <w:sz w:val="22"/>
          <w:szCs w:val="22"/>
        </w:rPr>
        <w:t xml:space="preserve">6. Further reading and official materials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EU Commission Article 102 page</w:t>
      </w:r>
      <w:hyperlink w:history="1" r:id="rId_5byamftltdka0ma0abht">
        <w:r>
          <w:rPr>
            <w:rFonts w:ascii="Calibri" w:cs="Calibri" w:eastAsia="Calibri" w:hAnsi="Calibri"/>
            <w:color w:val="1F4E5F"/>
            <w:sz w:val="22"/>
            <w:szCs w:val="22"/>
            <w:u w:val="single"/>
          </w:rPr>
          <w:t xml:space="preserve">[1]</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 Commission Article 102 procedures</w:t>
      </w:r>
      <w:hyperlink w:history="1" r:id="rIdg_qqa29se4wwws-cxzdkt">
        <w:r>
          <w:rPr>
            <w:rFonts w:ascii="Calibri" w:cs="Calibri" w:eastAsia="Calibri" w:hAnsi="Calibri"/>
            <w:color w:val="1F4E5F"/>
            <w:sz w:val="22"/>
            <w:szCs w:val="22"/>
            <w:u w:val="single"/>
          </w:rPr>
          <w:t xml:space="preserve">[2]</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 Commission draft Article 102 guidelines materials</w:t>
      </w:r>
      <w:hyperlink w:history="1" r:id="rIdrp8i6utot3fhncbsytyfu">
        <w:r>
          <w:rPr>
            <w:rFonts w:ascii="Calibri" w:cs="Calibri" w:eastAsia="Calibri" w:hAnsi="Calibri"/>
            <w:color w:val="1F4E5F"/>
            <w:sz w:val="22"/>
            <w:szCs w:val="22"/>
            <w:u w:val="single"/>
          </w:rPr>
          <w:t xml:space="preserve">[5]</w:t>
        </w:r>
      </w:hyperlink>
      <w:hyperlink w:history="1" r:id="rIdai2vznwi3gtcppfwf0l7l">
        <w:r>
          <w:rPr>
            <w:rFonts w:ascii="Calibri" w:cs="Calibri" w:eastAsia="Calibri" w:hAnsi="Calibri"/>
            <w:color w:val="1F4E5F"/>
            <w:sz w:val="22"/>
            <w:szCs w:val="22"/>
            <w:u w:val="single"/>
          </w:rPr>
          <w:t xml:space="preserve">[6]</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 Digital Markets Act overview</w:t>
      </w:r>
      <w:hyperlink w:history="1" r:id="rIdvn5m6vnotgkux4djsx4kp">
        <w:r>
          <w:rPr>
            <w:rFonts w:ascii="Calibri" w:cs="Calibri" w:eastAsia="Calibri" w:hAnsi="Calibri"/>
            <w:color w:val="1F4E5F"/>
            <w:sz w:val="22"/>
            <w:szCs w:val="22"/>
            <w:u w:val="single"/>
          </w:rPr>
          <w:t xml:space="preserve">[3]</w:t>
        </w:r>
      </w:hyperlink>
      <w:hyperlink w:history="1" r:id="rIdxxnaxif5ztu4rurtrabmf">
        <w:r>
          <w:rPr>
            <w:rFonts w:ascii="Calibri" w:cs="Calibri" w:eastAsia="Calibri" w:hAnsi="Calibri"/>
            <w:color w:val="1F4E5F"/>
            <w:sz w:val="22"/>
            <w:szCs w:val="22"/>
            <w:u w:val="single"/>
          </w:rPr>
          <w:t xml:space="preserve">[7]</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competition policy and digital markets materials</w:t>
      </w:r>
      <w:hyperlink w:history="1" r:id="rId8bthj_gkvscxudyt4-rhz">
        <w:r>
          <w:rPr>
            <w:rFonts w:ascii="Calibri" w:cs="Calibri" w:eastAsia="Calibri" w:hAnsi="Calibri"/>
            <w:color w:val="1F4E5F"/>
            <w:sz w:val="22"/>
            <w:szCs w:val="22"/>
            <w:u w:val="single"/>
          </w:rPr>
          <w:t xml:space="preserve">[3]</w:t>
        </w:r>
      </w:hyperlink>
      <w:hyperlink w:history="1" r:id="rIdsaryepdwy7q0oisimz7vi">
        <w:r>
          <w:rPr>
            <w:rFonts w:ascii="Calibri" w:cs="Calibri" w:eastAsia="Calibri" w:hAnsi="Calibri"/>
            <w:color w:val="1F4E5F"/>
            <w:sz w:val="22"/>
            <w:szCs w:val="22"/>
            <w:u w:val="single"/>
          </w:rPr>
          <w:t xml:space="preserve">[8]</w:t>
        </w:r>
      </w:hyperlink>
    </w:p>
    <w:p>
      <w:pPr>
        <w:spacing w:after="120" w:before="200"/>
      </w:pPr>
      <w:r>
        <w:rPr>
          <w:rFonts w:ascii="Calibri" w:cs="Calibri" w:eastAsia="Calibri" w:hAnsi="Calibri"/>
          <w:b/>
          <w:bCs/>
          <w:i/>
          <w:iCs/>
          <w:sz w:val="22"/>
          <w:szCs w:val="22"/>
        </w:rPr>
        <w:t xml:space="preserve">7. Keywords for further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Article 102 TFEU</w:t>
      </w:r>
      <w:hyperlink w:history="1" r:id="rIdw8hl1tboheynnc4nq3zd1">
        <w:r>
          <w:rPr>
            <w:rFonts w:ascii="Calibri" w:cs="Calibri" w:eastAsia="Calibri" w:hAnsi="Calibri"/>
            <w:color w:val="1F4E5F"/>
            <w:sz w:val="22"/>
            <w:szCs w:val="22"/>
            <w:u w:val="single"/>
          </w:rPr>
          <w:t xml:space="preserve">[1]</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Relevant market</w:t>
      </w:r>
      <w:hyperlink w:history="1" r:id="rIdxnulzqy5hsbredxq5bodq">
        <w:r>
          <w:rPr>
            <w:rFonts w:ascii="Calibri" w:cs="Calibri" w:eastAsia="Calibri" w:hAnsi="Calibri"/>
            <w:color w:val="1F4E5F"/>
            <w:sz w:val="22"/>
            <w:szCs w:val="22"/>
            <w:u w:val="single"/>
          </w:rPr>
          <w:t xml:space="preserve">[9]</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Network effects</w:t>
      </w:r>
      <w:hyperlink w:history="1" r:id="rIdexhmhsoclli59xgy7yzgm">
        <w:r>
          <w:rPr>
            <w:rFonts w:ascii="Calibri" w:cs="Calibri" w:eastAsia="Calibri" w:hAnsi="Calibri"/>
            <w:color w:val="1F4E5F"/>
            <w:sz w:val="22"/>
            <w:szCs w:val="22"/>
            <w:u w:val="single"/>
          </w:rPr>
          <w:t xml:space="preserve">[10]</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Multi-sided platform</w:t>
      </w:r>
      <w:hyperlink w:history="1" r:id="rIdvenhgycvpv-oqd3ygycho">
        <w:r>
          <w:rPr>
            <w:rFonts w:ascii="Calibri" w:cs="Calibri" w:eastAsia="Calibri" w:hAnsi="Calibri"/>
            <w:color w:val="1F4E5F"/>
            <w:sz w:val="22"/>
            <w:szCs w:val="22"/>
            <w:u w:val="single"/>
          </w:rPr>
          <w:t xml:space="preserve">[11]</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Switching costs</w:t>
      </w:r>
      <w:hyperlink w:history="1" r:id="rIdurmkhufvu1msqv0jv1kei">
        <w:r>
          <w:rPr>
            <w:rFonts w:ascii="Calibri" w:cs="Calibri" w:eastAsia="Calibri" w:hAnsi="Calibri"/>
            <w:color w:val="1F4E5F"/>
            <w:sz w:val="22"/>
            <w:szCs w:val="22"/>
            <w:u w:val="single"/>
          </w:rPr>
          <w:t xml:space="preserve">[12]</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Gatekeeper</w:t>
      </w:r>
      <w:hyperlink w:history="1" r:id="rId74y3qypxyayboljvpkf0u">
        <w:r>
          <w:rPr>
            <w:rFonts w:ascii="Calibri" w:cs="Calibri" w:eastAsia="Calibri" w:hAnsi="Calibri"/>
            <w:color w:val="1F4E5F"/>
            <w:sz w:val="22"/>
            <w:szCs w:val="22"/>
            <w:u w:val="single"/>
          </w:rPr>
          <w:t xml:space="preserve">[13]</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Data advantage</w:t>
      </w:r>
      <w:hyperlink w:history="1" r:id="rId5cu45eqexzki-dfydhgzz">
        <w:r>
          <w:rPr>
            <w:rFonts w:ascii="Calibri" w:cs="Calibri" w:eastAsia="Calibri" w:hAnsi="Calibri"/>
            <w:color w:val="1F4E5F"/>
            <w:sz w:val="22"/>
            <w:szCs w:val="22"/>
            <w:u w:val="single"/>
          </w:rPr>
          <w:t xml:space="preserve">[3]</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Competition on the merits</w:t>
      </w:r>
      <w:hyperlink w:history="1" r:id="rIdymz53_b6cxaogwu0mus1c">
        <w:r>
          <w:rPr>
            <w:rFonts w:ascii="Calibri" w:cs="Calibri" w:eastAsia="Calibri" w:hAnsi="Calibri"/>
            <w:color w:val="1F4E5F"/>
            <w:sz w:val="22"/>
            <w:szCs w:val="22"/>
            <w:u w:val="single"/>
          </w:rPr>
          <w:t xml:space="preserve">[1]</w:t>
        </w:r>
      </w:hyperlink>
    </w:p>
    <w:p>
      <w:pPr>
        <w:spacing w:after="120" w:before="200"/>
      </w:pPr>
      <w:r>
        <w:rPr>
          <w:rFonts w:ascii="Calibri" w:cs="Calibri" w:eastAsia="Calibri" w:hAnsi="Calibri"/>
          <w:b/>
          <w:bCs/>
          <w:i/>
          <w:iCs/>
          <w:sz w:val="22"/>
          <w:szCs w:val="22"/>
        </w:rPr>
        <w:t xml:space="preserve">Example Case:</w:t>
      </w:r>
    </w:p>
    <w:p>
      <w:pPr>
        <w:spacing w:after="120"/>
      </w:pPr>
      <w:r>
        <w:rPr>
          <w:rFonts w:ascii="Calibri" w:cs="Calibri" w:eastAsia="Calibri" w:hAnsi="Calibri"/>
          <w:i w:val="false"/>
          <w:iCs w:val="false"/>
          <w:sz w:val="22"/>
          <w:szCs w:val="22"/>
        </w:rPr>
        <w:t xml:space="preserve">Here are relevant cases worth your time based on your search query.</w:t>
      </w:r>
    </w:p>
    <w:p>
      <w:pPr>
        <w:spacing w:after="160"/>
      </w:pPr>
      <w:r>
        <w:rPr>
          <w:rFonts w:ascii="Calibri" w:cs="Calibri" w:eastAsia="Calibri" w:hAnsi="Calibri"/>
          <w:b/>
          <w:bCs/>
          <w:i w:val="false"/>
          <w:iCs w:val="false"/>
          <w:sz w:val="22"/>
          <w:szCs w:val="22"/>
        </w:rPr>
        <w:t xml:space="preserve">Google Search (Shopping) - AT.39740 - Google Inc. and Alphabet Inc.</w:t>
      </w:r>
    </w:p>
    <w:p>
      <w:pPr>
        <w:spacing w:after="120" w:before="200"/>
      </w:pPr>
      <w:r>
        <w:rPr>
          <w:rFonts w:ascii="Calibri" w:cs="Calibri" w:eastAsia="Calibri" w:hAnsi="Calibri"/>
          <w:b/>
          <w:bCs/>
          <w:i/>
          <w:iCs/>
          <w:sz w:val="22"/>
          <w:szCs w:val="22"/>
        </w:rPr>
        <w:t xml:space="preserve">Case Background</w:t>
      </w:r>
    </w:p>
    <w:p>
      <w:pPr>
        <w:spacing w:after="160"/>
      </w:pPr>
      <w:r>
        <w:rPr>
          <w:rFonts w:ascii="Calibri" w:cs="Calibri" w:eastAsia="Calibri" w:hAnsi="Calibri"/>
          <w:b w:val="false"/>
          <w:bCs w:val="false"/>
          <w:i w:val="false"/>
          <w:iCs w:val="false"/>
          <w:sz w:val="22"/>
          <w:szCs w:val="22"/>
        </w:rPr>
        <w:t xml:space="preserve">The allegation made in this case is that Google engaged in conduct that resulted in the infringement of competition rules by favoring its own comparison shopping service over competing services in its general search results pages.</w:t>
      </w:r>
      <w:hyperlink w:history="1" r:id="rIdlvdo8jvwhpjjh1avu2m7i">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The companies involved in this case are Google Inc. and its parent company, Alphabet Inc.</w:t>
      </w:r>
      <w:hyperlink w:history="1" r:id="rId4ckosl-jpstlg04yfdnuj">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The year of case initiation was 2010, with proceedings formally initiated by the Commission on 30 November 2010.</w:t>
      </w:r>
      <w:hyperlink w:history="1" r:id="rIdovugmdrhhnwpocg4wzw_u">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The violation pertains to Article 102 of the Treaty and Article 54 of the EEA Agreement, which prohibits the abuse of a dominant market position. This was conducted by Google through the preferential positioning and display of its own comparison shopping service, which disadvantaged competing services and distorted competition in the market.</w:t>
      </w:r>
      <w:hyperlink w:history="1" r:id="rIdresncrk4gh6vi3qsbtrj9">
        <w:r>
          <w:rPr>
            <w:rFonts w:ascii="Calibri" w:cs="Calibri" w:eastAsia="Calibri" w:hAnsi="Calibri"/>
            <w:color w:val="1F4E5F"/>
            <w:sz w:val="22"/>
            <w:szCs w:val="22"/>
            <w:u w:val="single"/>
          </w:rPr>
          <w:t xml:space="preserve">[14]</w:t>
        </w:r>
      </w:hyperlink>
    </w:p>
    <w:p>
      <w:pPr>
        <w:spacing w:after="120" w:before="200"/>
      </w:pPr>
      <w:r>
        <w:rPr>
          <w:rFonts w:ascii="Calibri" w:cs="Calibri" w:eastAsia="Calibri" w:hAnsi="Calibri"/>
          <w:b/>
          <w:bCs/>
          <w:i/>
          <w:iCs/>
          <w:sz w:val="22"/>
          <w:szCs w:val="22"/>
        </w:rPr>
        <w:t xml:space="preserve">Case Progression</w:t>
      </w:r>
    </w:p>
    <w:p>
      <w:pPr>
        <w:pStyle w:val="ListParagraph"/>
        <w:numPr>
          <w:ilvl w:val="0"/>
          <w:numId w:val="1"/>
        </w:numPr>
        <w:spacing w:after="100"/>
      </w:pPr>
      <w:r>
        <w:rPr>
          <w:rFonts w:ascii="Calibri" w:cs="Calibri" w:eastAsia="Calibri" w:hAnsi="Calibri"/>
          <w:b/>
          <w:bCs/>
          <w:sz w:val="22"/>
          <w:szCs w:val="22"/>
        </w:rPr>
        <w:t xml:space="preserve">Case Initiation: </w:t>
      </w:r>
      <w:r>
        <w:rPr>
          <w:rFonts w:ascii="Calibri" w:cs="Calibri" w:eastAsia="Calibri" w:hAnsi="Calibri"/>
          <w:b w:val="false"/>
          <w:bCs w:val="false"/>
          <w:i w:val="false"/>
          <w:iCs w:val="false"/>
          <w:sz w:val="22"/>
          <w:szCs w:val="22"/>
        </w:rPr>
        <w:t xml:space="preserve">The case was initiated by the European Commission against Google regarding its comparison shopping service, identified as AT.39740. This marked the beginning of the antitrust procedure under Article 102 of the Treaty on the Functioning of the European Union.</w:t>
      </w:r>
      <w:hyperlink w:history="1" r:id="rIddrp3n_oh25qzzkc-j7umr">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bCs/>
          <w:sz w:val="22"/>
          <w:szCs w:val="22"/>
        </w:rPr>
        <w:t xml:space="preserve">Preliminary Investigation: </w:t>
      </w:r>
      <w:r>
        <w:rPr>
          <w:rFonts w:ascii="Calibri" w:cs="Calibri" w:eastAsia="Calibri" w:hAnsi="Calibri"/>
          <w:b w:val="false"/>
          <w:bCs w:val="false"/>
          <w:i w:val="false"/>
          <w:iCs w:val="false"/>
          <w:sz w:val="22"/>
          <w:szCs w:val="22"/>
        </w:rPr>
        <w:t xml:space="preserve">The Commission conducted a thorough preliminary investigation, which included assessing whether there was sufficient evidence of anti-competitive behavior. This phase led to the conclusion that there was enough evidence to proceed, as Google's conduct was found to potentially infringe competition laws.</w:t>
      </w:r>
      <w:hyperlink w:history="1" r:id="rIdyuqq8_bjssix4f5klhxh_">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bCs/>
          <w:sz w:val="22"/>
          <w:szCs w:val="22"/>
        </w:rPr>
        <w:t xml:space="preserve">Statement of Objections issued: </w:t>
      </w:r>
      <w:r>
        <w:rPr>
          <w:rFonts w:ascii="Calibri" w:cs="Calibri" w:eastAsia="Calibri" w:hAnsi="Calibri"/>
          <w:b w:val="false"/>
          <w:bCs w:val="false"/>
          <w:i w:val="false"/>
          <w:iCs w:val="false"/>
          <w:sz w:val="22"/>
          <w:szCs w:val="22"/>
        </w:rPr>
        <w:t xml:space="preserve">Following the preliminary investigation, a Statement of Objections (SO) was issued, detailing the Commission's findings regarding Google's preferential treatment of its own comparison shopping service over competitors. This document outlined the alleged infringement and the evidence supporting these claims.</w:t>
      </w:r>
      <w:hyperlink w:history="1" r:id="rIdqo2nmsm65p7p6rokpv0dd">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bCs/>
          <w:sz w:val="22"/>
          <w:szCs w:val="22"/>
        </w:rPr>
        <w:t xml:space="preserve">Defense Phase: </w:t>
      </w:r>
      <w:r>
        <w:rPr>
          <w:rFonts w:ascii="Calibri" w:cs="Calibri" w:eastAsia="Calibri" w:hAnsi="Calibri"/>
          <w:b w:val="false"/>
          <w:bCs w:val="false"/>
          <w:i w:val="false"/>
          <w:iCs w:val="false"/>
          <w:sz w:val="22"/>
          <w:szCs w:val="22"/>
        </w:rPr>
        <w:t xml:space="preserve">Google was given the opportunity to respond to the SO, which included a written response and an oral hearing. Google argued that the Commission's evidence was outdated and insufficient, but the Commission maintained that its findings were based on robust data, including internal documents and user surveys.</w:t>
      </w:r>
      <w:hyperlink w:history="1" r:id="rIdudqxsu5dan6mqy9jjz4_p">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bCs/>
          <w:sz w:val="22"/>
          <w:szCs w:val="22"/>
        </w:rPr>
        <w:t xml:space="preserve">Commission Decision: </w:t>
      </w:r>
      <w:r>
        <w:rPr>
          <w:rFonts w:ascii="Calibri" w:cs="Calibri" w:eastAsia="Calibri" w:hAnsi="Calibri"/>
          <w:b w:val="false"/>
          <w:bCs w:val="false"/>
          <w:i w:val="false"/>
          <w:iCs w:val="false"/>
          <w:sz w:val="22"/>
          <w:szCs w:val="22"/>
        </w:rPr>
        <w:t xml:space="preserve">The Commission ultimately concluded that Google had infringed competition laws by favoring its own service, leading to a decision that included a fine and required Google to cease the anti-competitive conduct. This decision was based on a comprehensive analysis of market dynamics and Google's market position.</w:t>
      </w:r>
      <w:hyperlink w:history="1" r:id="rIdrvbujedd2tusdw3ngaagg">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bCs/>
          <w:sz w:val="22"/>
          <w:szCs w:val="22"/>
        </w:rPr>
        <w:t xml:space="preserve">Company Decision: </w:t>
      </w:r>
      <w:r>
        <w:rPr>
          <w:rFonts w:ascii="Calibri" w:cs="Calibri" w:eastAsia="Calibri" w:hAnsi="Calibri"/>
          <w:b w:val="false"/>
          <w:bCs w:val="false"/>
          <w:i w:val="false"/>
          <w:iCs w:val="false"/>
          <w:sz w:val="22"/>
          <w:szCs w:val="22"/>
        </w:rPr>
        <w:t xml:space="preserve">Following the Commission's decision, Google had the option to accept the findings and pay the imposed fine or to appeal the decision. The case's progression could lead to further legal scrutiny if an appeal was filed, potentially extending the timeline significantly.</w:t>
      </w:r>
      <w:hyperlink w:history="1" r:id="rIdpro57ahehv0oqcum7ppaa">
        <w:r>
          <w:rPr>
            <w:rFonts w:ascii="Calibri" w:cs="Calibri" w:eastAsia="Calibri" w:hAnsi="Calibri"/>
            <w:color w:val="1F4E5F"/>
            <w:sz w:val="22"/>
            <w:szCs w:val="22"/>
            <w:u w:val="single"/>
          </w:rPr>
          <w:t xml:space="preserve">[14]</w:t>
        </w:r>
      </w:hyperlink>
    </w:p>
    <w:p>
      <w:pPr>
        <w:spacing w:after="120" w:before="200"/>
      </w:pPr>
      <w:r>
        <w:rPr>
          <w:rFonts w:ascii="Calibri" w:cs="Calibri" w:eastAsia="Calibri" w:hAnsi="Calibri"/>
          <w:b/>
          <w:bCs/>
          <w:i/>
          <w:iCs/>
          <w:sz w:val="22"/>
          <w:szCs w:val="22"/>
        </w:rPr>
        <w:t xml:space="preserve">Market Definition</w:t>
      </w:r>
    </w:p>
    <w:p>
      <w:pPr>
        <w:spacing w:after="160"/>
      </w:pPr>
      <w:r>
        <w:rPr>
          <w:rFonts w:ascii="Calibri" w:cs="Calibri" w:eastAsia="Calibri" w:hAnsi="Calibri"/>
          <w:b w:val="false"/>
          <w:bCs w:val="false"/>
          <w:i w:val="false"/>
          <w:iCs w:val="false"/>
          <w:sz w:val="22"/>
          <w:szCs w:val="22"/>
        </w:rPr>
        <w:t xml:space="preserve">The relevant product market includes all products and/or services that are interchangeable or substitutable by consumers based on characteristics, prices, and intended use.</w:t>
      </w:r>
      <w:hyperlink w:history="1" r:id="rIdjvlkp6gud3btdigmhm8bw">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The relevant geographic market is defined as the area where supply and demand conditions are sufficiently homogeneous, distinguishing it from neighboring areas with different competitive conditions.</w:t>
      </w:r>
      <w:hyperlink w:history="1" r:id="rId_qwdcxlw4jtixhsl2t85w">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The assessment of market definition considers not only the objective characteristics of services but also competitive conditions and the structure of supply and demand.</w:t>
      </w:r>
      <w:hyperlink w:history="1" r:id="rId5fi_o-pvfi68jz6ktdumn">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Demand substitutability is identified as the most immediate and effective competitive constraint, influencing how consumers switch between products.</w:t>
      </w:r>
      <w:hyperlink w:history="1" r:id="rIdgv6rsfp17dp-6qxqcdkot">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Supply side substitutability is also considered, where suppliers can switch production to relevant products without significant costs in response to price changes.</w:t>
      </w:r>
      <w:hyperlink w:history="1" r:id="rIdqozskh_spv3dpgsfopglo">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The distinctness of products for analysis under competition law is evaluated based on customer demand, including factors like technical features and market history.</w:t>
      </w:r>
      <w:hyperlink w:history="1" r:id="rId3t_z94xzjyrd5orflphwt">
        <w:r>
          <w:rPr>
            <w:rFonts w:ascii="Calibri" w:cs="Calibri" w:eastAsia="Calibri" w:hAnsi="Calibri"/>
            <w:color w:val="1F4E5F"/>
            <w:sz w:val="22"/>
            <w:szCs w:val="22"/>
            <w:u w:val="single"/>
          </w:rPr>
          <w:t xml:space="preserve">[14]</w:t>
        </w:r>
      </w:hyperlink>
    </w:p>
    <w:p>
      <w:pPr>
        <w:spacing w:after="160"/>
      </w:pPr>
      <w:r>
        <w:rPr>
          <w:rFonts w:ascii="Calibri" w:cs="Calibri" w:eastAsia="Calibri" w:hAnsi="Calibri"/>
          <w:b w:val="false"/>
          <w:bCs w:val="false"/>
          <w:i w:val="false"/>
          <w:iCs w:val="false"/>
          <w:sz w:val="22"/>
          <w:szCs w:val="22"/>
        </w:rPr>
        <w:t xml:space="preserve">The Commission does not adhere to a rigid hierarchy of evidence sources for market definition but conducts an overall assessment using various tools.</w:t>
      </w:r>
      <w:hyperlink w:history="1" r:id="rIdhh9t6wjz8coldxzhtgebp">
        <w:r>
          <w:rPr>
            <w:rFonts w:ascii="Calibri" w:cs="Calibri" w:eastAsia="Calibri" w:hAnsi="Calibri"/>
            <w:color w:val="1F4E5F"/>
            <w:sz w:val="22"/>
            <w:szCs w:val="22"/>
            <w:u w:val="single"/>
          </w:rPr>
          <w:t xml:space="preserve">[14]</w:t>
        </w:r>
      </w:hyperlink>
    </w:p>
    <w:p>
      <w:pPr>
        <w:spacing w:after="120" w:before="200"/>
      </w:pPr>
      <w:r>
        <w:rPr>
          <w:rFonts w:ascii="Calibri" w:cs="Calibri" w:eastAsia="Calibri" w:hAnsi="Calibri"/>
          <w:b/>
          <w:bCs/>
          <w:i/>
          <w:iCs/>
          <w:sz w:val="22"/>
          <w:szCs w:val="22"/>
        </w:rPr>
        <w:t xml:space="preserve">Legal &amp; Economic Tests</w:t>
      </w:r>
    </w:p>
    <w:p>
      <w:pPr>
        <w:pStyle w:val="ListParagraph"/>
        <w:numPr>
          <w:ilvl w:val="0"/>
          <w:numId w:val="1"/>
        </w:numPr>
        <w:spacing w:after="100"/>
      </w:pPr>
      <w:r>
        <w:rPr>
          <w:rFonts w:ascii="Calibri" w:cs="Calibri" w:eastAsia="Calibri" w:hAnsi="Calibri"/>
          <w:b/>
          <w:bCs/>
          <w:sz w:val="22"/>
          <w:szCs w:val="22"/>
        </w:rPr>
        <w:t xml:space="preserve">Market Definition Test: </w:t>
      </w:r>
      <w:r>
        <w:rPr>
          <w:rFonts w:ascii="Calibri" w:cs="Calibri" w:eastAsia="Calibri" w:hAnsi="Calibri"/>
          <w:b w:val="false"/>
          <w:bCs w:val="false"/>
          <w:i w:val="false"/>
          <w:iCs w:val="false"/>
          <w:sz w:val="22"/>
          <w:szCs w:val="22"/>
        </w:rPr>
        <w:t xml:space="preserve">This test involves defining the relevant product and geographic markets to assess whether an undertaking holds a dominant position. It considers the interchangeability of products or services based on characteristics, prices, and intended use. The competitive conditions and structure of supply and demand are also evaluated. In this case, the Commission examined both demand and supply substitutability to determine the relevant markets for general search services and comparison shopping services.</w:t>
      </w:r>
      <w:hyperlink w:history="1" r:id="rIdr-1fivz_pt1r1ewccxs6c">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bCs/>
          <w:sz w:val="22"/>
          <w:szCs w:val="22"/>
        </w:rPr>
        <w:t xml:space="preserve">Assessment of Dominance: </w:t>
      </w:r>
      <w:r>
        <w:rPr>
          <w:rFonts w:ascii="Calibri" w:cs="Calibri" w:eastAsia="Calibri" w:hAnsi="Calibri"/>
          <w:b w:val="false"/>
          <w:bCs w:val="false"/>
          <w:i w:val="false"/>
          <w:iCs w:val="false"/>
          <w:sz w:val="22"/>
          <w:szCs w:val="22"/>
        </w:rPr>
        <w:t xml:space="preserve">This test evaluates whether an undertaking can prevent effective competition and behave independently of competitors and customers. It involves analyzing the market share of the undertaking and the competitive constraints it faces. The Commission assessed Google's market position in relation to its competitors and the impact of its conduct on competition within the defined markets.</w:t>
      </w:r>
      <w:hyperlink w:history="1" r:id="rIdeamizf8oexvwldyojr4wq">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bCs/>
          <w:sz w:val="22"/>
          <w:szCs w:val="22"/>
        </w:rPr>
        <w:t xml:space="preserve">Abuse of Dominance Test: </w:t>
      </w:r>
      <w:r>
        <w:rPr>
          <w:rFonts w:ascii="Calibri" w:cs="Calibri" w:eastAsia="Calibri" w:hAnsi="Calibri"/>
          <w:b w:val="false"/>
          <w:bCs w:val="false"/>
          <w:i w:val="false"/>
          <w:iCs w:val="false"/>
          <w:sz w:val="22"/>
          <w:szCs w:val="22"/>
        </w:rPr>
        <w:t xml:space="preserve">This test determines if the conduct of a dominant undertaking constitutes an abuse that distorts competition. It requires an analysis of the specific conduct in question and its effects on the market. In this case, the Commission found that Google's preferential treatment of its own comparison shopping service over competitors constituted an abuse of its dominant position, as it hindered competition and affected trade between Member States.</w:t>
      </w:r>
      <w:hyperlink w:history="1" r:id="rIdzhuj3hcseh_otq2j5t1e3">
        <w:r>
          <w:rPr>
            <w:rFonts w:ascii="Calibri" w:cs="Calibri" w:eastAsia="Calibri" w:hAnsi="Calibri"/>
            <w:color w:val="1F4E5F"/>
            <w:sz w:val="22"/>
            <w:szCs w:val="22"/>
            <w:u w:val="single"/>
          </w:rPr>
          <w:t xml:space="preserve">[14]</w:t>
        </w:r>
      </w:hyperlink>
    </w:p>
    <w:p>
      <w:pPr>
        <w:spacing w:after="120" w:before="200"/>
      </w:pPr>
      <w:r>
        <w:rPr>
          <w:rFonts w:ascii="Calibri" w:cs="Calibri" w:eastAsia="Calibri" w:hAnsi="Calibri"/>
          <w:b/>
          <w:bCs/>
          <w:i/>
          <w:iCs/>
          <w:sz w:val="22"/>
          <w:szCs w:val="22"/>
        </w:rPr>
        <w:t xml:space="preserve">Conclusion</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European Commission concluded that Google engaged in anti-competitive conduct by favoring its own comparison shopping service over competing services in its general search results, which constitutes an infringement of Article 102 of the Treaty and Article 54 of the EEA Agreement.</w:t>
      </w:r>
      <w:hyperlink w:history="1" r:id="rIdrvvgwv_ms_grpnxn-sjyu">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Commission determined that the infringement was intentional or negligent on the part of Google and Alphabet, as they were aware of their dominant position and the implications of their conduct.</w:t>
      </w:r>
      <w:hyperlink w:history="1" r:id="rIdwkpa04v8wetr-ds_qk3o0">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Remedies required Google and Alphabet to cease the infringing conduct and refrain from any similar measures in the future, ensuring compliance with competition law.</w:t>
      </w:r>
      <w:hyperlink w:history="1" r:id="rIdfatw4qkqepy8l3fea-a_j">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Commission imposed fines based on the value of sales related to Google's comparison shopping service, calculated using revenues from the last full business year of the infringement, which was 2016.</w:t>
      </w:r>
      <w:hyperlink w:history="1" r:id="rIdei9ersjackzrtmj8o17ug">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fines were structured to ensure deterrence, with adjustments made for aggravating or mitigating circumstances, and the total fine could not exceed 10% of the total turnover of the companies in the preceding business year.</w:t>
      </w:r>
      <w:hyperlink w:history="1" r:id="rIdtakgtkfa8kymretiearjh">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Alphabet was held jointly and severally liable for the infringement from October 2, 2015, due to its ownership of Google, which means both companies are responsible for the payment of the fine.</w:t>
      </w:r>
      <w:hyperlink w:history="1" r:id="rIdifbi7uawcgvcnsccog9ud">
        <w:r>
          <w:rPr>
            <w:rFonts w:ascii="Calibri" w:cs="Calibri" w:eastAsia="Calibri" w:hAnsi="Calibri"/>
            <w:color w:val="1F4E5F"/>
            <w:sz w:val="22"/>
            <w:szCs w:val="22"/>
            <w:u w:val="single"/>
          </w:rPr>
          <w:t xml:space="preserve">[14]</w:t>
        </w:r>
      </w:hyperlink>
    </w:p>
    <w:p>
      <w:pPr>
        <w:spacing w:after="160" w:before="280"/>
      </w:pPr>
      <w:r>
        <w:rPr>
          <w:rFonts w:ascii="Calibri" w:cs="Calibri" w:eastAsia="Calibri" w:hAnsi="Calibri"/>
          <w:b/>
          <w:bCs/>
          <w:color w:val="1F4E5F"/>
          <w:sz w:val="22"/>
          <w:szCs w:val="22"/>
        </w:rPr>
        <w:t xml:space="preserve">Cited Sources</w:t>
      </w:r>
    </w:p>
    <w:p>
      <w:pPr>
        <w:pStyle w:val="ListParagraph"/>
        <w:numPr>
          <w:ilvl w:val="0"/>
          <w:numId w:val="2"/>
        </w:numPr>
        <w:spacing w:after="100"/>
      </w:pPr>
      <w:hyperlink w:history="1" r:id="rId8654fnzxyuxtsbshta1v7">
        <w:r>
          <w:rPr>
            <w:rFonts w:ascii="Calibri" w:cs="Calibri" w:eastAsia="Calibri" w:hAnsi="Calibri"/>
            <w:color w:val="1F4E5F"/>
            <w:sz w:val="22"/>
            <w:szCs w:val="22"/>
            <w:u w:val="single"/>
          </w:rPr>
          <w:t xml:space="preserve">EU Commission Article 102 page</w:t>
        </w:r>
      </w:hyperlink>
    </w:p>
    <w:p>
      <w:pPr>
        <w:pStyle w:val="ListParagraph"/>
        <w:numPr>
          <w:ilvl w:val="0"/>
          <w:numId w:val="2"/>
        </w:numPr>
        <w:spacing w:after="100"/>
      </w:pPr>
      <w:hyperlink w:history="1" r:id="rIdrc7xjp_o7kk8cilfpenfg">
        <w:r>
          <w:rPr>
            <w:rFonts w:ascii="Calibri" w:cs="Calibri" w:eastAsia="Calibri" w:hAnsi="Calibri"/>
            <w:color w:val="1F4E5F"/>
            <w:sz w:val="22"/>
            <w:szCs w:val="22"/>
            <w:u w:val="single"/>
          </w:rPr>
          <w:t xml:space="preserve">EU Commission Article 102 procedures</w:t>
        </w:r>
      </w:hyperlink>
    </w:p>
    <w:p>
      <w:pPr>
        <w:pStyle w:val="ListParagraph"/>
        <w:numPr>
          <w:ilvl w:val="0"/>
          <w:numId w:val="2"/>
        </w:numPr>
        <w:spacing w:after="100"/>
      </w:pPr>
      <w:hyperlink w:history="1" r:id="rIdtuffdjyfpk7o1vdm_p-ye">
        <w:r>
          <w:rPr>
            <w:rFonts w:ascii="Calibri" w:cs="Calibri" w:eastAsia="Calibri" w:hAnsi="Calibri"/>
            <w:color w:val="1F4E5F"/>
            <w:sz w:val="22"/>
            <w:szCs w:val="22"/>
            <w:u w:val="single"/>
          </w:rPr>
          <w:t xml:space="preserve">EU Digital Markets Act overview</w:t>
        </w:r>
      </w:hyperlink>
    </w:p>
    <w:p>
      <w:pPr>
        <w:pStyle w:val="ListParagraph"/>
        <w:numPr>
          <w:ilvl w:val="0"/>
          <w:numId w:val="2"/>
        </w:numPr>
        <w:spacing w:after="100"/>
      </w:pPr>
      <w:hyperlink w:history="1" r:id="rIduu51hhqoupqyreviiuvkt">
        <w:r>
          <w:rPr>
            <w:rFonts w:ascii="Calibri" w:cs="Calibri" w:eastAsia="Calibri" w:hAnsi="Calibri"/>
            <w:color w:val="1F4E5F"/>
            <w:sz w:val="22"/>
            <w:szCs w:val="22"/>
            <w:u w:val="single"/>
          </w:rPr>
          <w:t xml:space="preserve">OECD competition policy and digital markets materials</w:t>
        </w:r>
      </w:hyperlink>
    </w:p>
    <w:p>
      <w:pPr>
        <w:pStyle w:val="ListParagraph"/>
        <w:numPr>
          <w:ilvl w:val="0"/>
          <w:numId w:val="2"/>
        </w:numPr>
        <w:spacing w:after="100"/>
      </w:pPr>
      <w:hyperlink w:history="1" r:id="rIdldfwjg-47gsa_ekdqxsvr">
        <w:r>
          <w:rPr>
            <w:rFonts w:ascii="Calibri" w:cs="Calibri" w:eastAsia="Calibri" w:hAnsi="Calibri"/>
            <w:color w:val="1F4E5F"/>
            <w:sz w:val="22"/>
            <w:szCs w:val="22"/>
            <w:u w:val="single"/>
          </w:rPr>
          <w:t xml:space="preserve">EU Commission draft Article 102 guidelines materials (I)</w:t>
        </w:r>
      </w:hyperlink>
    </w:p>
    <w:p>
      <w:pPr>
        <w:pStyle w:val="ListParagraph"/>
        <w:numPr>
          <w:ilvl w:val="0"/>
          <w:numId w:val="2"/>
        </w:numPr>
        <w:spacing w:after="100"/>
      </w:pPr>
      <w:hyperlink w:history="1" r:id="rIdfrmltpxuvcg1b2ssjdhmt">
        <w:r>
          <w:rPr>
            <w:rFonts w:ascii="Calibri" w:cs="Calibri" w:eastAsia="Calibri" w:hAnsi="Calibri"/>
            <w:color w:val="1F4E5F"/>
            <w:sz w:val="22"/>
            <w:szCs w:val="22"/>
            <w:u w:val="single"/>
          </w:rPr>
          <w:t xml:space="preserve">EU Commission draft Article 102 guidelines materials (II)</w:t>
        </w:r>
      </w:hyperlink>
    </w:p>
    <w:p>
      <w:pPr>
        <w:pStyle w:val="ListParagraph"/>
        <w:numPr>
          <w:ilvl w:val="0"/>
          <w:numId w:val="2"/>
        </w:numPr>
        <w:spacing w:after="100"/>
      </w:pPr>
      <w:hyperlink w:history="1" r:id="rIdkc8udsh06aqbd7nlxr_3g">
        <w:r>
          <w:rPr>
            <w:rFonts w:ascii="Calibri" w:cs="Calibri" w:eastAsia="Calibri" w:hAnsi="Calibri"/>
            <w:color w:val="1F4E5F"/>
            <w:sz w:val="22"/>
            <w:szCs w:val="22"/>
            <w:u w:val="single"/>
          </w:rPr>
          <w:t xml:space="preserve">First Review of the Digital Markets Act</w:t>
        </w:r>
      </w:hyperlink>
    </w:p>
    <w:p>
      <w:pPr>
        <w:pStyle w:val="ListParagraph"/>
        <w:numPr>
          <w:ilvl w:val="0"/>
          <w:numId w:val="2"/>
        </w:numPr>
        <w:spacing w:after="100"/>
      </w:pPr>
      <w:hyperlink w:history="1" r:id="rIdiowmb3lhrnogkwnrsgfrj">
        <w:r>
          <w:rPr>
            <w:rFonts w:ascii="Calibri" w:cs="Calibri" w:eastAsia="Calibri" w:hAnsi="Calibri"/>
            <w:color w:val="1F4E5F"/>
            <w:sz w:val="22"/>
            <w:szCs w:val="22"/>
            <w:u w:val="single"/>
          </w:rPr>
          <w:t xml:space="preserve">OECD competition and consumer policy in digital markets</w:t>
        </w:r>
      </w:hyperlink>
    </w:p>
    <w:p>
      <w:pPr>
        <w:pStyle w:val="ListParagraph"/>
        <w:numPr>
          <w:ilvl w:val="0"/>
          <w:numId w:val="2"/>
        </w:numPr>
        <w:spacing w:after="100"/>
      </w:pPr>
      <w:hyperlink w:history="1" r:id="rIdudjh6nrfof0v18zhxhgso">
        <w:r>
          <w:rPr>
            <w:rFonts w:ascii="Calibri" w:cs="Calibri" w:eastAsia="Calibri" w:hAnsi="Calibri"/>
            <w:color w:val="1F4E5F"/>
            <w:sz w:val="22"/>
            <w:szCs w:val="22"/>
            <w:u w:val="single"/>
          </w:rPr>
          <w:t xml:space="preserve">Relevant market</w:t>
        </w:r>
      </w:hyperlink>
    </w:p>
    <w:p>
      <w:pPr>
        <w:pStyle w:val="ListParagraph"/>
        <w:numPr>
          <w:ilvl w:val="0"/>
          <w:numId w:val="2"/>
        </w:numPr>
        <w:spacing w:after="100"/>
      </w:pPr>
      <w:hyperlink w:history="1" r:id="rIdqqqmasflmc_clfn33hxuy">
        <w:r>
          <w:rPr>
            <w:rFonts w:ascii="Calibri" w:cs="Calibri" w:eastAsia="Calibri" w:hAnsi="Calibri"/>
            <w:color w:val="1F4E5F"/>
            <w:sz w:val="22"/>
            <w:szCs w:val="22"/>
            <w:u w:val="single"/>
          </w:rPr>
          <w:t xml:space="preserve">Network effects</w:t>
        </w:r>
      </w:hyperlink>
    </w:p>
    <w:p>
      <w:pPr>
        <w:pStyle w:val="ListParagraph"/>
        <w:numPr>
          <w:ilvl w:val="0"/>
          <w:numId w:val="2"/>
        </w:numPr>
        <w:spacing w:after="100"/>
      </w:pPr>
      <w:hyperlink w:history="1" r:id="rIddxevot0_rmwmnbysnccfs">
        <w:r>
          <w:rPr>
            <w:rFonts w:ascii="Calibri" w:cs="Calibri" w:eastAsia="Calibri" w:hAnsi="Calibri"/>
            <w:color w:val="1F4E5F"/>
            <w:sz w:val="22"/>
            <w:szCs w:val="22"/>
            <w:u w:val="single"/>
          </w:rPr>
          <w:t xml:space="preserve">Multi-sided platform</w:t>
        </w:r>
      </w:hyperlink>
    </w:p>
    <w:p>
      <w:pPr>
        <w:pStyle w:val="ListParagraph"/>
        <w:numPr>
          <w:ilvl w:val="0"/>
          <w:numId w:val="2"/>
        </w:numPr>
        <w:spacing w:after="100"/>
      </w:pPr>
      <w:hyperlink w:history="1" r:id="rIdxki8pkihb0otakje6cdlx">
        <w:r>
          <w:rPr>
            <w:rFonts w:ascii="Calibri" w:cs="Calibri" w:eastAsia="Calibri" w:hAnsi="Calibri"/>
            <w:color w:val="1F4E5F"/>
            <w:sz w:val="22"/>
            <w:szCs w:val="22"/>
            <w:u w:val="single"/>
          </w:rPr>
          <w:t xml:space="preserve">Switching costs</w:t>
        </w:r>
      </w:hyperlink>
    </w:p>
    <w:p>
      <w:pPr>
        <w:pStyle w:val="ListParagraph"/>
        <w:numPr>
          <w:ilvl w:val="0"/>
          <w:numId w:val="2"/>
        </w:numPr>
        <w:spacing w:after="100"/>
      </w:pPr>
      <w:hyperlink w:history="1" r:id="rId79i7hpbrpdilafz1trkcr">
        <w:r>
          <w:rPr>
            <w:rFonts w:ascii="Calibri" w:cs="Calibri" w:eastAsia="Calibri" w:hAnsi="Calibri"/>
            <w:color w:val="1F4E5F"/>
            <w:sz w:val="22"/>
            <w:szCs w:val="22"/>
            <w:u w:val="single"/>
          </w:rPr>
          <w:t xml:space="preserve">Gatekeeper</w:t>
        </w:r>
      </w:hyperlink>
    </w:p>
    <w:p>
      <w:pPr>
        <w:pStyle w:val="ListParagraph"/>
        <w:numPr>
          <w:ilvl w:val="0"/>
          <w:numId w:val="2"/>
        </w:numPr>
        <w:spacing w:after="100"/>
      </w:pPr>
      <w:hyperlink w:history="1" r:id="rIdi7x62nva2qovwfw1rm1qm">
        <w:r>
          <w:rPr>
            <w:rFonts w:ascii="Calibri" w:cs="Calibri" w:eastAsia="Calibri" w:hAnsi="Calibri"/>
            <w:color w:val="1F4E5F"/>
            <w:sz w:val="22"/>
            <w:szCs w:val="22"/>
            <w:u w:val="single"/>
          </w:rPr>
          <w:t xml:space="preserve">Google Search (Shopping) - AT.39740 - Case Decision</w:t>
        </w:r>
      </w:hyperlink>
    </w:p>
    <w:sectPr>
      <w:pgSz w:w="12240" w:h="15840" w:orient="portrait"/>
      <w:pgMar w:top="1350" w:right="1080" w:bottom="13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8t9vuzfdlmftm2a8xmd8" Type="http://schemas.openxmlformats.org/officeDocument/2006/relationships/hyperlink" Target="https://competition-policy.ec.europa.eu/antitrust-and-cartels/legislation/application-article-102-tfeu_en" TargetMode="External"/><Relationship Id="rIde7vf245li_fweus1phhsl" Type="http://schemas.openxmlformats.org/officeDocument/2006/relationships/hyperlink" Target="https://competition-policy.ec.europa.eu/system/files/2021-05/antitrust_procedures_102_en.pdf" TargetMode="External"/><Relationship Id="rIdhtemy8rgcaehp2ut5sbjy" Type="http://schemas.openxmlformats.org/officeDocument/2006/relationships/hyperlink" Target="https://digital-markets-act.ec.europa.eu/index_en" TargetMode="External"/><Relationship Id="rIdijuzrxyt1xjee9qbjczx-" Type="http://schemas.openxmlformats.org/officeDocument/2006/relationships/hyperlink" Target="https://competition-policy.ec.europa.eu/antitrust-and-cartels/legislation/application-article-102-tfeu_en" TargetMode="External"/><Relationship Id="rIdf75vapmtjhmtcqpjjityx" Type="http://schemas.openxmlformats.org/officeDocument/2006/relationships/hyperlink" Target="https://competition-policy.ec.europa.eu/system/files/2021-05/antitrust_procedures_102_en.pdf" TargetMode="External"/><Relationship Id="rIdn5yvjqvewrrp1l8bxgmxf" Type="http://schemas.openxmlformats.org/officeDocument/2006/relationships/hyperlink" Target="https://competition-policy.ec.europa.eu/antitrust-and-cartels/legislation/application-article-102-tfeu_en" TargetMode="External"/><Relationship Id="rIdo2gyyfyxjnksmak7scskd" Type="http://schemas.openxmlformats.org/officeDocument/2006/relationships/hyperlink" Target="https://academic.oup.com/grurint/article/74/3/217/7989429" TargetMode="External"/><Relationship Id="rIdbynzub-y5kr7vgwlakngu" Type="http://schemas.openxmlformats.org/officeDocument/2006/relationships/hyperlink" Target="https://digital-markets-act.ec.europa.eu/index_en" TargetMode="External"/><Relationship Id="rIdxces0rcuv6rmge49y5yxp" Type="http://schemas.openxmlformats.org/officeDocument/2006/relationships/hyperlink" Target="https://academic.oup.com/grurint/article/74/3/217/7989429" TargetMode="External"/><Relationship Id="rIdlegq7010sg1a4s4ukxrua" Type="http://schemas.openxmlformats.org/officeDocument/2006/relationships/hyperlink" Target="https://digital-markets-act.ec.europa.eu/index_en" TargetMode="External"/><Relationship Id="rId6hjfcgcwek2bof68xxddt" Type="http://schemas.openxmlformats.org/officeDocument/2006/relationships/hyperlink" Target="https://academic.oup.com/grurint/article/74/3/217/7989429" TargetMode="External"/><Relationship Id="rId7zqg264kibwtbwwi_ya0g" Type="http://schemas.openxmlformats.org/officeDocument/2006/relationships/hyperlink" Target="https://competition-policy.ec.europa.eu/antitrust-and-cartels/legislation/application-article-102-tfeu_en" TargetMode="External"/><Relationship Id="rId35hojboeummutu0-inkez" Type="http://schemas.openxmlformats.org/officeDocument/2006/relationships/hyperlink" Target="https://competition-policy.ec.europa.eu/system/files/2021-05/antitrust_procedures_102_en.pdf" TargetMode="External"/><Relationship Id="rIdaax56oo7flndf5fwvmtb0" Type="http://schemas.openxmlformats.org/officeDocument/2006/relationships/hyperlink" Target="https://digital-markets-act.ec.europa.eu/index_en" TargetMode="External"/><Relationship Id="rIdc1ern2yffevhdkhq6guz8" Type="http://schemas.openxmlformats.org/officeDocument/2006/relationships/hyperlink" Target="https://academic.oup.com/grurint/article/74/3/217/7989429" TargetMode="External"/><Relationship Id="rIdzmszceqmzp85e0f2knxjo" Type="http://schemas.openxmlformats.org/officeDocument/2006/relationships/hyperlink" Target="https://competition-policy.ec.europa.eu/antitrust-and-cartels/legislation/application-article-102-tfeu_en" TargetMode="External"/><Relationship Id="rIdhlyoc_tpcsajmq_k3zd_5" Type="http://schemas.openxmlformats.org/officeDocument/2006/relationships/hyperlink" Target="https://competition-policy.ec.europa.eu/system/files/2021-05/antitrust_procedures_102_en.pdf" TargetMode="External"/><Relationship Id="rIdsaqqwx4eswbsqibqsi2zz" Type="http://schemas.openxmlformats.org/officeDocument/2006/relationships/hyperlink" Target="https://digital-markets-act.ec.europa.eu/index_en" TargetMode="External"/><Relationship Id="rIdv1lege0ytnymevbzlgiar" Type="http://schemas.openxmlformats.org/officeDocument/2006/relationships/hyperlink" Target="https://academic.oup.com/grurint/article/74/3/217/7989429" TargetMode="External"/><Relationship Id="rIdnhqhohiqbmsgfzlozxijw" Type="http://schemas.openxmlformats.org/officeDocument/2006/relationships/hyperlink" Target="https://competition-policy.ec.europa.eu/antitrust-and-cartels/legislation/application-article-102-tfeu_en" TargetMode="External"/><Relationship Id="rIdlfwupbeux40pfrkjlipqf" Type="http://schemas.openxmlformats.org/officeDocument/2006/relationships/hyperlink" Target="https://digital-markets-act.ec.europa.eu/index_en" TargetMode="External"/><Relationship Id="rIdmcaecn1zy_sed3arguen4" Type="http://schemas.openxmlformats.org/officeDocument/2006/relationships/hyperlink" Target="https://digital-markets-act.ec.europa.eu/index_en" TargetMode="External"/><Relationship Id="rIdhbxrzgqanll-yj0jbl7wa" Type="http://schemas.openxmlformats.org/officeDocument/2006/relationships/hyperlink" Target="https://academic.oup.com/grurint/article/74/3/217/7989429" TargetMode="External"/><Relationship Id="rId0dveyii9joslsatpxt-2y" Type="http://schemas.openxmlformats.org/officeDocument/2006/relationships/hyperlink" Target="https://competition-policy.ec.europa.eu/antitrust-and-cartels/legislation/application-article-102-tfeu_en" TargetMode="External"/><Relationship Id="rIdxpnxjc9sid6gvquhs7jro" Type="http://schemas.openxmlformats.org/officeDocument/2006/relationships/hyperlink" Target="https://competition-policy.ec.europa.eu/system/files/2021-05/antitrust_procedures_102_en.pdf" TargetMode="External"/><Relationship Id="rIdfgqvgb93-_sjzyzfgy_xs" Type="http://schemas.openxmlformats.org/officeDocument/2006/relationships/hyperlink" Target="https://digital-markets-act.ec.europa.eu/index_en" TargetMode="External"/><Relationship Id="rIdw0cj0ufkmf9filz0p1apx" Type="http://schemas.openxmlformats.org/officeDocument/2006/relationships/hyperlink" Target="https://academic.oup.com/grurint/article/74/3/217/7989429" TargetMode="External"/><Relationship Id="rId9s6acdloiq7hows1ykavf" Type="http://schemas.openxmlformats.org/officeDocument/2006/relationships/hyperlink" Target="https://competition-policy.ec.europa.eu/antitrust-and-cartels/legislation/application-article-102-tfeu_en" TargetMode="External"/><Relationship Id="rIdou-4b-d2mcqucrmjli25k" Type="http://schemas.openxmlformats.org/officeDocument/2006/relationships/hyperlink" Target="https://digital-markets-act.ec.europa.eu/index_en" TargetMode="External"/><Relationship Id="rIddnqyvjkybss86iyzbourb" Type="http://schemas.openxmlformats.org/officeDocument/2006/relationships/hyperlink" Target="https://competition-policy.ec.europa.eu/antitrust-and-cartels/legislation/application-article-102-tfeu_en" TargetMode="External"/><Relationship Id="rIdwtp9eayrp_gn0vlpwy_dj" Type="http://schemas.openxmlformats.org/officeDocument/2006/relationships/hyperlink" Target="https://competition-policy.ec.europa.eu/system/files/2021-05/antitrust_procedures_102_en.pdf" TargetMode="External"/><Relationship Id="rIdnpxrj8tmmpt-w2xmyktqn" Type="http://schemas.openxmlformats.org/officeDocument/2006/relationships/hyperlink" Target="https://competition-policy.ec.europa.eu/antitrust-and-cartels/legislation/application-article-102-tfeu_en" TargetMode="External"/><Relationship Id="rIduzzjs3zn3kifbmoqiwdm4" Type="http://schemas.openxmlformats.org/officeDocument/2006/relationships/hyperlink" Target="https://digital-markets-act.ec.europa.eu/index_en" TargetMode="External"/><Relationship Id="rIdpvdcy-xarkaj4p1hhckys" Type="http://schemas.openxmlformats.org/officeDocument/2006/relationships/hyperlink" Target="https://competition-policy.ec.europa.eu/antitrust-and-cartels/legislation/application-article-102-tfeu_en" TargetMode="External"/><Relationship Id="rId1mrixepwpyzjfeazpyomy" Type="http://schemas.openxmlformats.org/officeDocument/2006/relationships/hyperlink" Target="https://competition-policy.ec.europa.eu/system/files/2021-05/antitrust_procedures_102_en.pdf" TargetMode="External"/><Relationship Id="rIda9qacfiu7erqyyusikck5" Type="http://schemas.openxmlformats.org/officeDocument/2006/relationships/hyperlink" Target="https://competition-policy.ec.europa.eu/antitrust-and-cartels/legislation/application-article-102-tfeu_en" TargetMode="External"/><Relationship Id="rIdkvklgvojfcmmwkrepgeog" Type="http://schemas.openxmlformats.org/officeDocument/2006/relationships/hyperlink" Target="https://competition-policy.ec.europa.eu/system/files/2021-05/antitrust_procedures_102_en.pdf" TargetMode="External"/><Relationship Id="rIdpvmykbnavxjgp6yazqnrn" Type="http://schemas.openxmlformats.org/officeDocument/2006/relationships/hyperlink" Target="https://competition-policy.ec.europa.eu/antitrust-and-cartels/legislation/application-article-102-tfeu_en" TargetMode="External"/><Relationship Id="rIdmjxt3sd3sdpf3urjteebl" Type="http://schemas.openxmlformats.org/officeDocument/2006/relationships/hyperlink" Target="https://competition-policy.ec.europa.eu/system/files/2023-03/guidance_paper_article_102_redline_post_amending_communication.pdf" TargetMode="External"/><Relationship Id="rIdazbxyr12emk_fozozw6gw" Type="http://schemas.openxmlformats.org/officeDocument/2006/relationships/hyperlink" Target="https://www.faros.eu/images/content/241202-abuseofdominance-EU-draftguidanceenforcementprio.pdf" TargetMode="External"/><Relationship Id="rIdjayvzfjzb-s9vu1vobrlg" Type="http://schemas.openxmlformats.org/officeDocument/2006/relationships/hyperlink" Target="https://digital-markets-act.ec.europa.eu/index_en" TargetMode="External"/><Relationship Id="rIdrryniyvvugskwz-tr8eka" Type="http://schemas.openxmlformats.org/officeDocument/2006/relationships/hyperlink" Target="https://academic.oup.com/grurint/article/74/3/217/7989429" TargetMode="External"/><Relationship Id="rId6lxzzkx9mpwtznz0ebus3" Type="http://schemas.openxmlformats.org/officeDocument/2006/relationships/hyperlink" Target="https://digital-markets-act.ec.europa.eu/index_en" TargetMode="External"/><Relationship Id="rIddcqz2n002ni2bq2r9ubme" Type="http://schemas.openxmlformats.org/officeDocument/2006/relationships/hyperlink" Target="https://academic.oup.com/grurint/article/74/3/217/7989429" TargetMode="External"/><Relationship Id="rIdjsbqmb07xyk3bib9d26em" Type="http://schemas.openxmlformats.org/officeDocument/2006/relationships/hyperlink" Target="https://digital-markets-act.ec.europa.eu/index_en" TargetMode="External"/><Relationship Id="rId2cxjpcng6ukb5o--0und4" Type="http://schemas.openxmlformats.org/officeDocument/2006/relationships/hyperlink" Target="https://academic.oup.com/grurint/article/74/3/217/7989429" TargetMode="External"/><Relationship Id="rId_gzqsifhpd466b-a9hlei" Type="http://schemas.openxmlformats.org/officeDocument/2006/relationships/hyperlink" Target="https://competition-policy.ec.europa.eu/antitrust-and-cartels/legislation/application-article-102-tfeu_en" TargetMode="External"/><Relationship Id="rIdgkiqibja1uxmmg6qell3k" Type="http://schemas.openxmlformats.org/officeDocument/2006/relationships/hyperlink" Target="https://competition-policy.ec.europa.eu/system/files/2021-05/antitrust_procedures_102_en.pdf" TargetMode="External"/><Relationship Id="rIdtscgwf0yzujfxitjtzss9" Type="http://schemas.openxmlformats.org/officeDocument/2006/relationships/hyperlink" Target="https://competition-policy.ec.europa.eu/antitrust-and-cartels/legislation/application-article-102-tfeu_en" TargetMode="External"/><Relationship Id="rIdg7ywsyfhtzkjs6qmdrhli" Type="http://schemas.openxmlformats.org/officeDocument/2006/relationships/hyperlink" Target="https://digital-markets-act.ec.europa.eu/index_en" TargetMode="External"/><Relationship Id="rIdtwe_rfnjyj1rwu-y16wjw" Type="http://schemas.openxmlformats.org/officeDocument/2006/relationships/hyperlink" Target="https://digital-markets-act.ec.europa.eu/index_en" TargetMode="External"/><Relationship Id="rIdurpcbl86njt42fcmzykxh" Type="http://schemas.openxmlformats.org/officeDocument/2006/relationships/hyperlink" Target="https://academic.oup.com/grurint/article/74/3/217/7989429" TargetMode="External"/><Relationship Id="rIdwnvp6kqzceoed151hmiah" Type="http://schemas.openxmlformats.org/officeDocument/2006/relationships/hyperlink" Target="https://competition-policy.ec.europa.eu/antitrust-and-cartels/legislation/application-article-102-tfeu_en" TargetMode="External"/><Relationship Id="rIdak37thl2qbafn74axzive" Type="http://schemas.openxmlformats.org/officeDocument/2006/relationships/hyperlink" Target="https://competition-policy.ec.europa.eu/system/files/2021-05/antitrust_procedures_102_en.pdf" TargetMode="External"/><Relationship Id="rIdm-dwplwuaudbttnqiy9id" Type="http://schemas.openxmlformats.org/officeDocument/2006/relationships/hyperlink" Target="https://digital-markets-act.ec.europa.eu/index_en" TargetMode="External"/><Relationship Id="rIdni8txmta0ytb35x5yhu05" Type="http://schemas.openxmlformats.org/officeDocument/2006/relationships/hyperlink" Target="https://academic.oup.com/grurint/article/74/3/217/7989429" TargetMode="External"/><Relationship Id="rId6mabe1wxikb3uquk-swbh" Type="http://schemas.openxmlformats.org/officeDocument/2006/relationships/hyperlink" Target="https://competition-policy.ec.europa.eu/antitrust-and-cartels/legislation/application-article-102-tfeu_en" TargetMode="External"/><Relationship Id="rIdsip62jgcj_x1an7gqazhd" Type="http://schemas.openxmlformats.org/officeDocument/2006/relationships/hyperlink" Target="https://competition-policy.ec.europa.eu/system/files/2021-05/antitrust_procedures_102_en.pdf" TargetMode="External"/><Relationship Id="rIdzowugqblbzbs9oxq5aro2" Type="http://schemas.openxmlformats.org/officeDocument/2006/relationships/hyperlink" Target="https://competition-policy.ec.europa.eu/antitrust-and-cartels/legislation/application-article-102-tfeu_en" TargetMode="External"/><Relationship Id="rIdwb7_h8ylwtj0y8zsoxyj7" Type="http://schemas.openxmlformats.org/officeDocument/2006/relationships/hyperlink" Target="https://digital-markets-act.ec.europa.eu/index_en" TargetMode="External"/><Relationship Id="rIdvsfkq8swza9ymydiriiel" Type="http://schemas.openxmlformats.org/officeDocument/2006/relationships/hyperlink" Target="https://competition-policy.ec.europa.eu/antitrust-and-cartels/legislation/application-article-102-tfeu_en" TargetMode="External"/><Relationship Id="rIdyojdbooutlbknue1futqa" Type="http://schemas.openxmlformats.org/officeDocument/2006/relationships/hyperlink" Target="https://competition-policy.ec.europa.eu/system/files/2021-05/antitrust_procedures_102_en.pdf" TargetMode="External"/><Relationship Id="rId_yuwz4ev-qwtwfx1xnlix" Type="http://schemas.openxmlformats.org/officeDocument/2006/relationships/hyperlink" Target="https://digital-markets-act.ec.europa.eu/index_en" TargetMode="External"/><Relationship Id="rId_5byamftltdka0ma0abht" Type="http://schemas.openxmlformats.org/officeDocument/2006/relationships/hyperlink" Target="https://competition-policy.ec.europa.eu/antitrust-and-cartels/legislation/application-article-102-tfeu_en" TargetMode="External"/><Relationship Id="rIdg_qqa29se4wwws-cxzdkt" Type="http://schemas.openxmlformats.org/officeDocument/2006/relationships/hyperlink" Target="https://competition-policy.ec.europa.eu/system/files/2021-05/antitrust_procedures_102_en.pdf" TargetMode="External"/><Relationship Id="rIdrp8i6utot3fhncbsytyfu" Type="http://schemas.openxmlformats.org/officeDocument/2006/relationships/hyperlink" Target="https://competition-policy.ec.europa.eu/system/files/2023-03/guidance_paper_article_102_redline_post_amending_communication.pdf" TargetMode="External"/><Relationship Id="rIdai2vznwi3gtcppfwf0l7l" Type="http://schemas.openxmlformats.org/officeDocument/2006/relationships/hyperlink" Target="https://www.faros.eu/images/content/241202-abuseofdominance-EU-draftguidanceenforcementprio.pdf" TargetMode="External"/><Relationship Id="rIdvn5m6vnotgkux4djsx4kp" Type="http://schemas.openxmlformats.org/officeDocument/2006/relationships/hyperlink" Target="https://digital-markets-act.ec.europa.eu/index_en" TargetMode="External"/><Relationship Id="rIdxxnaxif5ztu4rurtrabmf" Type="http://schemas.openxmlformats.org/officeDocument/2006/relationships/hyperlink" Target="https://www.concurrences.com/en/review/numeros/no-7-2026/dossier/first-review-of-the-digital-markets-act/part-i-first-review-of-the-digital-markets-act-introduction" TargetMode="External"/><Relationship Id="rId8bthj_gkvscxudyt4-rhz" Type="http://schemas.openxmlformats.org/officeDocument/2006/relationships/hyperlink" Target="https://digital-markets-act.ec.europa.eu/index_en" TargetMode="External"/><Relationship Id="rIdsaryepdwy7q0oisimz7vi" Type="http://schemas.openxmlformats.org/officeDocument/2006/relationships/hyperlink" Target="https://www.oecd.org/en/events/2026/06/competition-and-consumer-policy-in-digital-markets.html" TargetMode="External"/><Relationship Id="rIdw8hl1tboheynnc4nq3zd1" Type="http://schemas.openxmlformats.org/officeDocument/2006/relationships/hyperlink" Target="https://competition-policy.ec.europa.eu/antitrust-and-cartels/legislation/application-article-102-tfeu_en" TargetMode="External"/><Relationship Id="rIdxnulzqy5hsbredxq5bodq" Type="http://schemas.openxmlformats.org/officeDocument/2006/relationships/hyperlink" Target="https://eur-lex.europa.eu/EN/legal-content/summary/definition-of-relevant-market.html" TargetMode="External"/><Relationship Id="rIdexhmhsoclli59xgy7yzgm" Type="http://schemas.openxmlformats.org/officeDocument/2006/relationships/hyperlink" Target="https://competition-policy.ec.europa.eu/document/download/adb27d8b-3dd8-4202-958d-198cf0740ce3_en" TargetMode="External"/><Relationship Id="rIdvenhgycvpv-oqd3ygycho" Type="http://schemas.openxmlformats.org/officeDocument/2006/relationships/hyperlink" Target="https://www.justice.gov/atr/merger-guidelines/applying-merger-guidelines/guideline-9" TargetMode="External"/><Relationship Id="rIdurmkhufvu1msqv0jv1kei" Type="http://schemas.openxmlformats.org/officeDocument/2006/relationships/hyperlink" Target="https://www.oecd.org/en/topics/policy-issues/competition.html" TargetMode="External"/><Relationship Id="rId74y3qypxyayboljvpkf0u" Type="http://schemas.openxmlformats.org/officeDocument/2006/relationships/hyperlink" Target="https://www.concurrences.com/en/review/issues/no-7-2026/article-6811/generative-ai-in-check-gatekeeper-power-and-policy-under-the-dma" TargetMode="External"/><Relationship Id="rId5cu45eqexzki-dfydhgzz" Type="http://schemas.openxmlformats.org/officeDocument/2006/relationships/hyperlink" Target="https://digital-markets-act.ec.europa.eu/index_en" TargetMode="External"/><Relationship Id="rIdymz53_b6cxaogwu0mus1c" Type="http://schemas.openxmlformats.org/officeDocument/2006/relationships/hyperlink" Target="https://competition-policy.ec.europa.eu/antitrust-and-cartels/legislation/application-article-102-tfeu_en" TargetMode="External"/><Relationship Id="rIdlvdo8jvwhpjjh1avu2m7i" Type="http://schemas.openxmlformats.org/officeDocument/2006/relationships/hyperlink" Target="https://ec.europa.eu/competition/antitrust/cases/dec_docs/39740/39740_14996_3.pdf" TargetMode="External"/><Relationship Id="rId4ckosl-jpstlg04yfdnuj" Type="http://schemas.openxmlformats.org/officeDocument/2006/relationships/hyperlink" Target="https://ec.europa.eu/competition/antitrust/cases/dec_docs/39740/39740_14996_3.pdf" TargetMode="External"/><Relationship Id="rIdovugmdrhhnwpocg4wzw_u" Type="http://schemas.openxmlformats.org/officeDocument/2006/relationships/hyperlink" Target="https://ec.europa.eu/competition/antitrust/cases/dec_docs/39740/39740_14996_3.pdf" TargetMode="External"/><Relationship Id="rIdresncrk4gh6vi3qsbtrj9" Type="http://schemas.openxmlformats.org/officeDocument/2006/relationships/hyperlink" Target="https://ec.europa.eu/competition/antitrust/cases/dec_docs/39740/39740_14996_3.pdf" TargetMode="External"/><Relationship Id="rIddrp3n_oh25qzzkc-j7umr" Type="http://schemas.openxmlformats.org/officeDocument/2006/relationships/hyperlink" Target="https://ec.europa.eu/competition/antitrust/cases/dec_docs/39740/39740_14996_3.pdf" TargetMode="External"/><Relationship Id="rIdyuqq8_bjssix4f5klhxh_" Type="http://schemas.openxmlformats.org/officeDocument/2006/relationships/hyperlink" Target="https://ec.europa.eu/competition/antitrust/cases/dec_docs/39740/39740_14996_3.pdf" TargetMode="External"/><Relationship Id="rIdqo2nmsm65p7p6rokpv0dd" Type="http://schemas.openxmlformats.org/officeDocument/2006/relationships/hyperlink" Target="https://ec.europa.eu/competition/antitrust/cases/dec_docs/39740/39740_14996_3.pdf" TargetMode="External"/><Relationship Id="rIdudqxsu5dan6mqy9jjz4_p" Type="http://schemas.openxmlformats.org/officeDocument/2006/relationships/hyperlink" Target="https://ec.europa.eu/competition/antitrust/cases/dec_docs/39740/39740_14996_3.pdf" TargetMode="External"/><Relationship Id="rIdrvbujedd2tusdw3ngaagg" Type="http://schemas.openxmlformats.org/officeDocument/2006/relationships/hyperlink" Target="https://ec.europa.eu/competition/antitrust/cases/dec_docs/39740/39740_14996_3.pdf" TargetMode="External"/><Relationship Id="rIdpro57ahehv0oqcum7ppaa" Type="http://schemas.openxmlformats.org/officeDocument/2006/relationships/hyperlink" Target="https://ec.europa.eu/competition/antitrust/cases/dec_docs/39740/39740_14996_3.pdf" TargetMode="External"/><Relationship Id="rIdjvlkp6gud3btdigmhm8bw" Type="http://schemas.openxmlformats.org/officeDocument/2006/relationships/hyperlink" Target="https://ec.europa.eu/competition/antitrust/cases/dec_docs/39740/39740_14996_3.pdf" TargetMode="External"/><Relationship Id="rId_qwdcxlw4jtixhsl2t85w" Type="http://schemas.openxmlformats.org/officeDocument/2006/relationships/hyperlink" Target="https://ec.europa.eu/competition/antitrust/cases/dec_docs/39740/39740_14996_3.pdf" TargetMode="External"/><Relationship Id="rId5fi_o-pvfi68jz6ktdumn" Type="http://schemas.openxmlformats.org/officeDocument/2006/relationships/hyperlink" Target="https://ec.europa.eu/competition/antitrust/cases/dec_docs/39740/39740_14996_3.pdf" TargetMode="External"/><Relationship Id="rIdgv6rsfp17dp-6qxqcdkot" Type="http://schemas.openxmlformats.org/officeDocument/2006/relationships/hyperlink" Target="https://ec.europa.eu/competition/antitrust/cases/dec_docs/39740/39740_14996_3.pdf" TargetMode="External"/><Relationship Id="rIdqozskh_spv3dpgsfopglo" Type="http://schemas.openxmlformats.org/officeDocument/2006/relationships/hyperlink" Target="https://ec.europa.eu/competition/antitrust/cases/dec_docs/39740/39740_14996_3.pdf" TargetMode="External"/><Relationship Id="rId3t_z94xzjyrd5orflphwt" Type="http://schemas.openxmlformats.org/officeDocument/2006/relationships/hyperlink" Target="https://ec.europa.eu/competition/antitrust/cases/dec_docs/39740/39740_14996_3.pdf" TargetMode="External"/><Relationship Id="rIdhh9t6wjz8coldxzhtgebp" Type="http://schemas.openxmlformats.org/officeDocument/2006/relationships/hyperlink" Target="https://ec.europa.eu/competition/antitrust/cases/dec_docs/39740/39740_14996_3.pdf" TargetMode="External"/><Relationship Id="rIdr-1fivz_pt1r1ewccxs6c" Type="http://schemas.openxmlformats.org/officeDocument/2006/relationships/hyperlink" Target="https://ec.europa.eu/competition/antitrust/cases/dec_docs/39740/39740_14996_3.pdf" TargetMode="External"/><Relationship Id="rIdeamizf8oexvwldyojr4wq" Type="http://schemas.openxmlformats.org/officeDocument/2006/relationships/hyperlink" Target="https://ec.europa.eu/competition/antitrust/cases/dec_docs/39740/39740_14996_3.pdf" TargetMode="External"/><Relationship Id="rIdzhuj3hcseh_otq2j5t1e3" Type="http://schemas.openxmlformats.org/officeDocument/2006/relationships/hyperlink" Target="https://ec.europa.eu/competition/antitrust/cases/dec_docs/39740/39740_14996_3.pdf" TargetMode="External"/><Relationship Id="rIdrvvgwv_ms_grpnxn-sjyu" Type="http://schemas.openxmlformats.org/officeDocument/2006/relationships/hyperlink" Target="https://ec.europa.eu/competition/antitrust/cases/dec_docs/39740/39740_14996_3.pdf" TargetMode="External"/><Relationship Id="rIdwkpa04v8wetr-ds_qk3o0" Type="http://schemas.openxmlformats.org/officeDocument/2006/relationships/hyperlink" Target="https://ec.europa.eu/competition/antitrust/cases/dec_docs/39740/39740_14996_3.pdf" TargetMode="External"/><Relationship Id="rIdfatw4qkqepy8l3fea-a_j" Type="http://schemas.openxmlformats.org/officeDocument/2006/relationships/hyperlink" Target="https://ec.europa.eu/competition/antitrust/cases/dec_docs/39740/39740_14996_3.pdf" TargetMode="External"/><Relationship Id="rIdei9ersjackzrtmj8o17ug" Type="http://schemas.openxmlformats.org/officeDocument/2006/relationships/hyperlink" Target="https://ec.europa.eu/competition/antitrust/cases/dec_docs/39740/39740_14996_3.pdf" TargetMode="External"/><Relationship Id="rIdtakgtkfa8kymretiearjh" Type="http://schemas.openxmlformats.org/officeDocument/2006/relationships/hyperlink" Target="https://ec.europa.eu/competition/antitrust/cases/dec_docs/39740/39740_14996_3.pdf" TargetMode="External"/><Relationship Id="rIdifbi7uawcgvcnsccog9ud" Type="http://schemas.openxmlformats.org/officeDocument/2006/relationships/hyperlink" Target="https://ec.europa.eu/competition/antitrust/cases/dec_docs/39740/39740_14996_3.pdf" TargetMode="External"/><Relationship Id="rId8654fnzxyuxtsbshta1v7" Type="http://schemas.openxmlformats.org/officeDocument/2006/relationships/hyperlink" Target="https://competition-policy.ec.europa.eu/antitrust-and-cartels/legislation/application-article-102-tfeu_en" TargetMode="External"/><Relationship Id="rIdrc7xjp_o7kk8cilfpenfg" Type="http://schemas.openxmlformats.org/officeDocument/2006/relationships/hyperlink" Target="https://competition-policy.ec.europa.eu/system/files/2021-05/antitrust_procedures_102_en.pdf" TargetMode="External"/><Relationship Id="rIdtuffdjyfpk7o1vdm_p-ye" Type="http://schemas.openxmlformats.org/officeDocument/2006/relationships/hyperlink" Target="https://digital-markets-act.ec.europa.eu/index_en" TargetMode="External"/><Relationship Id="rIduu51hhqoupqyreviiuvkt" Type="http://schemas.openxmlformats.org/officeDocument/2006/relationships/hyperlink" Target="https://academic.oup.com/grurint/article/74/3/217/7989429" TargetMode="External"/><Relationship Id="rIdldfwjg-47gsa_ekdqxsvr" Type="http://schemas.openxmlformats.org/officeDocument/2006/relationships/hyperlink" Target="https://competition-policy.ec.europa.eu/system/files/2023-03/guidance_paper_article_102_redline_post_amending_communication.pdf" TargetMode="External"/><Relationship Id="rIdfrmltpxuvcg1b2ssjdhmt" Type="http://schemas.openxmlformats.org/officeDocument/2006/relationships/hyperlink" Target="https://www.faros.eu/images/content/241202-abuseofdominance-EU-draftguidanceenforcementprio.pdf" TargetMode="External"/><Relationship Id="rIdkc8udsh06aqbd7nlxr_3g" Type="http://schemas.openxmlformats.org/officeDocument/2006/relationships/hyperlink" Target="https://www.concurrences.com/en/review/numeros/no-7-2026/dossier/first-review-of-the-digital-markets-act/part-i-first-review-of-the-digital-markets-act-introduction" TargetMode="External"/><Relationship Id="rIdiowmb3lhrnogkwnrsgfrj" Type="http://schemas.openxmlformats.org/officeDocument/2006/relationships/hyperlink" Target="https://www.oecd.org/en/events/2026/06/competition-and-consumer-policy-in-digital-markets.html" TargetMode="External"/><Relationship Id="rIdudjh6nrfof0v18zhxhgso" Type="http://schemas.openxmlformats.org/officeDocument/2006/relationships/hyperlink" Target="https://eur-lex.europa.eu/EN/legal-content/summary/definition-of-relevant-market.html" TargetMode="External"/><Relationship Id="rIdqqqmasflmc_clfn33hxuy" Type="http://schemas.openxmlformats.org/officeDocument/2006/relationships/hyperlink" Target="https://competition-policy.ec.europa.eu/document/download/adb27d8b-3dd8-4202-958d-198cf0740ce3_en" TargetMode="External"/><Relationship Id="rIddxevot0_rmwmnbysnccfs" Type="http://schemas.openxmlformats.org/officeDocument/2006/relationships/hyperlink" Target="https://www.justice.gov/atr/merger-guidelines/applying-merger-guidelines/guideline-9" TargetMode="External"/><Relationship Id="rIdxki8pkihb0otakje6cdlx" Type="http://schemas.openxmlformats.org/officeDocument/2006/relationships/hyperlink" Target="https://www.oecd.org/en/topics/policy-issues/competition.html" TargetMode="External"/><Relationship Id="rId79i7hpbrpdilafz1trkcr" Type="http://schemas.openxmlformats.org/officeDocument/2006/relationships/hyperlink" Target="https://www.concurrences.com/en/review/issues/no-7-2026/article-6811/generative-ai-in-check-gatekeeper-power-and-policy-under-the-dma" TargetMode="External"/><Relationship Id="rIdi7x62nva2qovwfw1rm1qm" Type="http://schemas.openxmlformats.org/officeDocument/2006/relationships/hyperlink" Target="https://ec.europa.eu/competition/antitrust/cases/dec_docs/39740/39740_14996_3.pdf" TargetMode="External"/><Relationship Id="rId1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2026-09-02T11:28:44.398Z</dcterms:created>
  <dcterms:modified xsi:type="dcterms:W3CDTF">2026-09-02T11:28:44.399Z</dcterms:modified>
</cp:coreProperties>
</file>

<file path=docProps/custom.xml><?xml version="1.0" encoding="utf-8"?>
<Properties xmlns="http://schemas.openxmlformats.org/officeDocument/2006/custom-properties" xmlns:vt="http://schemas.openxmlformats.org/officeDocument/2006/docPropsVTypes"/>
</file>