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5F"/>
          <w:sz w:val="32"/>
          <w:szCs w:val="32"/>
        </w:rPr>
        <w:t xml:space="preserve">Response Transcript — Sample 2</w:t>
      </w:r>
    </w:p>
    <w:p>
      <w:pPr>
        <w:pBdr>
          <w:bottom w:val="single" w:color="1F4E5F" w:sz="6" w:space="1"/>
        </w:pBdr>
        <w:spacing w:after="200"/>
      </w:pPr>
    </w:p>
    <w:p>
      <w:pPr>
        <w:spacing w:after="160" w:before="280"/>
      </w:pPr>
      <w:r>
        <w:rPr>
          <w:rFonts w:ascii="Calibri" w:cs="Calibri" w:eastAsia="Calibri" w:hAnsi="Calibri"/>
          <w:b/>
          <w:bCs/>
          <w:color w:val="1F4E5F"/>
          <w:sz w:val="22"/>
          <w:szCs w:val="22"/>
        </w:rPr>
        <w:t xml:space="preserve">User Query</w:t>
      </w:r>
    </w:p>
    <w:p>
      <w:pPr>
        <w:pBdr>
          <w:left w:val="single" w:color="1F4E5F" w:sz="12" w:space="8"/>
        </w:pBdr>
        <w:spacing w:after="200"/>
        <w:ind w:left="431"/>
      </w:pPr>
      <w:r>
        <w:rPr>
          <w:rFonts w:ascii="Calibri" w:cs="Calibri" w:eastAsia="Calibri" w:hAnsi="Calibri"/>
          <w:i/>
          <w:iCs/>
          <w:sz w:val="22"/>
          <w:szCs w:val="22"/>
        </w:rPr>
        <w:t xml:space="preserve">how to assess dominance in multi-sided market?</w:t>
      </w:r>
    </w:p>
    <w:p>
      <w:pPr>
        <w:spacing w:after="160" w:before="280"/>
      </w:pPr>
      <w:r>
        <w:rPr>
          <w:rFonts w:ascii="Calibri" w:cs="Calibri" w:eastAsia="Calibri" w:hAnsi="Calibri"/>
          <w:b/>
          <w:bCs/>
          <w:color w:val="1F4E5F"/>
          <w:sz w:val="22"/>
          <w:szCs w:val="22"/>
        </w:rPr>
        <w:t xml:space="preserve">System Response</w:t>
      </w:r>
    </w:p>
    <w:p>
      <w:pPr>
        <w:spacing w:after="160"/>
      </w:pPr>
      <w:r>
        <w:rPr>
          <w:rFonts w:ascii="Calibri" w:cs="Calibri" w:eastAsia="Calibri" w:hAnsi="Calibri"/>
          <w:b w:val="false"/>
          <w:bCs w:val="false"/>
          <w:i w:val="false"/>
          <w:iCs w:val="false"/>
          <w:sz w:val="22"/>
          <w:szCs w:val="22"/>
        </w:rPr>
        <w:t xml:space="preserve">Assess dominance in a multi-sided market by analyzing whether the platform can act independently of competitive constraints on the relevant sides of the platform, while accounting for indirect network effects, multi-homing, and cross-side substitution. In practice, that means the dominance inquiry should not be confined to one side in isolation if pricing, quality, access, or data advantages on one side are inseparable from effects on the other side.</w:t>
      </w:r>
    </w:p>
    <w:p>
      <w:pPr>
        <w:spacing w:after="120" w:before="200"/>
      </w:pPr>
      <w:r>
        <w:rPr>
          <w:rFonts w:ascii="Calibri" w:cs="Calibri" w:eastAsia="Calibri" w:hAnsi="Calibri"/>
          <w:b/>
          <w:bCs/>
          <w:i/>
          <w:iCs/>
          <w:sz w:val="22"/>
          <w:szCs w:val="22"/>
        </w:rPr>
        <w:t xml:space="preserve">1. Start with the market structure</w:t>
      </w:r>
    </w:p>
    <w:p>
      <w:pPr>
        <w:spacing w:after="160"/>
      </w:pPr>
      <w:r>
        <w:rPr>
          <w:rFonts w:ascii="Calibri" w:cs="Calibri" w:eastAsia="Calibri" w:hAnsi="Calibri"/>
          <w:b w:val="false"/>
          <w:bCs w:val="false"/>
          <w:i w:val="false"/>
          <w:iCs w:val="false"/>
          <w:sz w:val="22"/>
          <w:szCs w:val="22"/>
        </w:rPr>
        <w:t xml:space="preserve">A multi-sided market is a platform environment where distinct user groups interact through an intermediary and each group's value depends on participation by the other group. Typical features include indirect network effects, possible zero-price access on one side, and feedback loops across sides.</w:t>
      </w:r>
    </w:p>
    <w:p>
      <w:pPr>
        <w:spacing w:after="160"/>
      </w:pPr>
      <w:r>
        <w:rPr>
          <w:rFonts w:ascii="Calibri" w:cs="Calibri" w:eastAsia="Calibri" w:hAnsi="Calibri"/>
          <w:b w:val="false"/>
          <w:bCs w:val="false"/>
          <w:i w:val="false"/>
          <w:iCs w:val="false"/>
          <w:sz w:val="22"/>
          <w:szCs w:val="22"/>
        </w:rPr>
        <w:t xml:space="preserve">For dominance analysis, the key questions are:</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Which sides of the platform are relevant to the competitive assessment?</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Are the sides separate relevant markets or part of one interdependent market?</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Do users single-home or multi-home?</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Can users switch without meaningful loss of functionality, audience, or access?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Are there alternative channels that discipline the platform?</w:t>
      </w:r>
    </w:p>
    <w:p>
      <w:pPr>
        <w:spacing w:after="160"/>
      </w:pPr>
      <w:r>
        <w:rPr>
          <w:rFonts w:ascii="Calibri" w:cs="Calibri" w:eastAsia="Calibri" w:hAnsi="Calibri"/>
          <w:b w:val="false"/>
          <w:bCs w:val="false"/>
          <w:i w:val="false"/>
          <w:iCs w:val="false"/>
          <w:sz w:val="22"/>
          <w:szCs w:val="22"/>
        </w:rPr>
        <w:t xml:space="preserve">Useful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Article 102 TFEU</w:t>
      </w:r>
      <w:hyperlink w:history="1" r:id="rIdfexh-e6u79lhbcktv6ypi">
        <w:r>
          <w:rPr>
            <w:rFonts w:ascii="Calibri" w:cs="Calibri" w:eastAsia="Calibri" w:hAnsi="Calibri"/>
            <w:color w:val="1F4E5F"/>
            <w:sz w:val="22"/>
            <w:szCs w:val="22"/>
            <w:u w:val="single"/>
          </w:rPr>
          <w:t xml:space="preserve">[1]</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European Commission — Market Definition Notice (2024)</w:t>
      </w:r>
      <w:hyperlink w:history="1" r:id="rId5hnhuqdos3dvtisaq6g9f">
        <w:r>
          <w:rPr>
            <w:rFonts w:ascii="Calibri" w:cs="Calibri" w:eastAsia="Calibri" w:hAnsi="Calibri"/>
            <w:color w:val="1F4E5F"/>
            <w:sz w:val="22"/>
            <w:szCs w:val="22"/>
            <w:u w:val="single"/>
          </w:rPr>
          <w:t xml:space="preserve">[2]</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Competition policy and multi-sided markets</w:t>
      </w:r>
      <w:hyperlink w:history="1" r:id="rIdtpsw0tiasopyrllpc62bm">
        <w:r>
          <w:rPr>
            <w:rFonts w:ascii="Calibri" w:cs="Calibri" w:eastAsia="Calibri" w:hAnsi="Calibri"/>
            <w:color w:val="1F4E5F"/>
            <w:sz w:val="22"/>
            <w:szCs w:val="22"/>
            <w:u w:val="single"/>
          </w:rPr>
          <w:t xml:space="preserve">[3]</w:t>
        </w:r>
      </w:hyperlink>
    </w:p>
    <w:p>
      <w:pPr>
        <w:spacing w:after="120" w:before="200"/>
      </w:pPr>
      <w:r>
        <w:rPr>
          <w:rFonts w:ascii="Calibri" w:cs="Calibri" w:eastAsia="Calibri" w:hAnsi="Calibri"/>
          <w:b/>
          <w:bCs/>
          <w:i/>
          <w:iCs/>
          <w:sz w:val="22"/>
          <w:szCs w:val="22"/>
        </w:rPr>
        <w:t xml:space="preserve">2. Define the relevant market side by side</w:t>
      </w:r>
    </w:p>
    <w:p>
      <w:pPr>
        <w:spacing w:after="160"/>
      </w:pPr>
      <w:r>
        <w:rPr>
          <w:rFonts w:ascii="Calibri" w:cs="Calibri" w:eastAsia="Calibri" w:hAnsi="Calibri"/>
          <w:b w:val="false"/>
          <w:bCs w:val="false"/>
          <w:i w:val="false"/>
          <w:iCs w:val="false"/>
          <w:sz w:val="22"/>
          <w:szCs w:val="22"/>
        </w:rPr>
        <w:t xml:space="preserve">The assessment usually begins with market definition, but multi-sided markets require flexibility. The relevant market may be: one integrated market covering multiple sides; separate markets for each side; or a hybrid approach where one side is defined narrowly and the other more broadly.</w:t>
      </w:r>
    </w:p>
    <w:p>
      <w:pPr>
        <w:spacing w:after="160"/>
      </w:pPr>
      <w:r>
        <w:rPr>
          <w:rFonts w:ascii="Calibri" w:cs="Calibri" w:eastAsia="Calibri" w:hAnsi="Calibri"/>
          <w:b w:val="false"/>
          <w:bCs w:val="false"/>
          <w:i w:val="false"/>
          <w:iCs w:val="false"/>
          <w:sz w:val="22"/>
          <w:szCs w:val="22"/>
        </w:rPr>
        <w:t xml:space="preserve">The most important analytical point is that demand substitution on one side can be constrained by conditions on the other side. A platform may be free to users on one side, but that does not mean there is no market power; the platform may monetize attention, data, access, or transaction volume elsewhere.</w:t>
      </w:r>
    </w:p>
    <w:p>
      <w:pPr>
        <w:spacing w:after="160"/>
      </w:pPr>
      <w:r>
        <w:rPr>
          <w:rFonts w:ascii="Calibri" w:cs="Calibri" w:eastAsia="Calibri" w:hAnsi="Calibri"/>
          <w:b w:val="false"/>
          <w:bCs w:val="false"/>
          <w:i w:val="false"/>
          <w:iCs w:val="false"/>
          <w:sz w:val="22"/>
          <w:szCs w:val="22"/>
        </w:rPr>
        <w:t xml:space="preserve">Key market-definition considerations: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Indirect network effects between sides.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Non-price competition, especially quality, functionality, data, interoperability, and user experience.</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Multi-homing and single-homing.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Switching costs and lock-in.</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Whether the platform is a transaction platform or a non-transaction platform.</w:t>
      </w:r>
    </w:p>
    <w:p>
      <w:pPr>
        <w:spacing w:after="160"/>
      </w:pPr>
      <w:r>
        <w:rPr>
          <w:rFonts w:ascii="Calibri" w:cs="Calibri" w:eastAsia="Calibri" w:hAnsi="Calibri"/>
          <w:b w:val="false"/>
          <w:bCs w:val="false"/>
          <w:i w:val="false"/>
          <w:iCs w:val="false"/>
          <w:sz w:val="22"/>
          <w:szCs w:val="22"/>
        </w:rPr>
        <w:t xml:space="preserve">Useful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Market Definition Notice</w:t>
      </w:r>
      <w:hyperlink w:history="1" r:id="rId4fmstdvkynf6yd_q5jlyl">
        <w:r>
          <w:rPr>
            <w:rFonts w:ascii="Calibri" w:cs="Calibri" w:eastAsia="Calibri" w:hAnsi="Calibri"/>
            <w:color w:val="1F4E5F"/>
            <w:sz w:val="22"/>
            <w:szCs w:val="22"/>
            <w:u w:val="single"/>
          </w:rPr>
          <w:t xml:space="preserve">[2]</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roundtable material on market definition in multi-sided markets</w:t>
      </w:r>
      <w:hyperlink w:history="1" r:id="rId0d-p1jryvzs6y4syrvbwy">
        <w:r>
          <w:rPr>
            <w:rFonts w:ascii="Calibri" w:cs="Calibri" w:eastAsia="Calibri" w:hAnsi="Calibri"/>
            <w:color w:val="1F4E5F"/>
            <w:sz w:val="22"/>
            <w:szCs w:val="22"/>
            <w:u w:val="single"/>
          </w:rPr>
          <w:t xml:space="preserve">[4]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European Commission competition policy</w:t>
      </w:r>
      <w:hyperlink w:history="1" r:id="rIdoccbqnfdqxvptlm9zwwkv">
        <w:r>
          <w:rPr>
            <w:rFonts w:ascii="Calibri" w:cs="Calibri" w:eastAsia="Calibri" w:hAnsi="Calibri"/>
            <w:color w:val="1F4E5F"/>
            <w:sz w:val="22"/>
            <w:szCs w:val="22"/>
            <w:u w:val="single"/>
          </w:rPr>
          <w:t xml:space="preserve">[5]</w:t>
        </w:r>
      </w:hyperlink>
    </w:p>
    <w:p>
      <w:pPr>
        <w:spacing w:after="120" w:before="200"/>
      </w:pPr>
      <w:r>
        <w:rPr>
          <w:rFonts w:ascii="Calibri" w:cs="Calibri" w:eastAsia="Calibri" w:hAnsi="Calibri"/>
          <w:b/>
          <w:bCs/>
          <w:i/>
          <w:iCs/>
          <w:sz w:val="22"/>
          <w:szCs w:val="22"/>
        </w:rPr>
        <w:t xml:space="preserve">3. Test the competitive constraints on each side</w:t>
      </w:r>
    </w:p>
    <w:p>
      <w:pPr>
        <w:spacing w:after="160"/>
      </w:pPr>
      <w:r>
        <w:rPr>
          <w:rFonts w:ascii="Calibri" w:cs="Calibri" w:eastAsia="Calibri" w:hAnsi="Calibri"/>
          <w:b w:val="false"/>
          <w:bCs w:val="false"/>
          <w:i w:val="false"/>
          <w:iCs w:val="false"/>
          <w:sz w:val="22"/>
          <w:szCs w:val="22"/>
        </w:rPr>
        <w:t xml:space="preserve">Dominance is about whether the platform can behave to an appreciable extent independently of competitors, customers, and consumers. In multi-sided settings, that requires examining competitive constraints on each side and the interaction between them.</w:t>
      </w:r>
    </w:p>
    <w:p>
      <w:pPr>
        <w:spacing w:after="120" w:before="200"/>
      </w:pPr>
      <w:r>
        <w:rPr>
          <w:rFonts w:ascii="Calibri" w:cs="Calibri" w:eastAsia="Calibri" w:hAnsi="Calibri"/>
          <w:b/>
          <w:bCs/>
          <w:i/>
          <w:iCs/>
          <w:sz w:val="22"/>
          <w:szCs w:val="22"/>
        </w:rPr>
        <w:t xml:space="preserve">A. Demand-side constraints</w:t>
      </w:r>
    </w:p>
    <w:p>
      <w:pPr>
        <w:spacing w:after="160"/>
      </w:pPr>
      <w:r>
        <w:rPr>
          <w:rFonts w:ascii="Calibri" w:cs="Calibri" w:eastAsia="Calibri" w:hAnsi="Calibri"/>
          <w:b w:val="false"/>
          <w:bCs w:val="false"/>
          <w:i w:val="false"/>
          <w:iCs w:val="false"/>
          <w:sz w:val="22"/>
          <w:szCs w:val="22"/>
        </w:rPr>
        <w:t xml:space="preserve">Assess whether users can switch to: other platforms; direct bilateral arrangements; offline alternatives; self-supply; alternative channels with similar reach or utility.</w:t>
      </w:r>
    </w:p>
    <w:p>
      <w:pPr>
        <w:spacing w:after="120" w:before="200"/>
      </w:pPr>
      <w:r>
        <w:rPr>
          <w:rFonts w:ascii="Calibri" w:cs="Calibri" w:eastAsia="Calibri" w:hAnsi="Calibri"/>
          <w:b/>
          <w:bCs/>
          <w:i/>
          <w:iCs/>
          <w:sz w:val="22"/>
          <w:szCs w:val="22"/>
        </w:rPr>
        <w:t xml:space="preserve">B. Multi-homing</w:t>
      </w:r>
    </w:p>
    <w:p>
      <w:pPr>
        <w:spacing w:after="160"/>
      </w:pPr>
      <w:r>
        <w:rPr>
          <w:rFonts w:ascii="Calibri" w:cs="Calibri" w:eastAsia="Calibri" w:hAnsi="Calibri"/>
          <w:b w:val="false"/>
          <w:bCs w:val="false"/>
          <w:i w:val="false"/>
          <w:iCs w:val="false"/>
          <w:sz w:val="22"/>
          <w:szCs w:val="22"/>
        </w:rPr>
        <w:t xml:space="preserve">If users or business partners multi-home, the platform may face stronger constraints because rivals can attract traffic or transactions without requiring full migration. But multi-homing may be expensive, fragmented, or only partial, which can still leave the platform dominant.</w:t>
      </w:r>
    </w:p>
    <w:p>
      <w:pPr>
        <w:spacing w:after="120" w:before="200"/>
      </w:pPr>
      <w:r>
        <w:rPr>
          <w:rFonts w:ascii="Calibri" w:cs="Calibri" w:eastAsia="Calibri" w:hAnsi="Calibri"/>
          <w:b/>
          <w:bCs/>
          <w:i/>
          <w:iCs/>
          <w:sz w:val="22"/>
          <w:szCs w:val="22"/>
        </w:rPr>
        <w:t xml:space="preserve">C. Supply-side constraints</w:t>
      </w:r>
    </w:p>
    <w:p>
      <w:pPr>
        <w:spacing w:after="160"/>
      </w:pPr>
      <w:r>
        <w:rPr>
          <w:rFonts w:ascii="Calibri" w:cs="Calibri" w:eastAsia="Calibri" w:hAnsi="Calibri"/>
          <w:b w:val="false"/>
          <w:bCs w:val="false"/>
          <w:i w:val="false"/>
          <w:iCs w:val="false"/>
          <w:sz w:val="22"/>
          <w:szCs w:val="22"/>
        </w:rPr>
        <w:t xml:space="preserve">Assess whether rivals can scale quickly, attract both sides simultaneously, and replicate the platform's matching or intermediation function.</w:t>
      </w:r>
    </w:p>
    <w:p>
      <w:pPr>
        <w:spacing w:after="120" w:before="200"/>
      </w:pPr>
      <w:r>
        <w:rPr>
          <w:rFonts w:ascii="Calibri" w:cs="Calibri" w:eastAsia="Calibri" w:hAnsi="Calibri"/>
          <w:b/>
          <w:bCs/>
          <w:i/>
          <w:iCs/>
          <w:sz w:val="22"/>
          <w:szCs w:val="22"/>
        </w:rPr>
        <w:t xml:space="preserve">D. Ecosystem and data advantages</w:t>
      </w:r>
    </w:p>
    <w:p>
      <w:pPr>
        <w:spacing w:after="160"/>
      </w:pPr>
      <w:r>
        <w:rPr>
          <w:rFonts w:ascii="Calibri" w:cs="Calibri" w:eastAsia="Calibri" w:hAnsi="Calibri"/>
          <w:b w:val="false"/>
          <w:bCs w:val="false"/>
          <w:i w:val="false"/>
          <w:iCs w:val="false"/>
          <w:sz w:val="22"/>
          <w:szCs w:val="22"/>
        </w:rPr>
        <w:t xml:space="preserve">A platform may have dominance even where entry appears easy if it benefits from: data accumulation; superior matching algorithms; default placement; network effects; access to essential audiences or business users.</w:t>
      </w:r>
    </w:p>
    <w:p>
      <w:pPr>
        <w:spacing w:after="160"/>
      </w:pPr>
      <w:r>
        <w:rPr>
          <w:rFonts w:ascii="Calibri" w:cs="Calibri" w:eastAsia="Calibri" w:hAnsi="Calibri"/>
          <w:b w:val="false"/>
          <w:bCs w:val="false"/>
          <w:i w:val="false"/>
          <w:iCs w:val="false"/>
          <w:sz w:val="22"/>
          <w:szCs w:val="22"/>
        </w:rPr>
        <w:t xml:space="preserve">Useful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digital markets roundtable</w:t>
      </w:r>
      <w:hyperlink w:history="1" r:id="rIdfbyft5dfwowysjbeehx3p">
        <w:r>
          <w:rPr>
            <w:rFonts w:ascii="Calibri" w:cs="Calibri" w:eastAsia="Calibri" w:hAnsi="Calibri"/>
            <w:color w:val="1F4E5F"/>
            <w:sz w:val="22"/>
            <w:szCs w:val="22"/>
            <w:u w:val="single"/>
          </w:rPr>
          <w:t xml:space="preserve">[6]</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European Commission competition policy on digital markets</w:t>
      </w:r>
      <w:hyperlink w:history="1" r:id="rIduisnqe9zqjqqja-zanxgb">
        <w:r>
          <w:rPr>
            <w:rFonts w:ascii="Calibri" w:cs="Calibri" w:eastAsia="Calibri" w:hAnsi="Calibri"/>
            <w:color w:val="1F4E5F"/>
            <w:sz w:val="22"/>
            <w:szCs w:val="22"/>
            <w:u w:val="single"/>
          </w:rPr>
          <w:t xml:space="preserve">[6]</w:t>
        </w:r>
      </w:hyperlink>
    </w:p>
    <w:p>
      <w:pPr>
        <w:spacing w:after="120" w:before="200"/>
      </w:pPr>
      <w:r>
        <w:rPr>
          <w:rFonts w:ascii="Calibri" w:cs="Calibri" w:eastAsia="Calibri" w:hAnsi="Calibri"/>
          <w:b/>
          <w:bCs/>
          <w:i/>
          <w:iCs/>
          <w:sz w:val="22"/>
          <w:szCs w:val="22"/>
        </w:rPr>
        <w:t xml:space="preserve">4. Use the right economics tests</w:t>
      </w:r>
    </w:p>
    <w:p>
      <w:pPr>
        <w:spacing w:after="120" w:before="200"/>
      </w:pPr>
      <w:r>
        <w:rPr>
          <w:rFonts w:ascii="Calibri" w:cs="Calibri" w:eastAsia="Calibri" w:hAnsi="Calibri"/>
          <w:b/>
          <w:bCs/>
          <w:i/>
          <w:iCs/>
          <w:sz w:val="22"/>
          <w:szCs w:val="22"/>
        </w:rPr>
        <w:t xml:space="preserve">A. SSNIP-style analysis</w:t>
      </w:r>
    </w:p>
    <w:p>
      <w:pPr>
        <w:spacing w:after="160"/>
      </w:pPr>
      <w:r>
        <w:rPr>
          <w:rFonts w:ascii="Calibri" w:cs="Calibri" w:eastAsia="Calibri" w:hAnsi="Calibri"/>
          <w:b w:val="false"/>
          <w:bCs w:val="false"/>
          <w:i w:val="false"/>
          <w:iCs w:val="false"/>
          <w:sz w:val="22"/>
          <w:szCs w:val="22"/>
        </w:rPr>
        <w:t xml:space="preserve">The standard hypothetical monopolist test remains relevant, but it is often difficult in multi-sided markets because one side may be priced at zero or subsidized. A traditional price-focused test may miss the real competitive constraint.</w:t>
      </w:r>
    </w:p>
    <w:p>
      <w:pPr>
        <w:spacing w:after="120" w:before="200"/>
      </w:pPr>
      <w:r>
        <w:rPr>
          <w:rFonts w:ascii="Calibri" w:cs="Calibri" w:eastAsia="Calibri" w:hAnsi="Calibri"/>
          <w:b/>
          <w:bCs/>
          <w:i/>
          <w:iCs/>
          <w:sz w:val="22"/>
          <w:szCs w:val="22"/>
        </w:rPr>
        <w:t xml:space="preserve">B. SSNDQ or quality-based tests</w:t>
      </w:r>
    </w:p>
    <w:p>
      <w:pPr>
        <w:spacing w:after="160"/>
      </w:pPr>
      <w:r>
        <w:rPr>
          <w:rFonts w:ascii="Calibri" w:cs="Calibri" w:eastAsia="Calibri" w:hAnsi="Calibri"/>
          <w:b w:val="false"/>
          <w:bCs w:val="false"/>
          <w:i w:val="false"/>
          <w:iCs w:val="false"/>
          <w:sz w:val="22"/>
          <w:szCs w:val="22"/>
        </w:rPr>
        <w:t xml:space="preserve">When price is not informative, assess whether a hypothetical monopolist could reduce quality, worsen matching, increase ads, degrade data protections, or narrow functionality without losing enough users.</w:t>
      </w:r>
    </w:p>
    <w:p>
      <w:pPr>
        <w:spacing w:after="120" w:before="200"/>
      </w:pPr>
      <w:r>
        <w:rPr>
          <w:rFonts w:ascii="Calibri" w:cs="Calibri" w:eastAsia="Calibri" w:hAnsi="Calibri"/>
          <w:b/>
          <w:bCs/>
          <w:i/>
          <w:iCs/>
          <w:sz w:val="22"/>
          <w:szCs w:val="22"/>
        </w:rPr>
        <w:t xml:space="preserve">C. Two-sided profit-maximization analysis</w:t>
      </w:r>
    </w:p>
    <w:p>
      <w:pPr>
        <w:spacing w:after="160"/>
      </w:pPr>
      <w:r>
        <w:rPr>
          <w:rFonts w:ascii="Calibri" w:cs="Calibri" w:eastAsia="Calibri" w:hAnsi="Calibri"/>
          <w:b w:val="false"/>
          <w:bCs w:val="false"/>
          <w:i w:val="false"/>
          <w:iCs w:val="false"/>
          <w:sz w:val="22"/>
          <w:szCs w:val="22"/>
        </w:rPr>
        <w:t xml:space="preserve">Ask whether the platform can raise overall profit by worsening terms on one side while compensating on the other. A platform may have market power even if one side appears competitive, because cross-side monetization lets it recoup losses elsewhere.</w:t>
      </w:r>
    </w:p>
    <w:p>
      <w:pPr>
        <w:spacing w:after="120" w:before="200"/>
      </w:pPr>
      <w:r>
        <w:rPr>
          <w:rFonts w:ascii="Calibri" w:cs="Calibri" w:eastAsia="Calibri" w:hAnsi="Calibri"/>
          <w:b/>
          <w:bCs/>
          <w:i/>
          <w:iCs/>
          <w:sz w:val="22"/>
          <w:szCs w:val="22"/>
        </w:rPr>
        <w:t xml:space="preserve">D. Critical loss and diversion</w:t>
      </w:r>
    </w:p>
    <w:p>
      <w:pPr>
        <w:spacing w:after="160"/>
      </w:pPr>
      <w:r>
        <w:rPr>
          <w:rFonts w:ascii="Calibri" w:cs="Calibri" w:eastAsia="Calibri" w:hAnsi="Calibri"/>
          <w:b w:val="false"/>
          <w:bCs w:val="false"/>
          <w:i w:val="false"/>
          <w:iCs w:val="false"/>
          <w:sz w:val="22"/>
          <w:szCs w:val="22"/>
        </w:rPr>
        <w:t xml:space="preserve">Estimate how much user loss would result from a change in terms on one side, and whether diversion would flow to: rival platforms; multi-homing; in-house alternatives; direct channels.</w:t>
      </w:r>
    </w:p>
    <w:p>
      <w:pPr>
        <w:spacing w:after="120" w:before="200"/>
      </w:pPr>
      <w:r>
        <w:rPr>
          <w:rFonts w:ascii="Calibri" w:cs="Calibri" w:eastAsia="Calibri" w:hAnsi="Calibri"/>
          <w:b/>
          <w:bCs/>
          <w:i/>
          <w:iCs/>
          <w:sz w:val="22"/>
          <w:szCs w:val="22"/>
        </w:rPr>
        <w:t xml:space="preserve">E. Network-effects and tipping analysis</w:t>
      </w:r>
    </w:p>
    <w:p>
      <w:pPr>
        <w:spacing w:after="160"/>
      </w:pPr>
      <w:r>
        <w:rPr>
          <w:rFonts w:ascii="Calibri" w:cs="Calibri" w:eastAsia="Calibri" w:hAnsi="Calibri"/>
          <w:b w:val="false"/>
          <w:bCs w:val="false"/>
          <w:i w:val="false"/>
          <w:iCs w:val="false"/>
          <w:sz w:val="22"/>
          <w:szCs w:val="22"/>
        </w:rPr>
        <w:t xml:space="preserve">Assess whether the market tends toward tipping, where scale advantages reinforce themselves and entry becomes structurally difficult. Strong tipping risk can support dominance even before complete foreclosure occurs.</w:t>
      </w:r>
    </w:p>
    <w:p>
      <w:pPr>
        <w:spacing w:after="160"/>
      </w:pPr>
      <w:r>
        <w:rPr>
          <w:rFonts w:ascii="Calibri" w:cs="Calibri" w:eastAsia="Calibri" w:hAnsi="Calibri"/>
          <w:b w:val="false"/>
          <w:bCs w:val="false"/>
          <w:i w:val="false"/>
          <w:iCs w:val="false"/>
          <w:sz w:val="22"/>
          <w:szCs w:val="22"/>
        </w:rPr>
        <w:t xml:space="preserve">Useful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multi-sided market roundtable note</w:t>
      </w:r>
      <w:hyperlink w:history="1" r:id="rId-wuvfksncapjcwaoratgs">
        <w:r>
          <w:rPr>
            <w:rFonts w:ascii="Calibri" w:cs="Calibri" w:eastAsia="Calibri" w:hAnsi="Calibri"/>
            <w:color w:val="1F4E5F"/>
            <w:sz w:val="22"/>
            <w:szCs w:val="22"/>
            <w:u w:val="single"/>
          </w:rPr>
          <w:t xml:space="preserve">[4]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European Commission Market Definition Notice</w:t>
      </w:r>
      <w:hyperlink w:history="1" r:id="rId-3frzdefhdzexfpxxnsyn">
        <w:r>
          <w:rPr>
            <w:rFonts w:ascii="Calibri" w:cs="Calibri" w:eastAsia="Calibri" w:hAnsi="Calibri"/>
            <w:color w:val="1F4E5F"/>
            <w:sz w:val="22"/>
            <w:szCs w:val="22"/>
            <w:u w:val="single"/>
          </w:rPr>
          <w:t xml:space="preserve">[7]</w:t>
        </w:r>
      </w:hyperlink>
    </w:p>
    <w:p>
      <w:pPr>
        <w:spacing w:after="120" w:before="200"/>
      </w:pPr>
      <w:r>
        <w:rPr>
          <w:rFonts w:ascii="Calibri" w:cs="Calibri" w:eastAsia="Calibri" w:hAnsi="Calibri"/>
          <w:b/>
          <w:bCs/>
          <w:i/>
          <w:iCs/>
          <w:sz w:val="22"/>
          <w:szCs w:val="22"/>
        </w:rPr>
        <w:t xml:space="preserve">5. Apply the legal dominance test</w:t>
      </w:r>
    </w:p>
    <w:p>
      <w:pPr>
        <w:spacing w:after="160"/>
      </w:pPr>
      <w:r>
        <w:rPr>
          <w:rFonts w:ascii="Calibri" w:cs="Calibri" w:eastAsia="Calibri" w:hAnsi="Calibri"/>
          <w:b w:val="false"/>
          <w:bCs w:val="false"/>
          <w:i w:val="false"/>
          <w:iCs w:val="false"/>
          <w:sz w:val="22"/>
          <w:szCs w:val="22"/>
        </w:rPr>
        <w:t xml:space="preserve">The legal question is whether the undertaking can act to an appreciable extent independently of competitors, customers, and consumers. In a multi-sided market, that becomes a composite inquiry: control over access to one side can reinforce power on the other; dominance on one side may be enough if it materially affects the platform's overall competitive position; dominance can arise from a combination of network effects, data, defaults, and switching frictions rather than sheer share alone.</w:t>
      </w:r>
    </w:p>
    <w:p>
      <w:pPr>
        <w:spacing w:after="160"/>
      </w:pPr>
      <w:r>
        <w:rPr>
          <w:rFonts w:ascii="Calibri" w:cs="Calibri" w:eastAsia="Calibri" w:hAnsi="Calibri"/>
          <w:b w:val="false"/>
          <w:bCs w:val="false"/>
          <w:i w:val="false"/>
          <w:iCs w:val="false"/>
          <w:sz w:val="22"/>
          <w:szCs w:val="22"/>
        </w:rPr>
        <w:t xml:space="preserve">Relevant indicators include:</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Durable high shares.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Strong entry barriers.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User dependency.</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Indispensability as a trading partner.</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Lack of effective multi-homing.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Preferential access to data or distribution.</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Ecosystem lock-in.</w:t>
      </w:r>
    </w:p>
    <w:p>
      <w:pPr>
        <w:spacing w:after="160"/>
      </w:pPr>
      <w:r>
        <w:rPr>
          <w:rFonts w:ascii="Calibri" w:cs="Calibri" w:eastAsia="Calibri" w:hAnsi="Calibri"/>
          <w:b w:val="false"/>
          <w:bCs w:val="false"/>
          <w:i w:val="false"/>
          <w:iCs w:val="false"/>
          <w:sz w:val="22"/>
          <w:szCs w:val="22"/>
        </w:rPr>
        <w:t xml:space="preserve">Useful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Article 102 TFEU</w:t>
      </w:r>
      <w:hyperlink w:history="1" r:id="rIdetupb21lxz0s8ed7uc7qb">
        <w:r>
          <w:rPr>
            <w:rFonts w:ascii="Calibri" w:cs="Calibri" w:eastAsia="Calibri" w:hAnsi="Calibri"/>
            <w:color w:val="1F4E5F"/>
            <w:sz w:val="22"/>
            <w:szCs w:val="22"/>
            <w:u w:val="single"/>
          </w:rPr>
          <w:t xml:space="preserve">[1]</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European Commission abuse of dominance policy</w:t>
      </w:r>
      <w:hyperlink w:history="1" r:id="rIdtmbehjb8mwqsz9khfxiw6">
        <w:r>
          <w:rPr>
            <w:rFonts w:ascii="Calibri" w:cs="Calibri" w:eastAsia="Calibri" w:hAnsi="Calibri"/>
            <w:color w:val="1F4E5F"/>
            <w:sz w:val="22"/>
            <w:szCs w:val="22"/>
            <w:u w:val="single"/>
          </w:rPr>
          <w:t xml:space="preserve">[8]</w:t>
        </w:r>
      </w:hyperlink>
    </w:p>
    <w:p>
      <w:pPr>
        <w:spacing w:after="120" w:before="200"/>
      </w:pPr>
      <w:r>
        <w:rPr>
          <w:rFonts w:ascii="Calibri" w:cs="Calibri" w:eastAsia="Calibri" w:hAnsi="Calibri"/>
          <w:b/>
          <w:bCs/>
          <w:i/>
          <w:iCs/>
          <w:sz w:val="22"/>
          <w:szCs w:val="22"/>
        </w:rPr>
        <w:t xml:space="preserve">6. Financial markets special considerations</w:t>
      </w:r>
    </w:p>
    <w:p>
      <w:pPr>
        <w:spacing w:after="160"/>
      </w:pPr>
      <w:r>
        <w:rPr>
          <w:rFonts w:ascii="Calibri" w:cs="Calibri" w:eastAsia="Calibri" w:hAnsi="Calibri"/>
          <w:b w:val="false"/>
          <w:bCs w:val="false"/>
          <w:i w:val="false"/>
          <w:iCs w:val="false"/>
          <w:sz w:val="22"/>
          <w:szCs w:val="22"/>
        </w:rPr>
        <w:t xml:space="preserve">If the platform operates in financial markets, the dominance assessment should also reflect: network effects among issuers, investors, and intermediaries; data asymmetries and latency advantages; switching costs linked to custody, execution, clearing, or settlement; regulatory barriers that may strengthen incumbency; the role of trust, interoperability, and access to infrastructure; concentration around essential financial market rails.</w:t>
      </w:r>
    </w:p>
    <w:p>
      <w:pPr>
        <w:spacing w:after="160"/>
      </w:pPr>
      <w:r>
        <w:rPr>
          <w:rFonts w:ascii="Calibri" w:cs="Calibri" w:eastAsia="Calibri" w:hAnsi="Calibri"/>
          <w:b w:val="false"/>
          <w:bCs w:val="false"/>
          <w:i w:val="false"/>
          <w:iCs w:val="false"/>
          <w:sz w:val="22"/>
          <w:szCs w:val="22"/>
        </w:rPr>
        <w:t xml:space="preserve">Financial platforms can look contestable at the interface level while remaining strongly insulated by upstream or downstream bottlenecks.</w:t>
      </w:r>
    </w:p>
    <w:p>
      <w:pPr>
        <w:spacing w:after="160"/>
      </w:pPr>
      <w:r>
        <w:rPr>
          <w:rFonts w:ascii="Calibri" w:cs="Calibri" w:eastAsia="Calibri" w:hAnsi="Calibri"/>
          <w:b w:val="false"/>
          <w:bCs w:val="false"/>
          <w:i w:val="false"/>
          <w:iCs w:val="false"/>
          <w:sz w:val="22"/>
          <w:szCs w:val="22"/>
        </w:rPr>
        <w:t xml:space="preserve">Useful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financial markets competition materials</w:t>
      </w:r>
      <w:hyperlink w:history="1" r:id="rId3envwmgqekuj_priun_1r">
        <w:r>
          <w:rPr>
            <w:rFonts w:ascii="Calibri" w:cs="Calibri" w:eastAsia="Calibri" w:hAnsi="Calibri"/>
            <w:color w:val="1F4E5F"/>
            <w:sz w:val="22"/>
            <w:szCs w:val="22"/>
            <w:u w:val="single"/>
          </w:rPr>
          <w:t xml:space="preserve">[9]</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European Commission competition policy — financial services</w:t>
      </w:r>
      <w:hyperlink w:history="1" r:id="rId1o86v83mlxbtzgbb8kbiz">
        <w:r>
          <w:rPr>
            <w:rFonts w:ascii="Calibri" w:cs="Calibri" w:eastAsia="Calibri" w:hAnsi="Calibri"/>
            <w:color w:val="1F4E5F"/>
            <w:sz w:val="22"/>
            <w:szCs w:val="22"/>
            <w:u w:val="single"/>
          </w:rPr>
          <w:t xml:space="preserve">[10]</w:t>
        </w:r>
      </w:hyperlink>
    </w:p>
    <w:p>
      <w:pPr>
        <w:spacing w:after="120" w:before="200"/>
      </w:pPr>
      <w:r>
        <w:rPr>
          <w:rFonts w:ascii="Calibri" w:cs="Calibri" w:eastAsia="Calibri" w:hAnsi="Calibri"/>
          <w:b/>
          <w:bCs/>
          <w:i/>
          <w:iCs/>
          <w:sz w:val="22"/>
          <w:szCs w:val="22"/>
        </w:rPr>
        <w:t xml:space="preserve">7. Practical assessment framework</w:t>
      </w:r>
    </w:p>
    <w:p>
      <w:pPr>
        <w:spacing w:after="160"/>
      </w:pPr>
      <w:r>
        <w:rPr>
          <w:rFonts w:ascii="Calibri" w:cs="Calibri" w:eastAsia="Calibri" w:hAnsi="Calibri"/>
          <w:b w:val="false"/>
          <w:bCs w:val="false"/>
          <w:i w:val="false"/>
          <w:iCs w:val="false"/>
          <w:sz w:val="22"/>
          <w:szCs w:val="22"/>
        </w:rPr>
        <w:t xml:space="preserve">A workable dominance analysis usually proceeds as follows: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Identify all relevant sides and user groups.</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Determine whether one integrated market or several linked markets are implicated.</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Measure switching, multi-homing, and diversion on each side.</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Assess network effects and whether they are strong enough to create durable power.</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Test whether a price, quality, data, or access deterioration would be constrained.</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Evaluate whether entry or expansion would be timely and sufficient.</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Weigh ecosystem effects, defaults, and control over key interfaces.</w:t>
      </w:r>
    </w:p>
    <w:p>
      <w:pPr>
        <w:spacing w:after="160"/>
      </w:pPr>
      <w:r>
        <w:rPr>
          <w:rFonts w:ascii="Calibri" w:cs="Calibri" w:eastAsia="Calibri" w:hAnsi="Calibri"/>
          <w:b w:val="false"/>
          <w:bCs w:val="false"/>
          <w:i w:val="false"/>
          <w:iCs w:val="false"/>
          <w:sz w:val="22"/>
          <w:szCs w:val="22"/>
        </w:rPr>
        <w:t xml:space="preserve">Useful reading: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European Commission Market Definition Notice</w:t>
      </w:r>
      <w:hyperlink w:history="1" r:id="rIdd38x0izqycjw__ymux-om">
        <w:r>
          <w:rPr>
            <w:rFonts w:ascii="Calibri" w:cs="Calibri" w:eastAsia="Calibri" w:hAnsi="Calibri"/>
            <w:color w:val="1F4E5F"/>
            <w:sz w:val="22"/>
            <w:szCs w:val="22"/>
            <w:u w:val="single"/>
          </w:rPr>
          <w:t xml:space="preserve">[7]</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roundtable on multi-sided markets</w:t>
      </w:r>
      <w:hyperlink w:history="1" r:id="rId-rb2bzjax_gs-ykxaovxj">
        <w:r>
          <w:rPr>
            <w:rFonts w:ascii="Calibri" w:cs="Calibri" w:eastAsia="Calibri" w:hAnsi="Calibri"/>
            <w:color w:val="1F4E5F"/>
            <w:sz w:val="22"/>
            <w:szCs w:val="22"/>
            <w:u w:val="single"/>
          </w:rPr>
          <w:t xml:space="preserve">[4]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OECD competition and digital markets</w:t>
      </w:r>
      <w:hyperlink w:history="1" r:id="rId1j_d9obbxa5mapw5jv7z3">
        <w:r>
          <w:rPr>
            <w:rFonts w:ascii="Calibri" w:cs="Calibri" w:eastAsia="Calibri" w:hAnsi="Calibri"/>
            <w:color w:val="1F4E5F"/>
            <w:sz w:val="22"/>
            <w:szCs w:val="22"/>
            <w:u w:val="single"/>
          </w:rPr>
          <w:t xml:space="preserve">[11]</w:t>
        </w:r>
      </w:hyperlink>
    </w:p>
    <w:p>
      <w:pPr>
        <w:spacing w:after="120" w:before="200"/>
      </w:pPr>
      <w:r>
        <w:rPr>
          <w:rFonts w:ascii="Calibri" w:cs="Calibri" w:eastAsia="Calibri" w:hAnsi="Calibri"/>
          <w:b/>
          <w:bCs/>
          <w:i/>
          <w:iCs/>
          <w:sz w:val="22"/>
          <w:szCs w:val="22"/>
        </w:rPr>
        <w:t xml:space="preserve">8. Core doctrinal point for the expert analysis</w:t>
      </w:r>
    </w:p>
    <w:p>
      <w:pPr>
        <w:spacing w:after="160"/>
      </w:pPr>
      <w:r>
        <w:rPr>
          <w:rFonts w:ascii="Calibri" w:cs="Calibri" w:eastAsia="Calibri" w:hAnsi="Calibri"/>
          <w:b w:val="false"/>
          <w:bCs w:val="false"/>
          <w:i w:val="false"/>
          <w:iCs w:val="false"/>
          <w:sz w:val="22"/>
          <w:szCs w:val="22"/>
        </w:rPr>
        <w:t xml:space="preserve">Do not ask only whether one side of the platform is competitive in isolation. The better question is whether the platform can exploit interdependence between sides to sustain power across the ecosystem, and whether rivals can realistically discipline that power through substitution, multi-homing, or entry.</w:t>
      </w:r>
    </w:p>
    <w:p>
      <w:pPr>
        <w:spacing w:after="160"/>
      </w:pPr>
      <w:r>
        <w:rPr>
          <w:rFonts w:ascii="Calibri" w:cs="Calibri" w:eastAsia="Calibri" w:hAnsi="Calibri"/>
          <w:b w:val="false"/>
          <w:bCs w:val="false"/>
          <w:i w:val="false"/>
          <w:iCs w:val="false"/>
          <w:sz w:val="22"/>
          <w:szCs w:val="22"/>
        </w:rPr>
        <w:t xml:space="preserve">Keywords worth following:</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Indirect network effects</w:t>
      </w:r>
      <w:hyperlink w:history="1" r:id="rIdafynx6-0c4sqtzdbewvx6">
        <w:r>
          <w:rPr>
            <w:rFonts w:ascii="Calibri" w:cs="Calibri" w:eastAsia="Calibri" w:hAnsi="Calibri"/>
            <w:color w:val="1F4E5F"/>
            <w:sz w:val="22"/>
            <w:szCs w:val="22"/>
            <w:u w:val="single"/>
          </w:rPr>
          <w:t xml:space="preserve">[12]</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Multi-homing</w:t>
      </w:r>
      <w:hyperlink w:history="1" r:id="rIdvlce23pogsicob1yooq12">
        <w:r>
          <w:rPr>
            <w:rFonts w:ascii="Calibri" w:cs="Calibri" w:eastAsia="Calibri" w:hAnsi="Calibri"/>
            <w:color w:val="1F4E5F"/>
            <w:sz w:val="22"/>
            <w:szCs w:val="22"/>
            <w:u w:val="single"/>
          </w:rPr>
          <w:t xml:space="preserve">[13]</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Market definition</w:t>
      </w:r>
      <w:hyperlink w:history="1" r:id="rIdax2qd_-szdutfz_v01rjq">
        <w:r>
          <w:rPr>
            <w:rFonts w:ascii="Calibri" w:cs="Calibri" w:eastAsia="Calibri" w:hAnsi="Calibri"/>
            <w:color w:val="1F4E5F"/>
            <w:sz w:val="22"/>
            <w:szCs w:val="22"/>
            <w:u w:val="single"/>
          </w:rPr>
          <w:t xml:space="preserve">[13]</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Abuse of dominance</w:t>
      </w:r>
      <w:hyperlink w:history="1" r:id="rIdubgp_wv8ga_yplukpfctr">
        <w:r>
          <w:rPr>
            <w:rFonts w:ascii="Calibri" w:cs="Calibri" w:eastAsia="Calibri" w:hAnsi="Calibri"/>
            <w:color w:val="1F4E5F"/>
            <w:sz w:val="22"/>
            <w:szCs w:val="22"/>
            <w:u w:val="single"/>
          </w:rPr>
          <w:t xml:space="preserve">[14]</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Article 102 TFEU</w:t>
      </w:r>
      <w:hyperlink w:history="1" r:id="rId7i8vthk-i44e52idchklv">
        <w:r>
          <w:rPr>
            <w:rFonts w:ascii="Calibri" w:cs="Calibri" w:eastAsia="Calibri" w:hAnsi="Calibri"/>
            <w:color w:val="1F4E5F"/>
            <w:sz w:val="22"/>
            <w:szCs w:val="22"/>
            <w:u w:val="single"/>
          </w:rPr>
          <w:t xml:space="preserve">[1]</w:t>
        </w:r>
      </w:hyperlink>
    </w:p>
    <w:p>
      <w:pPr>
        <w:spacing w:after="120" w:before="200"/>
      </w:pPr>
      <w:r>
        <w:rPr>
          <w:rFonts w:ascii="Calibri" w:cs="Calibri" w:eastAsia="Calibri" w:hAnsi="Calibri"/>
          <w:b/>
          <w:bCs/>
          <w:i/>
          <w:iCs/>
          <w:sz w:val="22"/>
          <w:szCs w:val="22"/>
        </w:rPr>
        <w:t xml:space="preserve">Example Case:</w:t>
      </w:r>
    </w:p>
    <w:p>
      <w:pPr>
        <w:spacing w:after="120"/>
      </w:pPr>
      <w:r>
        <w:rPr>
          <w:rFonts w:ascii="Calibri" w:cs="Calibri" w:eastAsia="Calibri" w:hAnsi="Calibri"/>
          <w:i w:val="false"/>
          <w:iCs w:val="false"/>
          <w:sz w:val="22"/>
          <w:szCs w:val="22"/>
        </w:rPr>
        <w:t xml:space="preserve">Here are relevant cases worth your time based on your search query.</w:t>
      </w:r>
    </w:p>
    <w:p>
      <w:pPr>
        <w:spacing w:after="160"/>
      </w:pPr>
      <w:r>
        <w:rPr>
          <w:rFonts w:ascii="Calibri" w:cs="Calibri" w:eastAsia="Calibri" w:hAnsi="Calibri"/>
          <w:b/>
          <w:bCs/>
          <w:i w:val="false"/>
          <w:iCs w:val="false"/>
          <w:sz w:val="22"/>
          <w:szCs w:val="22"/>
        </w:rPr>
        <w:t xml:space="preserve">AT.39740 - Google Search (Shopping)</w:t>
      </w:r>
    </w:p>
    <w:p>
      <w:pPr>
        <w:spacing w:after="120" w:before="200"/>
      </w:pPr>
      <w:r>
        <w:rPr>
          <w:rFonts w:ascii="Calibri" w:cs="Calibri" w:eastAsia="Calibri" w:hAnsi="Calibri"/>
          <w:b/>
          <w:bCs/>
          <w:i/>
          <w:iCs/>
          <w:sz w:val="22"/>
          <w:szCs w:val="22"/>
        </w:rPr>
        <w:t xml:space="preserve">Case Background</w:t>
      </w:r>
    </w:p>
    <w:p>
      <w:pPr>
        <w:spacing w:after="160"/>
      </w:pPr>
      <w:r>
        <w:rPr>
          <w:rFonts w:ascii="Calibri" w:cs="Calibri" w:eastAsia="Calibri" w:hAnsi="Calibri"/>
          <w:b w:val="false"/>
          <w:bCs w:val="false"/>
          <w:i w:val="false"/>
          <w:iCs w:val="false"/>
          <w:sz w:val="22"/>
          <w:szCs w:val="22"/>
        </w:rPr>
        <w:t xml:space="preserve">The allegation made in this case is that Google engaged in conduct that resulted in the infringement of competition rules by favoring its own comparison shopping service over competing services in its general search results pages.</w:t>
      </w:r>
      <w:hyperlink w:history="1" r:id="rId2igwjn-ws_qahbfs-muhz">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The companies involved in this case are Google Inc. and its parent company, Alphabet Inc.</w:t>
      </w:r>
      <w:hyperlink w:history="1" r:id="rIdo0m2-fnwvtfnxcfpz_to5">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The year of case initiation was 2010, with proceedings formally initiated by the Commission on 30 November 2010.</w:t>
      </w:r>
      <w:hyperlink w:history="1" r:id="rIdd8a-jmzs65uycva7cvcjx">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The violation pertains to Article 102 of the Treaty and Article 54 of the EEA Agreement, where Google was found to have abused its dominant position by providing more favorable positioning and display of its own comparison shopping service compared to competitors. This conduct involved manipulating search results to disadvantage rival services, thereby limiting competition in the market for comparison shopping services.</w:t>
      </w:r>
      <w:hyperlink w:history="1" r:id="rIdz4hqpojgryjqhqxjylehy">
        <w:r>
          <w:rPr>
            <w:rFonts w:ascii="Calibri" w:cs="Calibri" w:eastAsia="Calibri" w:hAnsi="Calibri"/>
            <w:color w:val="1F4E5F"/>
            <w:sz w:val="22"/>
            <w:szCs w:val="22"/>
            <w:u w:val="single"/>
          </w:rPr>
          <w:t xml:space="preserve">[15]</w:t>
        </w:r>
      </w:hyperlink>
    </w:p>
    <w:p>
      <w:pPr>
        <w:spacing w:after="120" w:before="200"/>
      </w:pPr>
      <w:r>
        <w:rPr>
          <w:rFonts w:ascii="Calibri" w:cs="Calibri" w:eastAsia="Calibri" w:hAnsi="Calibri"/>
          <w:b/>
          <w:bCs/>
          <w:i/>
          <w:iCs/>
          <w:sz w:val="22"/>
          <w:szCs w:val="22"/>
        </w:rPr>
        <w:t xml:space="preserve">Case Progression</w:t>
      </w:r>
    </w:p>
    <w:p>
      <w:pPr>
        <w:pStyle w:val="ListParagraph"/>
        <w:numPr>
          <w:ilvl w:val="0"/>
          <w:numId w:val="1"/>
        </w:numPr>
        <w:spacing w:after="100"/>
      </w:pPr>
      <w:r>
        <w:rPr>
          <w:rFonts w:ascii="Calibri" w:cs="Calibri" w:eastAsia="Calibri" w:hAnsi="Calibri"/>
          <w:b/>
          <w:bCs/>
          <w:sz w:val="22"/>
          <w:szCs w:val="22"/>
        </w:rPr>
        <w:t xml:space="preserve">Case Initiation: </w:t>
      </w:r>
      <w:r>
        <w:rPr>
          <w:rFonts w:ascii="Calibri" w:cs="Calibri" w:eastAsia="Calibri" w:hAnsi="Calibri"/>
          <w:b w:val="false"/>
          <w:bCs w:val="false"/>
          <w:i w:val="false"/>
          <w:iCs w:val="false"/>
          <w:sz w:val="22"/>
          <w:szCs w:val="22"/>
        </w:rPr>
        <w:t xml:space="preserve">The case was initiated by the European Commission against Google regarding its comparison shopping service, identified as AT.39740. This marked the beginning of the antitrust procedure under Article 102 of the Treaty on the Functioning of the European Union.</w:t>
      </w:r>
      <w:hyperlink w:history="1" r:id="rIdbt6hcotpdy0ieajqvsbjf">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bCs/>
          <w:sz w:val="22"/>
          <w:szCs w:val="22"/>
        </w:rPr>
        <w:t xml:space="preserve">Preliminary Investigation: </w:t>
      </w:r>
      <w:r>
        <w:rPr>
          <w:rFonts w:ascii="Calibri" w:cs="Calibri" w:eastAsia="Calibri" w:hAnsi="Calibri"/>
          <w:b w:val="false"/>
          <w:bCs w:val="false"/>
          <w:i w:val="false"/>
          <w:iCs w:val="false"/>
          <w:sz w:val="22"/>
          <w:szCs w:val="22"/>
        </w:rPr>
        <w:t xml:space="preserve">The Commission conducted a preliminary investigation to assess whether there was sufficient evidence of anti-competitive behavior. This included analyzing Google's business practices and the impact on competition in the market.</w:t>
      </w:r>
      <w:hyperlink w:history="1" r:id="rId81kc3-2owh4w8_436uhbl">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bCs/>
          <w:sz w:val="22"/>
          <w:szCs w:val="22"/>
        </w:rPr>
        <w:t xml:space="preserve">Statement of Objections issued: </w:t>
      </w:r>
      <w:r>
        <w:rPr>
          <w:rFonts w:ascii="Calibri" w:cs="Calibri" w:eastAsia="Calibri" w:hAnsi="Calibri"/>
          <w:b w:val="false"/>
          <w:bCs w:val="false"/>
          <w:i w:val="false"/>
          <w:iCs w:val="false"/>
          <w:sz w:val="22"/>
          <w:szCs w:val="22"/>
        </w:rPr>
        <w:t xml:space="preserve">Following the preliminary investigation, a Statement of Objections (SO) was issued, outlining the Commission's preliminary findings that Google had abused its dominant position by favoring its own comparison shopping service over competitors.</w:t>
      </w:r>
      <w:hyperlink w:history="1" r:id="rIdrix8ffglwwk0tfhrwhv9b">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bCs/>
          <w:sz w:val="22"/>
          <w:szCs w:val="22"/>
        </w:rPr>
        <w:t xml:space="preserve">Defense Phase: </w:t>
      </w:r>
      <w:r>
        <w:rPr>
          <w:rFonts w:ascii="Calibri" w:cs="Calibri" w:eastAsia="Calibri" w:hAnsi="Calibri"/>
          <w:b w:val="false"/>
          <w:bCs w:val="false"/>
          <w:i w:val="false"/>
          <w:iCs w:val="false"/>
          <w:sz w:val="22"/>
          <w:szCs w:val="22"/>
        </w:rPr>
        <w:t xml:space="preserve">Google submitted its written response to the SO, arguing against the Commission's findings and providing evidence to support its position. This phase included an oral hearing where Google presented its defense.</w:t>
      </w:r>
      <w:hyperlink w:history="1" r:id="rIdr7swygttxsn47fmxg84sv">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bCs/>
          <w:sz w:val="22"/>
          <w:szCs w:val="22"/>
        </w:rPr>
        <w:t xml:space="preserve">Commission Decision: </w:t>
      </w:r>
      <w:r>
        <w:rPr>
          <w:rFonts w:ascii="Calibri" w:cs="Calibri" w:eastAsia="Calibri" w:hAnsi="Calibri"/>
          <w:b w:val="false"/>
          <w:bCs w:val="false"/>
          <w:i w:val="false"/>
          <w:iCs w:val="false"/>
          <w:sz w:val="22"/>
          <w:szCs w:val="22"/>
        </w:rPr>
        <w:t xml:space="preserve">The Commission ultimately found that Google had infringed competition law by favoring its own service, leading to a decision that imposed fines and required Google to cease the anti-competitive conduct.</w:t>
      </w:r>
      <w:hyperlink w:history="1" r:id="rIdl6rdd55zxaxdh-dlbbwhf">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bCs/>
          <w:sz w:val="22"/>
          <w:szCs w:val="22"/>
        </w:rPr>
        <w:t xml:space="preserve">Company Decision: </w:t>
      </w:r>
      <w:r>
        <w:rPr>
          <w:rFonts w:ascii="Calibri" w:cs="Calibri" w:eastAsia="Calibri" w:hAnsi="Calibri"/>
          <w:b w:val="false"/>
          <w:bCs w:val="false"/>
          <w:i w:val="false"/>
          <w:iCs w:val="false"/>
          <w:sz w:val="22"/>
          <w:szCs w:val="22"/>
        </w:rPr>
        <w:t xml:space="preserve">Following the Commission's decision, Google had the option to accept the findings and pay the imposed fine or to appeal the decision, which would lead to further legal proceedings.</w:t>
      </w:r>
      <w:hyperlink w:history="1" r:id="rIdtjjzhrpjbgwc_2liqifiv">
        <w:r>
          <w:rPr>
            <w:rFonts w:ascii="Calibri" w:cs="Calibri" w:eastAsia="Calibri" w:hAnsi="Calibri"/>
            <w:color w:val="1F4E5F"/>
            <w:sz w:val="22"/>
            <w:szCs w:val="22"/>
            <w:u w:val="single"/>
          </w:rPr>
          <w:t xml:space="preserve">[15]</w:t>
        </w:r>
      </w:hyperlink>
    </w:p>
    <w:p>
      <w:pPr>
        <w:spacing w:after="120" w:before="200"/>
      </w:pPr>
      <w:r>
        <w:rPr>
          <w:rFonts w:ascii="Calibri" w:cs="Calibri" w:eastAsia="Calibri" w:hAnsi="Calibri"/>
          <w:b/>
          <w:bCs/>
          <w:i/>
          <w:iCs/>
          <w:sz w:val="22"/>
          <w:szCs w:val="22"/>
        </w:rPr>
        <w:t xml:space="preserve">Market Definition</w:t>
      </w:r>
    </w:p>
    <w:p>
      <w:pPr>
        <w:spacing w:after="160"/>
      </w:pPr>
      <w:r>
        <w:rPr>
          <w:rFonts w:ascii="Calibri" w:cs="Calibri" w:eastAsia="Calibri" w:hAnsi="Calibri"/>
          <w:b w:val="false"/>
          <w:bCs w:val="false"/>
          <w:i w:val="false"/>
          <w:iCs w:val="false"/>
          <w:sz w:val="22"/>
          <w:szCs w:val="22"/>
        </w:rPr>
        <w:t xml:space="preserve">The relevant product market includes all products and services that are interchangeable or substitutable by consumers based on characteristics, prices, and intended use. This definition is crucial for assessing competition.</w:t>
      </w:r>
      <w:hyperlink w:history="1" r:id="rIdoeyysmkq69mfuqafcwyhz">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The relevant geographic market is defined as the area where supply and demand conditions are sufficiently homogeneous, allowing for a distinction from neighboring areas with different competitive conditions.</w:t>
      </w:r>
      <w:hyperlink w:history="1" r:id="rIdgmay5lvi6goq1p1uwy-6j">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The assessment of market definition considers not only the objective characteristics of services but also the competitive conditions and the structure of supply and demand.</w:t>
      </w:r>
      <w:hyperlink w:history="1" r:id="rIdnpy8zycjz-wsm2haexvmw">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Demand substitutability is identified as the most immediate and effective competitive constraint, influencing how consumers perceive alternatives.</w:t>
      </w:r>
      <w:hyperlink w:history="1" r:id="rIdj4wgo6honsy0szyvmjhhv">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Supply side substitutability is also considered, where suppliers can switch production to relevant products without incurring significant costs in response to price changes.</w:t>
      </w:r>
      <w:hyperlink w:history="1" r:id="rIdk3e1l6breyeo_pjweuie2">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The distinctness of products for analysis under competition law is evaluated based on customer demand, including factors like technical features and market history.</w:t>
      </w:r>
      <w:hyperlink w:history="1" r:id="rIdxpsodpasjhwizspjqssao">
        <w:r>
          <w:rPr>
            <w:rFonts w:ascii="Calibri" w:cs="Calibri" w:eastAsia="Calibri" w:hAnsi="Calibri"/>
            <w:color w:val="1F4E5F"/>
            <w:sz w:val="22"/>
            <w:szCs w:val="22"/>
            <w:u w:val="single"/>
          </w:rPr>
          <w:t xml:space="preserve">[15]</w:t>
        </w:r>
      </w:hyperlink>
    </w:p>
    <w:p>
      <w:pPr>
        <w:spacing w:after="160"/>
      </w:pPr>
      <w:r>
        <w:rPr>
          <w:rFonts w:ascii="Calibri" w:cs="Calibri" w:eastAsia="Calibri" w:hAnsi="Calibri"/>
          <w:b w:val="false"/>
          <w:bCs w:val="false"/>
          <w:i w:val="false"/>
          <w:iCs w:val="false"/>
          <w:sz w:val="22"/>
          <w:szCs w:val="22"/>
        </w:rPr>
        <w:t xml:space="preserve">The Commission does not adhere to a rigid hierarchy of evidence sources for market definition but instead makes an overall assessment using various tools.</w:t>
      </w:r>
      <w:hyperlink w:history="1" r:id="rIddv1zcju-anoppugeukoxs">
        <w:r>
          <w:rPr>
            <w:rFonts w:ascii="Calibri" w:cs="Calibri" w:eastAsia="Calibri" w:hAnsi="Calibri"/>
            <w:color w:val="1F4E5F"/>
            <w:sz w:val="22"/>
            <w:szCs w:val="22"/>
            <w:u w:val="single"/>
          </w:rPr>
          <w:t xml:space="preserve">[15]</w:t>
        </w:r>
      </w:hyperlink>
    </w:p>
    <w:p>
      <w:pPr>
        <w:spacing w:after="120" w:before="200"/>
      </w:pPr>
      <w:r>
        <w:rPr>
          <w:rFonts w:ascii="Calibri" w:cs="Calibri" w:eastAsia="Calibri" w:hAnsi="Calibri"/>
          <w:b/>
          <w:bCs/>
          <w:i/>
          <w:iCs/>
          <w:sz w:val="22"/>
          <w:szCs w:val="22"/>
        </w:rPr>
        <w:t xml:space="preserve">Legal &amp; Economic Tests</w:t>
      </w:r>
    </w:p>
    <w:p>
      <w:pPr>
        <w:pStyle w:val="ListParagraph"/>
        <w:numPr>
          <w:ilvl w:val="0"/>
          <w:numId w:val="1"/>
        </w:numPr>
        <w:spacing w:after="100"/>
      </w:pPr>
      <w:r>
        <w:rPr>
          <w:rFonts w:ascii="Calibri" w:cs="Calibri" w:eastAsia="Calibri" w:hAnsi="Calibri"/>
          <w:b/>
          <w:bCs/>
          <w:sz w:val="22"/>
          <w:szCs w:val="22"/>
        </w:rPr>
        <w:t xml:space="preserve">Market Definition Test: </w:t>
      </w:r>
      <w:r>
        <w:rPr>
          <w:rFonts w:ascii="Calibri" w:cs="Calibri" w:eastAsia="Calibri" w:hAnsi="Calibri"/>
          <w:b w:val="false"/>
          <w:bCs w:val="false"/>
          <w:i w:val="false"/>
          <w:iCs w:val="false"/>
          <w:sz w:val="22"/>
          <w:szCs w:val="22"/>
        </w:rPr>
        <w:t xml:space="preserve">This test involves defining the relevant product and geographic markets to assess whether an undertaking holds a dominant position. It considers the interchangeability of products or services based on characteristics, prices, and intended use, as well as the competitive conditions and structure of supply and demand. In this case, the Commission evaluated both demand and supply substitutability to determine the relevant markets for general search services and comparison shopping services.</w:t>
      </w:r>
      <w:hyperlink w:history="1" r:id="rIdd9sapvhfq4frdypwnbdc7">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bCs/>
          <w:sz w:val="22"/>
          <w:szCs w:val="22"/>
        </w:rPr>
        <w:t xml:space="preserve">Abuse of Dominance Test: </w:t>
      </w:r>
      <w:r>
        <w:rPr>
          <w:rFonts w:ascii="Calibri" w:cs="Calibri" w:eastAsia="Calibri" w:hAnsi="Calibri"/>
          <w:b w:val="false"/>
          <w:bCs w:val="false"/>
          <w:i w:val="false"/>
          <w:iCs w:val="false"/>
          <w:sz w:val="22"/>
          <w:szCs w:val="22"/>
        </w:rPr>
        <w:t xml:space="preserve">This test examines whether an undertaking in a dominant position has engaged in conduct that distorts competition within the internal market. The Commission found that Google's preferential treatment of its own comparison shopping service over competitors constituted an abuse of its dominant position.</w:t>
      </w:r>
      <w:hyperlink w:history="1" r:id="rIdhjdpcw_lm8nizvi7sjjpr">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bCs/>
          <w:sz w:val="22"/>
          <w:szCs w:val="22"/>
        </w:rPr>
        <w:t xml:space="preserve">Jurisdiction Test: </w:t>
      </w:r>
      <w:r>
        <w:rPr>
          <w:rFonts w:ascii="Calibri" w:cs="Calibri" w:eastAsia="Calibri" w:hAnsi="Calibri"/>
          <w:b w:val="false"/>
          <w:bCs w:val="false"/>
          <w:i w:val="false"/>
          <w:iCs w:val="false"/>
          <w:sz w:val="22"/>
          <w:szCs w:val="22"/>
        </w:rPr>
        <w:t xml:space="preserve">This test determines whether the Commission has the authority to investigate and impose sanctions on the conduct in question. The Commission established jurisdiction based on the conduct being implemented within the EEA and its potential to have substantial, immediate, and foreseeable effects in that area.</w:t>
      </w:r>
      <w:hyperlink w:history="1" r:id="rIda6hcemxscyvcve6wejxeg">
        <w:r>
          <w:rPr>
            <w:rFonts w:ascii="Calibri" w:cs="Calibri" w:eastAsia="Calibri" w:hAnsi="Calibri"/>
            <w:color w:val="1F4E5F"/>
            <w:sz w:val="22"/>
            <w:szCs w:val="22"/>
            <w:u w:val="single"/>
          </w:rPr>
          <w:t xml:space="preserve">[15]</w:t>
        </w:r>
      </w:hyperlink>
    </w:p>
    <w:p>
      <w:pPr>
        <w:spacing w:after="120" w:before="200"/>
      </w:pPr>
      <w:r>
        <w:rPr>
          <w:rFonts w:ascii="Calibri" w:cs="Calibri" w:eastAsia="Calibri" w:hAnsi="Calibri"/>
          <w:b/>
          <w:bCs/>
          <w:i/>
          <w:iCs/>
          <w:sz w:val="22"/>
          <w:szCs w:val="22"/>
        </w:rPr>
        <w:t xml:space="preserve">Conclusion</w:t>
      </w:r>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European Commission concluded that Google engaged in anti-competitive conduct by favoring its own comparison shopping service over competing services in its general search results, which constitutes an infringement of Article 102 of the Treaty and Article 54 of the EEA Agreement.</w:t>
      </w:r>
      <w:hyperlink w:history="1" r:id="rIdzsv0hbquqptktn3qdgm8u">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Commission determined that the infringement was intentional or negligent on the part of Google and Alphabet, as they were aware of their dominant position and the implications of their conduct.</w:t>
      </w:r>
      <w:hyperlink w:history="1" r:id="rIdsbnkeqsstljqmz4nvnmw4">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Remedies imposed require Google and Alphabet to cease the identified anti-competitive practices and refrain from any similar conduct in the future, ensuring compliance with competition law.</w:t>
      </w:r>
      <w:hyperlink w:history="1" r:id="rIdv1etj3rqwqazdui6wvfzi">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Commission decided to impose fines on Google and Alphabet, calculated based on the revenues generated by Google's comparison shopping service during the last full business year of the infringement, which was 2016.</w:t>
      </w:r>
      <w:hyperlink w:history="1" r:id="rIdppsxyzpfixej7lk9pigjx">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The fines are structured to ensure deterrence, with adjustments made for aggravating or mitigating circumstances, and the total fine cannot exceed 10% of the total turnover of the companies in the preceding business year.</w:t>
      </w:r>
      <w:hyperlink w:history="1" r:id="rIdzhmt5bcdbmx4gozydj5xi">
        <w:r>
          <w:rPr>
            <w:rFonts w:ascii="Calibri" w:cs="Calibri" w:eastAsia="Calibri" w:hAnsi="Calibri"/>
            <w:color w:val="1F4E5F"/>
            <w:sz w:val="22"/>
            <w:szCs w:val="22"/>
            <w:u w:val="single"/>
          </w:rPr>
          <w:t xml:space="preserve">[15]</w:t>
        </w:r>
      </w:hyperlink>
    </w:p>
    <w:p>
      <w:pPr>
        <w:pStyle w:val="ListParagraph"/>
        <w:numPr>
          <w:ilvl w:val="0"/>
          <w:numId w:val="1"/>
        </w:numPr>
        <w:spacing w:after="100"/>
      </w:pPr>
      <w:r>
        <w:rPr>
          <w:rFonts w:ascii="Calibri" w:cs="Calibri" w:eastAsia="Calibri" w:hAnsi="Calibri"/>
          <w:b w:val="false"/>
          <w:bCs w:val="false"/>
          <w:i w:val="false"/>
          <w:iCs w:val="false"/>
          <w:sz w:val="22"/>
          <w:szCs w:val="22"/>
        </w:rPr>
        <w:t xml:space="preserve">Alphabet was found jointly and severally liable for the infringement from October 2, 2015, meaning both companies are responsible for the payment of the fine related to the infringement period.</w:t>
      </w:r>
      <w:hyperlink w:history="1" r:id="rId90w4jqvqjzsrpykrnq52c">
        <w:r>
          <w:rPr>
            <w:rFonts w:ascii="Calibri" w:cs="Calibri" w:eastAsia="Calibri" w:hAnsi="Calibri"/>
            <w:color w:val="1F4E5F"/>
            <w:sz w:val="22"/>
            <w:szCs w:val="22"/>
            <w:u w:val="single"/>
          </w:rPr>
          <w:t xml:space="preserve">[15]</w:t>
        </w:r>
      </w:hyperlink>
    </w:p>
    <w:p>
      <w:pPr>
        <w:spacing w:after="160" w:before="280"/>
      </w:pPr>
      <w:r>
        <w:rPr>
          <w:rFonts w:ascii="Calibri" w:cs="Calibri" w:eastAsia="Calibri" w:hAnsi="Calibri"/>
          <w:b/>
          <w:bCs/>
          <w:color w:val="1F4E5F"/>
          <w:sz w:val="22"/>
          <w:szCs w:val="22"/>
        </w:rPr>
        <w:t xml:space="preserve">Cited Sources</w:t>
      </w:r>
    </w:p>
    <w:p>
      <w:pPr>
        <w:pStyle w:val="ListParagraph"/>
        <w:numPr>
          <w:ilvl w:val="0"/>
          <w:numId w:val="2"/>
        </w:numPr>
        <w:spacing w:after="100"/>
      </w:pPr>
      <w:hyperlink w:history="1" r:id="rIdnpzvtzlfdgztvyzkg79ie">
        <w:r>
          <w:rPr>
            <w:rFonts w:ascii="Calibri" w:cs="Calibri" w:eastAsia="Calibri" w:hAnsi="Calibri"/>
            <w:color w:val="1F4E5F"/>
            <w:sz w:val="22"/>
            <w:szCs w:val="22"/>
            <w:u w:val="single"/>
          </w:rPr>
          <w:t xml:space="preserve">Article 102 TFEU</w:t>
        </w:r>
      </w:hyperlink>
    </w:p>
    <w:p>
      <w:pPr>
        <w:pStyle w:val="ListParagraph"/>
        <w:numPr>
          <w:ilvl w:val="0"/>
          <w:numId w:val="2"/>
        </w:numPr>
        <w:spacing w:after="100"/>
      </w:pPr>
      <w:hyperlink w:history="1" r:id="rIdqkk-b5civ-kjgvfkehmwt">
        <w:r>
          <w:rPr>
            <w:rFonts w:ascii="Calibri" w:cs="Calibri" w:eastAsia="Calibri" w:hAnsi="Calibri"/>
            <w:color w:val="1F4E5F"/>
            <w:sz w:val="22"/>
            <w:szCs w:val="22"/>
            <w:u w:val="single"/>
          </w:rPr>
          <w:t xml:space="preserve">European Commission — Market Definition Notice (2024)</w:t>
        </w:r>
      </w:hyperlink>
    </w:p>
    <w:p>
      <w:pPr>
        <w:pStyle w:val="ListParagraph"/>
        <w:numPr>
          <w:ilvl w:val="0"/>
          <w:numId w:val="2"/>
        </w:numPr>
        <w:spacing w:after="100"/>
      </w:pPr>
      <w:hyperlink w:history="1" r:id="rIdumrvzr_qd4khmhbrzffp1">
        <w:r>
          <w:rPr>
            <w:rFonts w:ascii="Calibri" w:cs="Calibri" w:eastAsia="Calibri" w:hAnsi="Calibri"/>
            <w:color w:val="1F4E5F"/>
            <w:sz w:val="22"/>
            <w:szCs w:val="22"/>
            <w:u w:val="single"/>
          </w:rPr>
          <w:t xml:space="preserve">OECD Competition policy and multi-sided markets</w:t>
        </w:r>
      </w:hyperlink>
    </w:p>
    <w:p>
      <w:pPr>
        <w:pStyle w:val="ListParagraph"/>
        <w:numPr>
          <w:ilvl w:val="0"/>
          <w:numId w:val="2"/>
        </w:numPr>
        <w:spacing w:after="100"/>
      </w:pPr>
      <w:hyperlink w:history="1" r:id="rIdhcitcwjljpdx9urodx9bz">
        <w:r>
          <w:rPr>
            <w:rFonts w:ascii="Calibri" w:cs="Calibri" w:eastAsia="Calibri" w:hAnsi="Calibri"/>
            <w:color w:val="1F4E5F"/>
            <w:sz w:val="22"/>
            <w:szCs w:val="22"/>
            <w:u w:val="single"/>
          </w:rPr>
          <w:t xml:space="preserve">OECD roundtable material on market definition in multi-sided markets</w:t>
        </w:r>
      </w:hyperlink>
    </w:p>
    <w:p>
      <w:pPr>
        <w:pStyle w:val="ListParagraph"/>
        <w:numPr>
          <w:ilvl w:val="0"/>
          <w:numId w:val="2"/>
        </w:numPr>
        <w:spacing w:after="100"/>
      </w:pPr>
      <w:hyperlink w:history="1" r:id="rId4kdkllmmhtrnryuqx2oxf">
        <w:r>
          <w:rPr>
            <w:rFonts w:ascii="Calibri" w:cs="Calibri" w:eastAsia="Calibri" w:hAnsi="Calibri"/>
            <w:color w:val="1F4E5F"/>
            <w:sz w:val="22"/>
            <w:szCs w:val="22"/>
            <w:u w:val="single"/>
          </w:rPr>
          <w:t xml:space="preserve">European Commission competition policy</w:t>
        </w:r>
      </w:hyperlink>
    </w:p>
    <w:p>
      <w:pPr>
        <w:pStyle w:val="ListParagraph"/>
        <w:numPr>
          <w:ilvl w:val="0"/>
          <w:numId w:val="2"/>
        </w:numPr>
        <w:spacing w:after="100"/>
      </w:pPr>
      <w:hyperlink w:history="1" r:id="rIdbrbcsdj6xpfcjgdvpaxjv">
        <w:r>
          <w:rPr>
            <w:rFonts w:ascii="Calibri" w:cs="Calibri" w:eastAsia="Calibri" w:hAnsi="Calibri"/>
            <w:color w:val="1F4E5F"/>
            <w:sz w:val="22"/>
            <w:szCs w:val="22"/>
            <w:u w:val="single"/>
          </w:rPr>
          <w:t xml:space="preserve">OECD digital markets roundtable</w:t>
        </w:r>
      </w:hyperlink>
    </w:p>
    <w:p>
      <w:pPr>
        <w:pStyle w:val="ListParagraph"/>
        <w:numPr>
          <w:ilvl w:val="0"/>
          <w:numId w:val="2"/>
        </w:numPr>
        <w:spacing w:after="100"/>
      </w:pPr>
      <w:hyperlink w:history="1" r:id="rIdbqe4qzpprxlwjhjykl5fm">
        <w:r>
          <w:rPr>
            <w:rFonts w:ascii="Calibri" w:cs="Calibri" w:eastAsia="Calibri" w:hAnsi="Calibri"/>
            <w:color w:val="1F4E5F"/>
            <w:sz w:val="22"/>
            <w:szCs w:val="22"/>
            <w:u w:val="single"/>
          </w:rPr>
          <w:t xml:space="preserve">European Commission Market Definition Notice</w:t>
        </w:r>
      </w:hyperlink>
    </w:p>
    <w:p>
      <w:pPr>
        <w:pStyle w:val="ListParagraph"/>
        <w:numPr>
          <w:ilvl w:val="0"/>
          <w:numId w:val="2"/>
        </w:numPr>
        <w:spacing w:after="100"/>
      </w:pPr>
      <w:hyperlink w:history="1" r:id="rIdp5qdw0cw93lhfflglo1lb">
        <w:r>
          <w:rPr>
            <w:rFonts w:ascii="Calibri" w:cs="Calibri" w:eastAsia="Calibri" w:hAnsi="Calibri"/>
            <w:color w:val="1F4E5F"/>
            <w:sz w:val="22"/>
            <w:szCs w:val="22"/>
            <w:u w:val="single"/>
          </w:rPr>
          <w:t xml:space="preserve">European Commission abuse of dominance policy</w:t>
        </w:r>
      </w:hyperlink>
    </w:p>
    <w:p>
      <w:pPr>
        <w:pStyle w:val="ListParagraph"/>
        <w:numPr>
          <w:ilvl w:val="0"/>
          <w:numId w:val="2"/>
        </w:numPr>
        <w:spacing w:after="100"/>
      </w:pPr>
      <w:hyperlink w:history="1" r:id="rId3phiaszjsh36gscy2oq1x">
        <w:r>
          <w:rPr>
            <w:rFonts w:ascii="Calibri" w:cs="Calibri" w:eastAsia="Calibri" w:hAnsi="Calibri"/>
            <w:color w:val="1F4E5F"/>
            <w:sz w:val="22"/>
            <w:szCs w:val="22"/>
            <w:u w:val="single"/>
          </w:rPr>
          <w:t xml:space="preserve">OECD financial markets competition materials</w:t>
        </w:r>
      </w:hyperlink>
    </w:p>
    <w:p>
      <w:pPr>
        <w:pStyle w:val="ListParagraph"/>
        <w:numPr>
          <w:ilvl w:val="0"/>
          <w:numId w:val="2"/>
        </w:numPr>
        <w:spacing w:after="100"/>
      </w:pPr>
      <w:hyperlink w:history="1" r:id="rIdp_gd09wqqjl3e9kn7b23e">
        <w:r>
          <w:rPr>
            <w:rFonts w:ascii="Calibri" w:cs="Calibri" w:eastAsia="Calibri" w:hAnsi="Calibri"/>
            <w:color w:val="1F4E5F"/>
            <w:sz w:val="22"/>
            <w:szCs w:val="22"/>
            <w:u w:val="single"/>
          </w:rPr>
          <w:t xml:space="preserve">European Commission competition policy — financial services</w:t>
        </w:r>
      </w:hyperlink>
    </w:p>
    <w:p>
      <w:pPr>
        <w:pStyle w:val="ListParagraph"/>
        <w:numPr>
          <w:ilvl w:val="0"/>
          <w:numId w:val="2"/>
        </w:numPr>
        <w:spacing w:after="100"/>
      </w:pPr>
      <w:hyperlink w:history="1" r:id="rIdm30qay2xxe92oukzr4n77">
        <w:r>
          <w:rPr>
            <w:rFonts w:ascii="Calibri" w:cs="Calibri" w:eastAsia="Calibri" w:hAnsi="Calibri"/>
            <w:color w:val="1F4E5F"/>
            <w:sz w:val="22"/>
            <w:szCs w:val="22"/>
            <w:u w:val="single"/>
          </w:rPr>
          <w:t xml:space="preserve">OECD competition and digital markets</w:t>
        </w:r>
      </w:hyperlink>
    </w:p>
    <w:p>
      <w:pPr>
        <w:pStyle w:val="ListParagraph"/>
        <w:numPr>
          <w:ilvl w:val="0"/>
          <w:numId w:val="2"/>
        </w:numPr>
        <w:spacing w:after="100"/>
      </w:pPr>
      <w:hyperlink w:history="1" r:id="rIdorocx23hqbrzhqfx3nodo">
        <w:r>
          <w:rPr>
            <w:rFonts w:ascii="Calibri" w:cs="Calibri" w:eastAsia="Calibri" w:hAnsi="Calibri"/>
            <w:color w:val="1F4E5F"/>
            <w:sz w:val="22"/>
            <w:szCs w:val="22"/>
            <w:u w:val="single"/>
          </w:rPr>
          <w:t xml:space="preserve">Indirect network effects</w:t>
        </w:r>
      </w:hyperlink>
    </w:p>
    <w:p>
      <w:pPr>
        <w:pStyle w:val="ListParagraph"/>
        <w:numPr>
          <w:ilvl w:val="0"/>
          <w:numId w:val="2"/>
        </w:numPr>
        <w:spacing w:after="100"/>
      </w:pPr>
      <w:hyperlink w:history="1" r:id="rIdsiw4_kqxtvqtxscwcs4lt">
        <w:r>
          <w:rPr>
            <w:rFonts w:ascii="Calibri" w:cs="Calibri" w:eastAsia="Calibri" w:hAnsi="Calibri"/>
            <w:color w:val="1F4E5F"/>
            <w:sz w:val="22"/>
            <w:szCs w:val="22"/>
            <w:u w:val="single"/>
          </w:rPr>
          <w:t xml:space="preserve">Market definition</w:t>
        </w:r>
      </w:hyperlink>
    </w:p>
    <w:p>
      <w:pPr>
        <w:pStyle w:val="ListParagraph"/>
        <w:numPr>
          <w:ilvl w:val="0"/>
          <w:numId w:val="2"/>
        </w:numPr>
        <w:spacing w:after="100"/>
      </w:pPr>
      <w:hyperlink w:history="1" r:id="rIdk5jk0lrktkbgn-4za9hh3">
        <w:r>
          <w:rPr>
            <w:rFonts w:ascii="Calibri" w:cs="Calibri" w:eastAsia="Calibri" w:hAnsi="Calibri"/>
            <w:color w:val="1F4E5F"/>
            <w:sz w:val="22"/>
            <w:szCs w:val="22"/>
            <w:u w:val="single"/>
          </w:rPr>
          <w:t xml:space="preserve">Abuse of dominance</w:t>
        </w:r>
      </w:hyperlink>
    </w:p>
    <w:p>
      <w:pPr>
        <w:pStyle w:val="ListParagraph"/>
        <w:numPr>
          <w:ilvl w:val="0"/>
          <w:numId w:val="2"/>
        </w:numPr>
        <w:spacing w:after="100"/>
      </w:pPr>
      <w:hyperlink w:history="1" r:id="rIdxbndwuulxwzhicojfxg3b">
        <w:r>
          <w:rPr>
            <w:rFonts w:ascii="Calibri" w:cs="Calibri" w:eastAsia="Calibri" w:hAnsi="Calibri"/>
            <w:color w:val="1F4E5F"/>
            <w:sz w:val="22"/>
            <w:szCs w:val="22"/>
            <w:u w:val="single"/>
          </w:rPr>
          <w:t xml:space="preserve">AT.39740 - Google Search (Shopping) - Case Decision</w:t>
        </w:r>
      </w:hyperlink>
    </w:p>
    <w:sectPr>
      <w:pgSz w:w="12240" w:h="15840" w:orient="portrait"/>
      <w:pgMar w:top="1350" w:right="1080" w:bottom="13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xh-e6u79lhbcktv6ypi" Type="http://schemas.openxmlformats.org/officeDocument/2006/relationships/hyperlink" Target="https://competition-policy.ec.europa.eu/public-consultations/2024-article-102-guidelines_en" TargetMode="External"/><Relationship Id="rId5hnhuqdos3dvtisaq6g9f" Type="http://schemas.openxmlformats.org/officeDocument/2006/relationships/hyperlink" Target="https://eur-lex.europa.eu/legal-content/EN/TXT/PDF/?uri=OJ:C_202401645" TargetMode="External"/><Relationship Id="rIdtpsw0tiasopyrllpc62bm" Type="http://schemas.openxmlformats.org/officeDocument/2006/relationships/hyperlink" Target="https://www.oecd.org/en/publications/rethinking-antitrust-tools-for-multi-sided-platforms_a013f740-en.html" TargetMode="External"/><Relationship Id="rId4fmstdvkynf6yd_q5jlyl" Type="http://schemas.openxmlformats.org/officeDocument/2006/relationships/hyperlink" Target="https://eur-lex.europa.eu/legal-content/EN/TXT/PDF/?uri=OJ:C_202401645" TargetMode="External"/><Relationship Id="rId0d-p1jryvzs6y4syrvbwy" Type="http://schemas.openxmlformats.org/officeDocument/2006/relationships/hyperlink" Target="https://www.concurrences.com/en/bulletin/special-issues/market-definition/regulations-4684/the-oecd-holds-a-roundtable-on-rethinking-the-use-of-traditional-antitrust" TargetMode="External"/><Relationship Id="rIdoccbqnfdqxvptlm9zwwkv" Type="http://schemas.openxmlformats.org/officeDocument/2006/relationships/hyperlink" Target="https://competition-policy.ec.europa.eu/index_en" TargetMode="External"/><Relationship Id="rIdfbyft5dfwowysjbeehx3p" Type="http://schemas.openxmlformats.org/officeDocument/2006/relationships/hyperlink" Target="https://www.oecd.org/en/events/2026/06/competition-and-consumer-policy-in-digital-markets.html" TargetMode="External"/><Relationship Id="rIduisnqe9zqjqqja-zanxgb" Type="http://schemas.openxmlformats.org/officeDocument/2006/relationships/hyperlink" Target="https://www.oecd.org/en/events/2026/06/competition-and-consumer-policy-in-digital-markets.html" TargetMode="External"/><Relationship Id="rId-wuvfksncapjcwaoratgs" Type="http://schemas.openxmlformats.org/officeDocument/2006/relationships/hyperlink" Target="https://www.concurrences.com/en/bulletin/special-issues/market-definition/regulations-4684/the-oecd-holds-a-roundtable-on-rethinking-the-use-of-traditional-antitrust" TargetMode="External"/><Relationship Id="rId-3frzdefhdzexfpxxnsyn" Type="http://schemas.openxmlformats.org/officeDocument/2006/relationships/hyperlink" Target="https://competition-policy.ec.europa.eu/public-consultations/2020-market-definition-notice_en" TargetMode="External"/><Relationship Id="rIdetupb21lxz0s8ed7uc7qb" Type="http://schemas.openxmlformats.org/officeDocument/2006/relationships/hyperlink" Target="https://competition-policy.ec.europa.eu/public-consultations/2024-article-102-guidelines_en" TargetMode="External"/><Relationship Id="rIdtmbehjb8mwqsz9khfxiw6" Type="http://schemas.openxmlformats.org/officeDocument/2006/relationships/hyperlink" Target="https://competition-policy.ec.europa.eu/antitrust-and-cartels/legislation/application-article-102-tfeu_en" TargetMode="External"/><Relationship Id="rId3envwmgqekuj_priun_1r" Type="http://schemas.openxmlformats.org/officeDocument/2006/relationships/hyperlink" Target="https://www.oecd.org/en/publications/addressing-competition-challenges-in-financial-markets_7be1ca2d-en.html" TargetMode="External"/><Relationship Id="rId1o86v83mlxbtzgbb8kbiz" Type="http://schemas.openxmlformats.org/officeDocument/2006/relationships/hyperlink" Target="https://competition-policy.ec.europa.eu/sectors/financial-services_en" TargetMode="External"/><Relationship Id="rIdd38x0izqycjw__ymux-om" Type="http://schemas.openxmlformats.org/officeDocument/2006/relationships/hyperlink" Target="https://competition-policy.ec.europa.eu/public-consultations/2020-market-definition-notice_en" TargetMode="External"/><Relationship Id="rId-rb2bzjax_gs-ykxaovxj" Type="http://schemas.openxmlformats.org/officeDocument/2006/relationships/hyperlink" Target="https://www.concurrences.com/en/bulletin/special-issues/market-definition/regulations-4684/the-oecd-holds-a-roundtable-on-rethinking-the-use-of-traditional-antitrust" TargetMode="External"/><Relationship Id="rId1j_d9obbxa5mapw5jv7z3" Type="http://schemas.openxmlformats.org/officeDocument/2006/relationships/hyperlink" Target="https://www.oecd.org/en/publications/competition-policy-in-digital-markets_80552a33-en.html" TargetMode="External"/><Relationship Id="rIdafynx6-0c4sqtzdbewvx6" Type="http://schemas.openxmlformats.org/officeDocument/2006/relationships/hyperlink" Target="https://competition-policy.ec.europa.eu/system/files/2024-06/KD0924494enn_Protecting_competition_in_a_changing_world_staff_report_2024.pdf" TargetMode="External"/><Relationship Id="rIdvlce23pogsicob1yooq12" Type="http://schemas.openxmlformats.org/officeDocument/2006/relationships/hyperlink" Target="https://eur-lex.europa.eu/LexUriServ/LexUriServ.do?uri=CELEX:31997Y1209(01):EN:HTML" TargetMode="External"/><Relationship Id="rIdax2qd_-szdutfz_v01rjq" Type="http://schemas.openxmlformats.org/officeDocument/2006/relationships/hyperlink" Target="https://eur-lex.europa.eu/LexUriServ/LexUriServ.do?uri=CELEX:31997Y1209(01):EN:HTML" TargetMode="External"/><Relationship Id="rIdubgp_wv8ga_yplukpfctr" Type="http://schemas.openxmlformats.org/officeDocument/2006/relationships/hyperlink" Target="https://competition-bureau.canada.ca/en/how-we-foster-competition/education-and-outreach/abuse-dominance-enforcement-guidelines" TargetMode="External"/><Relationship Id="rId7i8vthk-i44e52idchklv" Type="http://schemas.openxmlformats.org/officeDocument/2006/relationships/hyperlink" Target="https://competition-policy.ec.europa.eu/public-consultations/2024-article-102-guidelines_en" TargetMode="External"/><Relationship Id="rId2igwjn-ws_qahbfs-muhz" Type="http://schemas.openxmlformats.org/officeDocument/2006/relationships/hyperlink" Target="https://ec.europa.eu/competition/antitrust/cases/dec_docs/39740/39740_14996_3.pdf" TargetMode="External"/><Relationship Id="rIdo0m2-fnwvtfnxcfpz_to5" Type="http://schemas.openxmlformats.org/officeDocument/2006/relationships/hyperlink" Target="https://ec.europa.eu/competition/antitrust/cases/dec_docs/39740/39740_14996_3.pdf" TargetMode="External"/><Relationship Id="rIdd8a-jmzs65uycva7cvcjx" Type="http://schemas.openxmlformats.org/officeDocument/2006/relationships/hyperlink" Target="https://ec.europa.eu/competition/antitrust/cases/dec_docs/39740/39740_14996_3.pdf" TargetMode="External"/><Relationship Id="rIdz4hqpojgryjqhqxjylehy" Type="http://schemas.openxmlformats.org/officeDocument/2006/relationships/hyperlink" Target="https://ec.europa.eu/competition/antitrust/cases/dec_docs/39740/39740_14996_3.pdf" TargetMode="External"/><Relationship Id="rIdbt6hcotpdy0ieajqvsbjf" Type="http://schemas.openxmlformats.org/officeDocument/2006/relationships/hyperlink" Target="https://ec.europa.eu/competition/antitrust/cases/dec_docs/39740/39740_14996_3.pdf" TargetMode="External"/><Relationship Id="rId81kc3-2owh4w8_436uhbl" Type="http://schemas.openxmlformats.org/officeDocument/2006/relationships/hyperlink" Target="https://ec.europa.eu/competition/antitrust/cases/dec_docs/39740/39740_14996_3.pdf" TargetMode="External"/><Relationship Id="rIdrix8ffglwwk0tfhrwhv9b" Type="http://schemas.openxmlformats.org/officeDocument/2006/relationships/hyperlink" Target="https://ec.europa.eu/competition/antitrust/cases/dec_docs/39740/39740_14996_3.pdf" TargetMode="External"/><Relationship Id="rIdr7swygttxsn47fmxg84sv" Type="http://schemas.openxmlformats.org/officeDocument/2006/relationships/hyperlink" Target="https://ec.europa.eu/competition/antitrust/cases/dec_docs/39740/39740_14996_3.pdf" TargetMode="External"/><Relationship Id="rIdl6rdd55zxaxdh-dlbbwhf" Type="http://schemas.openxmlformats.org/officeDocument/2006/relationships/hyperlink" Target="https://ec.europa.eu/competition/antitrust/cases/dec_docs/39740/39740_14996_3.pdf" TargetMode="External"/><Relationship Id="rIdtjjzhrpjbgwc_2liqifiv" Type="http://schemas.openxmlformats.org/officeDocument/2006/relationships/hyperlink" Target="https://ec.europa.eu/competition/antitrust/cases/dec_docs/39740/39740_14996_3.pdf" TargetMode="External"/><Relationship Id="rIdoeyysmkq69mfuqafcwyhz" Type="http://schemas.openxmlformats.org/officeDocument/2006/relationships/hyperlink" Target="https://ec.europa.eu/competition/antitrust/cases/dec_docs/39740/39740_14996_3.pdf" TargetMode="External"/><Relationship Id="rIdgmay5lvi6goq1p1uwy-6j" Type="http://schemas.openxmlformats.org/officeDocument/2006/relationships/hyperlink" Target="https://ec.europa.eu/competition/antitrust/cases/dec_docs/39740/39740_14996_3.pdf" TargetMode="External"/><Relationship Id="rIdnpy8zycjz-wsm2haexvmw" Type="http://schemas.openxmlformats.org/officeDocument/2006/relationships/hyperlink" Target="https://ec.europa.eu/competition/antitrust/cases/dec_docs/39740/39740_14996_3.pdf" TargetMode="External"/><Relationship Id="rIdj4wgo6honsy0szyvmjhhv" Type="http://schemas.openxmlformats.org/officeDocument/2006/relationships/hyperlink" Target="https://ec.europa.eu/competition/antitrust/cases/dec_docs/39740/39740_14996_3.pdf" TargetMode="External"/><Relationship Id="rIdk3e1l6breyeo_pjweuie2" Type="http://schemas.openxmlformats.org/officeDocument/2006/relationships/hyperlink" Target="https://ec.europa.eu/competition/antitrust/cases/dec_docs/39740/39740_14996_3.pdf" TargetMode="External"/><Relationship Id="rIdxpsodpasjhwizspjqssao" Type="http://schemas.openxmlformats.org/officeDocument/2006/relationships/hyperlink" Target="https://ec.europa.eu/competition/antitrust/cases/dec_docs/39740/39740_14996_3.pdf" TargetMode="External"/><Relationship Id="rIddv1zcju-anoppugeukoxs" Type="http://schemas.openxmlformats.org/officeDocument/2006/relationships/hyperlink" Target="https://ec.europa.eu/competition/antitrust/cases/dec_docs/39740/39740_14996_3.pdf" TargetMode="External"/><Relationship Id="rIdd9sapvhfq4frdypwnbdc7" Type="http://schemas.openxmlformats.org/officeDocument/2006/relationships/hyperlink" Target="https://ec.europa.eu/competition/antitrust/cases/dec_docs/39740/39740_14996_3.pdf" TargetMode="External"/><Relationship Id="rIdhjdpcw_lm8nizvi7sjjpr" Type="http://schemas.openxmlformats.org/officeDocument/2006/relationships/hyperlink" Target="https://ec.europa.eu/competition/antitrust/cases/dec_docs/39740/39740_14996_3.pdf" TargetMode="External"/><Relationship Id="rIda6hcemxscyvcve6wejxeg" Type="http://schemas.openxmlformats.org/officeDocument/2006/relationships/hyperlink" Target="https://ec.europa.eu/competition/antitrust/cases/dec_docs/39740/39740_14996_3.pdf" TargetMode="External"/><Relationship Id="rIdzsv0hbquqptktn3qdgm8u" Type="http://schemas.openxmlformats.org/officeDocument/2006/relationships/hyperlink" Target="https://ec.europa.eu/competition/antitrust/cases/dec_docs/39740/39740_14996_3.pdf" TargetMode="External"/><Relationship Id="rIdsbnkeqsstljqmz4nvnmw4" Type="http://schemas.openxmlformats.org/officeDocument/2006/relationships/hyperlink" Target="https://ec.europa.eu/competition/antitrust/cases/dec_docs/39740/39740_14996_3.pdf" TargetMode="External"/><Relationship Id="rIdv1etj3rqwqazdui6wvfzi" Type="http://schemas.openxmlformats.org/officeDocument/2006/relationships/hyperlink" Target="https://ec.europa.eu/competition/antitrust/cases/dec_docs/39740/39740_14996_3.pdf" TargetMode="External"/><Relationship Id="rIdppsxyzpfixej7lk9pigjx" Type="http://schemas.openxmlformats.org/officeDocument/2006/relationships/hyperlink" Target="https://ec.europa.eu/competition/antitrust/cases/dec_docs/39740/39740_14996_3.pdf" TargetMode="External"/><Relationship Id="rIdzhmt5bcdbmx4gozydj5xi" Type="http://schemas.openxmlformats.org/officeDocument/2006/relationships/hyperlink" Target="https://ec.europa.eu/competition/antitrust/cases/dec_docs/39740/39740_14996_3.pdf" TargetMode="External"/><Relationship Id="rId90w4jqvqjzsrpykrnq52c" Type="http://schemas.openxmlformats.org/officeDocument/2006/relationships/hyperlink" Target="https://ec.europa.eu/competition/antitrust/cases/dec_docs/39740/39740_14996_3.pdf" TargetMode="External"/><Relationship Id="rIdnpzvtzlfdgztvyzkg79ie" Type="http://schemas.openxmlformats.org/officeDocument/2006/relationships/hyperlink" Target="https://competition-policy.ec.europa.eu/public-consultations/2024-article-102-guidelines_en" TargetMode="External"/><Relationship Id="rIdqkk-b5civ-kjgvfkehmwt" Type="http://schemas.openxmlformats.org/officeDocument/2006/relationships/hyperlink" Target="https://eur-lex.europa.eu/legal-content/EN/TXT/PDF/?uri=OJ:C_202401645" TargetMode="External"/><Relationship Id="rIdumrvzr_qd4khmhbrzffp1" Type="http://schemas.openxmlformats.org/officeDocument/2006/relationships/hyperlink" Target="https://www.oecd.org/en/publications/rethinking-antitrust-tools-for-multi-sided-platforms_a013f740-en.html" TargetMode="External"/><Relationship Id="rIdhcitcwjljpdx9urodx9bz" Type="http://schemas.openxmlformats.org/officeDocument/2006/relationships/hyperlink" Target="https://www.concurrences.com/en/bulletin/special-issues/market-definition/regulations-4684/the-oecd-holds-a-roundtable-on-rethinking-the-use-of-traditional-antitrust" TargetMode="External"/><Relationship Id="rId4kdkllmmhtrnryuqx2oxf" Type="http://schemas.openxmlformats.org/officeDocument/2006/relationships/hyperlink" Target="https://competition-policy.ec.europa.eu/index_en" TargetMode="External"/><Relationship Id="rIdbrbcsdj6xpfcjgdvpaxjv" Type="http://schemas.openxmlformats.org/officeDocument/2006/relationships/hyperlink" Target="https://www.oecd.org/en/events/2026/06/competition-and-consumer-policy-in-digital-markets.html" TargetMode="External"/><Relationship Id="rIdbqe4qzpprxlwjhjykl5fm" Type="http://schemas.openxmlformats.org/officeDocument/2006/relationships/hyperlink" Target="https://competition-policy.ec.europa.eu/public-consultations/2020-market-definition-notice_en" TargetMode="External"/><Relationship Id="rIdp5qdw0cw93lhfflglo1lb" Type="http://schemas.openxmlformats.org/officeDocument/2006/relationships/hyperlink" Target="https://competition-policy.ec.europa.eu/antitrust-and-cartels/legislation/application-article-102-tfeu_en" TargetMode="External"/><Relationship Id="rId3phiaszjsh36gscy2oq1x" Type="http://schemas.openxmlformats.org/officeDocument/2006/relationships/hyperlink" Target="https://www.oecd.org/en/publications/addressing-competition-challenges-in-financial-markets_7be1ca2d-en.html" TargetMode="External"/><Relationship Id="rIdp_gd09wqqjl3e9kn7b23e" Type="http://schemas.openxmlformats.org/officeDocument/2006/relationships/hyperlink" Target="https://competition-policy.ec.europa.eu/sectors/financial-services_en" TargetMode="External"/><Relationship Id="rIdm30qay2xxe92oukzr4n77" Type="http://schemas.openxmlformats.org/officeDocument/2006/relationships/hyperlink" Target="https://www.oecd.org/en/publications/competition-policy-in-digital-markets_80552a33-en.html" TargetMode="External"/><Relationship Id="rIdorocx23hqbrzhqfx3nodo" Type="http://schemas.openxmlformats.org/officeDocument/2006/relationships/hyperlink" Target="https://competition-policy.ec.europa.eu/system/files/2024-06/KD0924494enn_Protecting_competition_in_a_changing_world_staff_report_2024.pdf" TargetMode="External"/><Relationship Id="rIdsiw4_kqxtvqtxscwcs4lt" Type="http://schemas.openxmlformats.org/officeDocument/2006/relationships/hyperlink" Target="https://eur-lex.europa.eu/LexUriServ/LexUriServ.do?uri=CELEX:31997Y1209(01):EN:HTML" TargetMode="External"/><Relationship Id="rIdk5jk0lrktkbgn-4za9hh3" Type="http://schemas.openxmlformats.org/officeDocument/2006/relationships/hyperlink" Target="https://competition-bureau.canada.ca/en/how-we-foster-competition/education-and-outreach/abuse-dominance-enforcement-guidelines" TargetMode="External"/><Relationship Id="rIdxbndwuulxwzhicojfxg3b" Type="http://schemas.openxmlformats.org/officeDocument/2006/relationships/hyperlink" Target="https://ec.europa.eu/competition/antitrust/cases/dec_docs/39740/39740_14996_3.pdf" TargetMode="External"/><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2026-09-02T11:29:41.800Z</dcterms:created>
  <dcterms:modified xsi:type="dcterms:W3CDTF">2026-09-02T11:29:41.800Z</dcterms:modified>
</cp:coreProperties>
</file>

<file path=docProps/custom.xml><?xml version="1.0" encoding="utf-8"?>
<Properties xmlns="http://schemas.openxmlformats.org/officeDocument/2006/custom-properties" xmlns:vt="http://schemas.openxmlformats.org/officeDocument/2006/docPropsVTypes"/>
</file>