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5F"/>
          <w:sz w:val="32"/>
          <w:szCs w:val="32"/>
        </w:rPr>
        <w:t xml:space="preserve">Response Transcript — Sample 4</w:t>
      </w:r>
    </w:p>
    <w:p>
      <w:pPr>
        <w:pBdr>
          <w:bottom w:val="single" w:color="1F4E5F" w:sz="6" w:space="1"/>
        </w:pBdr>
        <w:spacing w:after="200"/>
      </w:pPr>
    </w:p>
    <w:p>
      <w:pPr>
        <w:spacing w:after="160" w:before="280"/>
      </w:pPr>
      <w:r>
        <w:rPr>
          <w:rFonts w:ascii="Calibri" w:cs="Calibri" w:eastAsia="Calibri" w:hAnsi="Calibri"/>
          <w:b/>
          <w:bCs/>
          <w:color w:val="1F4E5F"/>
          <w:sz w:val="22"/>
          <w:szCs w:val="22"/>
        </w:rPr>
        <w:t xml:space="preserve">User Query</w:t>
      </w:r>
    </w:p>
    <w:p>
      <w:pPr>
        <w:pBdr>
          <w:left w:val="single" w:color="1F4E5F" w:sz="12" w:space="8"/>
        </w:pBdr>
        <w:spacing w:after="200"/>
        <w:ind w:left="431"/>
      </w:pPr>
      <w:r>
        <w:rPr>
          <w:rFonts w:ascii="Calibri" w:cs="Calibri" w:eastAsia="Calibri" w:hAnsi="Calibri"/>
          <w:i/>
          <w:iCs/>
          <w:sz w:val="22"/>
          <w:szCs w:val="22"/>
        </w:rPr>
        <w:t xml:space="preserve">how to determine a price-fixing cartel?</w:t>
      </w:r>
    </w:p>
    <w:p>
      <w:pPr>
        <w:spacing w:after="160" w:before="280"/>
      </w:pPr>
      <w:r>
        <w:rPr>
          <w:rFonts w:ascii="Calibri" w:cs="Calibri" w:eastAsia="Calibri" w:hAnsi="Calibri"/>
          <w:b/>
          <w:bCs/>
          <w:color w:val="1F4E5F"/>
          <w:sz w:val="22"/>
          <w:szCs w:val="22"/>
        </w:rPr>
        <w:t xml:space="preserve">System Response</w:t>
      </w:r>
    </w:p>
    <w:p>
      <w:pPr>
        <w:spacing w:after="160"/>
      </w:pPr>
      <w:r>
        <w:rPr>
          <w:rFonts w:ascii="Calibri" w:cs="Calibri" w:eastAsia="Calibri" w:hAnsi="Calibri"/>
          <w:b w:val="false"/>
          <w:bCs w:val="false"/>
          <w:i w:val="false"/>
          <w:iCs w:val="false"/>
          <w:sz w:val="22"/>
          <w:szCs w:val="22"/>
        </w:rPr>
        <w:t xml:space="preserve">A price-fixing cartel is usually identified by showing that competing firms coordinated on price or price-related terms rather than competing independently. In EU competition law, that normally means a horizontal agreement, concerted practice, or arrangement that directly or indirectly fixes purchase or selling prices or other trading conditions; such conduct is treated as a core restriction of competition.</w:t>
      </w:r>
      <w:hyperlink w:history="1" r:id="rId_psvrko_icrofdy56mzo3">
        <w:r>
          <w:rPr>
            <w:rFonts w:ascii="Calibri" w:cs="Calibri" w:eastAsia="Calibri" w:hAnsi="Calibri"/>
            <w:color w:val="1F4E5F"/>
            <w:sz w:val="22"/>
            <w:szCs w:val="22"/>
            <w:u w:val="single"/>
          </w:rPr>
          <w:t xml:space="preserve">[1]</w:t>
        </w:r>
      </w:hyperlink>
      <w:hyperlink w:history="1" r:id="rIdaj3hllfxignxeyvpzfgeu">
        <w:r>
          <w:rPr>
            <w:rFonts w:ascii="Calibri" w:cs="Calibri" w:eastAsia="Calibri" w:hAnsi="Calibri"/>
            <w:color w:val="1F4E5F"/>
            <w:sz w:val="22"/>
            <w:szCs w:val="22"/>
            <w:u w:val="single"/>
          </w:rPr>
          <w:t xml:space="preserve">[3]</w:t>
        </w:r>
      </w:hyperlink>
    </w:p>
    <w:p>
      <w:pPr>
        <w:spacing w:after="120" w:before="200"/>
      </w:pPr>
      <w:r>
        <w:rPr>
          <w:rFonts w:ascii="Calibri" w:cs="Calibri" w:eastAsia="Calibri" w:hAnsi="Calibri"/>
          <w:b/>
          <w:bCs/>
          <w:i/>
          <w:iCs/>
          <w:sz w:val="22"/>
          <w:szCs w:val="22"/>
        </w:rPr>
        <w:t xml:space="preserve">1. What counts as price fixing</w:t>
      </w:r>
    </w:p>
    <w:p>
      <w:pPr>
        <w:spacing w:after="160"/>
      </w:pPr>
      <w:r>
        <w:rPr>
          <w:rFonts w:ascii="Calibri" w:cs="Calibri" w:eastAsia="Calibri" w:hAnsi="Calibri"/>
          <w:b w:val="false"/>
          <w:bCs w:val="false"/>
          <w:i w:val="false"/>
          <w:iCs w:val="false"/>
          <w:sz w:val="22"/>
          <w:szCs w:val="22"/>
        </w:rPr>
        <w:t xml:space="preserve">Price fixing is broader than an express agreement on the final sticker price. It can include fixing minimum or maximum prices, discounts, rebates, price formulas, surcharges, credit terms, margins, fees, or any other trading condition that affects the price paid or received.</w:t>
      </w:r>
      <w:hyperlink w:history="1" r:id="rIdc8rf0hlrv10fmpdpn_mex">
        <w:r>
          <w:rPr>
            <w:rFonts w:ascii="Calibri" w:cs="Calibri" w:eastAsia="Calibri" w:hAnsi="Calibri"/>
            <w:color w:val="1F4E5F"/>
            <w:sz w:val="22"/>
            <w:szCs w:val="22"/>
            <w:u w:val="single"/>
          </w:rPr>
          <w:t xml:space="preserve">[6]</w:t>
        </w:r>
      </w:hyperlink>
      <w:hyperlink w:history="1" r:id="rIdud_4t0d_v2yxyjmu0rxti">
        <w:r>
          <w:rPr>
            <w:rFonts w:ascii="Calibri" w:cs="Calibri" w:eastAsia="Calibri" w:hAnsi="Calibri"/>
            <w:color w:val="1F4E5F"/>
            <w:sz w:val="22"/>
            <w:szCs w:val="22"/>
            <w:u w:val="single"/>
          </w:rPr>
          <w:t xml:space="preserve">[7]</w:t>
        </w:r>
      </w:hyperlink>
    </w:p>
    <w:p>
      <w:pPr>
        <w:spacing w:after="160"/>
      </w:pPr>
      <w:r>
        <w:rPr>
          <w:rFonts w:ascii="Calibri" w:cs="Calibri" w:eastAsia="Calibri" w:hAnsi="Calibri"/>
          <w:b w:val="false"/>
          <w:bCs w:val="false"/>
          <w:i w:val="false"/>
          <w:iCs w:val="false"/>
          <w:sz w:val="22"/>
          <w:szCs w:val="22"/>
        </w:rPr>
        <w:t xml:space="preserve">A cartel does not need a signed contract. It can be established through explicit communications, informal understandings, coordinated announcements, or behavior that is only explainable by a collusive arrangement rather than normal independent parallel conduct.</w:t>
      </w:r>
      <w:hyperlink w:history="1" r:id="rIdve3n7blevf6ldy1m46qw5">
        <w:r>
          <w:rPr>
            <w:rFonts w:ascii="Calibri" w:cs="Calibri" w:eastAsia="Calibri" w:hAnsi="Calibri"/>
            <w:color w:val="1F4E5F"/>
            <w:sz w:val="22"/>
            <w:szCs w:val="22"/>
            <w:u w:val="single"/>
          </w:rPr>
          <w:t xml:space="preserve">[6]</w:t>
        </w:r>
      </w:hyperlink>
    </w:p>
    <w:p>
      <w:pPr>
        <w:spacing w:after="120" w:before="200"/>
      </w:pPr>
      <w:r>
        <w:rPr>
          <w:rFonts w:ascii="Calibri" w:cs="Calibri" w:eastAsia="Calibri" w:hAnsi="Calibri"/>
          <w:b/>
          <w:bCs/>
          <w:i/>
          <w:iCs/>
          <w:sz w:val="22"/>
          <w:szCs w:val="22"/>
        </w:rPr>
        <w:t xml:space="preserve">2. Legal test</w:t>
      </w:r>
    </w:p>
    <w:p>
      <w:pPr>
        <w:spacing w:after="160"/>
      </w:pPr>
      <w:r>
        <w:rPr>
          <w:rFonts w:ascii="Calibri" w:cs="Calibri" w:eastAsia="Calibri" w:hAnsi="Calibri"/>
          <w:b w:val="false"/>
          <w:bCs w:val="false"/>
          <w:i w:val="false"/>
          <w:iCs w:val="false"/>
          <w:sz w:val="22"/>
          <w:szCs w:val="22"/>
        </w:rPr>
        <w:t xml:space="preserve">The core legal question is whether competitors coordinated their market conduct in a way that restricts competition by object or effect. For hard-core price fixing, the restriction is typically treated as inherently harmful, so regulators do not need to prove actual market effects in the same way they would for more ambiguous cooperation.</w:t>
      </w:r>
      <w:hyperlink w:history="1" r:id="rIdisb0ohmcm2e49wuhm_mxl">
        <w:r>
          <w:rPr>
            <w:rFonts w:ascii="Calibri" w:cs="Calibri" w:eastAsia="Calibri" w:hAnsi="Calibri"/>
            <w:color w:val="1F4E5F"/>
            <w:sz w:val="22"/>
            <w:szCs w:val="22"/>
            <w:u w:val="single"/>
          </w:rPr>
          <w:t xml:space="preserve">[1]</w:t>
        </w:r>
      </w:hyperlink>
      <w:hyperlink w:history="1" r:id="rIdwdsinslgxkowot7uyyrln">
        <w:r>
          <w:rPr>
            <w:rFonts w:ascii="Calibri" w:cs="Calibri" w:eastAsia="Calibri" w:hAnsi="Calibri"/>
            <w:color w:val="1F4E5F"/>
            <w:sz w:val="22"/>
            <w:szCs w:val="22"/>
            <w:u w:val="single"/>
          </w:rPr>
          <w:t xml:space="preserve">[3]</w:t>
        </w:r>
      </w:hyperlink>
    </w:p>
    <w:p>
      <w:pPr>
        <w:spacing w:after="160"/>
      </w:pPr>
      <w:r>
        <w:rPr>
          <w:rFonts w:ascii="Calibri" w:cs="Calibri" w:eastAsia="Calibri" w:hAnsi="Calibri"/>
          <w:b w:val="false"/>
          <w:bCs w:val="false"/>
          <w:i w:val="false"/>
          <w:iCs w:val="false"/>
          <w:sz w:val="22"/>
          <w:szCs w:val="22"/>
        </w:rPr>
        <w:t xml:space="preserve">In EU terms, the usual elements are: an agreement, concerted practice, or decision between undertakings; among actual or potential competitors; involving price or a price-related trading condition; with a sufficient nexus to trade within the internal market.</w:t>
      </w:r>
      <w:hyperlink w:history="1" r:id="rId139unznlha4ugton0dl1w">
        <w:r>
          <w:rPr>
            <w:rFonts w:ascii="Calibri" w:cs="Calibri" w:eastAsia="Calibri" w:hAnsi="Calibri"/>
            <w:color w:val="1F4E5F"/>
            <w:sz w:val="22"/>
            <w:szCs w:val="22"/>
            <w:u w:val="single"/>
          </w:rPr>
          <w:t xml:space="preserve">[1]</w:t>
        </w:r>
      </w:hyperlink>
      <w:hyperlink w:history="1" r:id="rIdaq5ddne3qgfrniz34aatz">
        <w:r>
          <w:rPr>
            <w:rFonts w:ascii="Calibri" w:cs="Calibri" w:eastAsia="Calibri" w:hAnsi="Calibri"/>
            <w:color w:val="1F4E5F"/>
            <w:sz w:val="22"/>
            <w:szCs w:val="22"/>
            <w:u w:val="single"/>
          </w:rPr>
          <w:t xml:space="preserve">[3]</w:t>
        </w:r>
      </w:hyperlink>
    </w:p>
    <w:p>
      <w:pPr>
        <w:spacing w:after="160"/>
      </w:pPr>
      <w:r>
        <w:rPr>
          <w:rFonts w:ascii="Calibri" w:cs="Calibri" w:eastAsia="Calibri" w:hAnsi="Calibri"/>
          <w:b w:val="false"/>
          <w:bCs w:val="false"/>
          <w:i w:val="false"/>
          <w:iCs w:val="false"/>
          <w:sz w:val="22"/>
          <w:szCs w:val="22"/>
        </w:rPr>
        <w:t xml:space="preserve">If the conduct is a "naked" price-fixing arrangement, the analysis is generally much simpler: the conduct is presumptively unlawful without a detailed effects inquiry.</w:t>
      </w:r>
      <w:hyperlink w:history="1" r:id="rIdjqkckcpbyrxrpofzzqrrd">
        <w:r>
          <w:rPr>
            <w:rFonts w:ascii="Calibri" w:cs="Calibri" w:eastAsia="Calibri" w:hAnsi="Calibri"/>
            <w:color w:val="1F4E5F"/>
            <w:sz w:val="22"/>
            <w:szCs w:val="22"/>
            <w:u w:val="single"/>
          </w:rPr>
          <w:t xml:space="preserve">[3]</w:t>
        </w:r>
      </w:hyperlink>
    </w:p>
    <w:p>
      <w:pPr>
        <w:spacing w:after="120" w:before="200"/>
      </w:pPr>
      <w:r>
        <w:rPr>
          <w:rFonts w:ascii="Calibri" w:cs="Calibri" w:eastAsia="Calibri" w:hAnsi="Calibri"/>
          <w:b/>
          <w:bCs/>
          <w:i/>
          <w:iCs/>
          <w:sz w:val="22"/>
          <w:szCs w:val="22"/>
        </w:rPr>
        <w:t xml:space="preserve">3. Economic indicators used to detect a cartel</w:t>
      </w:r>
    </w:p>
    <w:p>
      <w:pPr>
        <w:spacing w:after="160"/>
      </w:pPr>
      <w:r>
        <w:rPr>
          <w:rFonts w:ascii="Calibri" w:cs="Calibri" w:eastAsia="Calibri" w:hAnsi="Calibri"/>
          <w:b w:val="false"/>
          <w:bCs w:val="false"/>
          <w:i w:val="false"/>
          <w:iCs w:val="false"/>
          <w:sz w:val="22"/>
          <w:szCs w:val="22"/>
        </w:rPr>
        <w:t xml:space="preserve">Economics is used mainly to spot collusion and distinguish it from lawful parallel pricing. Common indicators include:</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Sustained parallel price movements that are difficult to explain by cost changes or demand conditions.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Unusually small price dispersion across competitors.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Synchronized discounts, surcharges, or quotation patterns.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Stable market shares over time despite normal competitive pressure.</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Simultaneous bidding patterns, especially where bids rotate or appear deliberately uncompetitive.</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Information exchanges that reduce uncertainty about rivals' pricing intentions.</w:t>
      </w:r>
      <w:hyperlink w:history="1" r:id="rIdssrb8c6lf_ebvqgu1mx4m">
        <w:r>
          <w:rPr>
            <w:rFonts w:ascii="Calibri" w:cs="Calibri" w:eastAsia="Calibri" w:hAnsi="Calibri"/>
            <w:color w:val="1F4E5F"/>
            <w:sz w:val="22"/>
            <w:szCs w:val="22"/>
            <w:u w:val="single"/>
          </w:rPr>
          <w:t xml:space="preserve">[6]</w:t>
        </w:r>
      </w:hyperlink>
      <w:hyperlink w:history="1" r:id="rIdygs8oostpadqnrajlq6pc">
        <w:r>
          <w:rPr>
            <w:rFonts w:ascii="Calibri" w:cs="Calibri" w:eastAsia="Calibri" w:hAnsi="Calibri"/>
            <w:color w:val="1F4E5F"/>
            <w:sz w:val="22"/>
            <w:szCs w:val="22"/>
            <w:u w:val="single"/>
          </w:rPr>
          <w:t xml:space="preserve">[7]</w:t>
        </w:r>
      </w:hyperlink>
    </w:p>
    <w:p>
      <w:pPr>
        <w:spacing w:after="160"/>
      </w:pPr>
      <w:r>
        <w:rPr>
          <w:rFonts w:ascii="Calibri" w:cs="Calibri" w:eastAsia="Calibri" w:hAnsi="Calibri"/>
          <w:b w:val="false"/>
          <w:bCs w:val="false"/>
          <w:i w:val="false"/>
          <w:iCs w:val="false"/>
          <w:sz w:val="22"/>
          <w:szCs w:val="22"/>
        </w:rPr>
        <w:t xml:space="preserve">Economically, the key question is whether firms behaved interdependently because of market transparency or whether they coordinated to suppress competitive rivalry. Evidence of communication, repeated contact, and pricing discipline strengthens the inference of collusion.</w:t>
      </w:r>
      <w:hyperlink w:history="1" r:id="rIdzgi7wh-cqp868wmydfukf">
        <w:r>
          <w:rPr>
            <w:rFonts w:ascii="Calibri" w:cs="Calibri" w:eastAsia="Calibri" w:hAnsi="Calibri"/>
            <w:color w:val="1F4E5F"/>
            <w:sz w:val="22"/>
            <w:szCs w:val="22"/>
            <w:u w:val="single"/>
          </w:rPr>
          <w:t xml:space="preserve">[6]</w:t>
        </w:r>
      </w:hyperlink>
      <w:hyperlink w:history="1" r:id="rIdzdejryywbdsfk5ii1mwlx">
        <w:r>
          <w:rPr>
            <w:rFonts w:ascii="Calibri" w:cs="Calibri" w:eastAsia="Calibri" w:hAnsi="Calibri"/>
            <w:color w:val="1F4E5F"/>
            <w:sz w:val="22"/>
            <w:szCs w:val="22"/>
            <w:u w:val="single"/>
          </w:rPr>
          <w:t xml:space="preserve">[7]</w:t>
        </w:r>
      </w:hyperlink>
    </w:p>
    <w:p>
      <w:pPr>
        <w:spacing w:after="120" w:before="200"/>
      </w:pPr>
      <w:r>
        <w:rPr>
          <w:rFonts w:ascii="Calibri" w:cs="Calibri" w:eastAsia="Calibri" w:hAnsi="Calibri"/>
          <w:b/>
          <w:bCs/>
          <w:i/>
          <w:iCs/>
          <w:sz w:val="22"/>
          <w:szCs w:val="22"/>
        </w:rPr>
        <w:t xml:space="preserve">4. Practical detection approach</w:t>
      </w:r>
    </w:p>
    <w:p>
      <w:pPr>
        <w:spacing w:after="160"/>
      </w:pPr>
      <w:r>
        <w:rPr>
          <w:rFonts w:ascii="Calibri" w:cs="Calibri" w:eastAsia="Calibri" w:hAnsi="Calibri"/>
          <w:b w:val="false"/>
          <w:bCs w:val="false"/>
          <w:i w:val="false"/>
          <w:iCs w:val="false"/>
          <w:sz w:val="22"/>
          <w:szCs w:val="22"/>
        </w:rPr>
        <w:t xml:space="preserve">Authorities usually build the case by combining direct and circumstantial evidence. Direct evidence can include messages, meeting records, or internal documents showing discussions about future prices, margins, or customer allocation.</w:t>
      </w:r>
      <w:hyperlink w:history="1" r:id="rIdnkmi20pcakbejndnp2tfs">
        <w:r>
          <w:rPr>
            <w:rFonts w:ascii="Calibri" w:cs="Calibri" w:eastAsia="Calibri" w:hAnsi="Calibri"/>
            <w:color w:val="1F4E5F"/>
            <w:sz w:val="22"/>
            <w:szCs w:val="22"/>
            <w:u w:val="single"/>
          </w:rPr>
          <w:t xml:space="preserve">[6]</w:t>
        </w:r>
      </w:hyperlink>
    </w:p>
    <w:p>
      <w:pPr>
        <w:spacing w:after="160"/>
      </w:pPr>
      <w:r>
        <w:rPr>
          <w:rFonts w:ascii="Calibri" w:cs="Calibri" w:eastAsia="Calibri" w:hAnsi="Calibri"/>
          <w:b w:val="false"/>
          <w:bCs w:val="false"/>
          <w:i w:val="false"/>
          <w:iCs w:val="false"/>
          <w:sz w:val="22"/>
          <w:szCs w:val="22"/>
        </w:rPr>
        <w:t xml:space="preserve">Circumstantial evidence often includes: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Identical or near-identical price changes at the same time.</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Unexplained refusal to compete for certain customers.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Patterns showing one firm leading and others following in a way that reflects coordination rather than normal market response.</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Suspicious information exchanges about future pricing, output, or capacity.</w:t>
      </w:r>
      <w:hyperlink w:history="1" r:id="rId0do5vtpope-ptfo5em6dj">
        <w:r>
          <w:rPr>
            <w:rFonts w:ascii="Calibri" w:cs="Calibri" w:eastAsia="Calibri" w:hAnsi="Calibri"/>
            <w:color w:val="1F4E5F"/>
            <w:sz w:val="22"/>
            <w:szCs w:val="22"/>
            <w:u w:val="single"/>
          </w:rPr>
          <w:t xml:space="preserve">[6]</w:t>
        </w:r>
      </w:hyperlink>
      <w:hyperlink w:history="1" r:id="rId_ns4ceml_s31l5aledcso">
        <w:r>
          <w:rPr>
            <w:rFonts w:ascii="Calibri" w:cs="Calibri" w:eastAsia="Calibri" w:hAnsi="Calibri"/>
            <w:color w:val="1F4E5F"/>
            <w:sz w:val="22"/>
            <w:szCs w:val="22"/>
            <w:u w:val="single"/>
          </w:rPr>
          <w:t xml:space="preserve">[7]</w:t>
        </w:r>
      </w:hyperlink>
    </w:p>
    <w:p>
      <w:pPr>
        <w:spacing w:after="160"/>
      </w:pPr>
      <w:r>
        <w:rPr>
          <w:rFonts w:ascii="Calibri" w:cs="Calibri" w:eastAsia="Calibri" w:hAnsi="Calibri"/>
          <w:b w:val="false"/>
          <w:bCs w:val="false"/>
          <w:i w:val="false"/>
          <w:iCs w:val="false"/>
          <w:sz w:val="22"/>
          <w:szCs w:val="22"/>
        </w:rPr>
        <w:t xml:space="preserve">A strong cartel case usually needs a coherent story that links communications, market structure, and pricing outcomes.</w:t>
      </w:r>
    </w:p>
    <w:p>
      <w:pPr>
        <w:spacing w:after="120" w:before="200"/>
      </w:pPr>
      <w:r>
        <w:rPr>
          <w:rFonts w:ascii="Calibri" w:cs="Calibri" w:eastAsia="Calibri" w:hAnsi="Calibri"/>
          <w:b/>
          <w:bCs/>
          <w:i/>
          <w:iCs/>
          <w:sz w:val="22"/>
          <w:szCs w:val="22"/>
        </w:rPr>
        <w:t xml:space="preserve">5. Special considerations for financial markets</w:t>
      </w:r>
    </w:p>
    <w:p>
      <w:pPr>
        <w:spacing w:after="160"/>
      </w:pPr>
      <w:r>
        <w:rPr>
          <w:rFonts w:ascii="Calibri" w:cs="Calibri" w:eastAsia="Calibri" w:hAnsi="Calibri"/>
          <w:b w:val="false"/>
          <w:bCs w:val="false"/>
          <w:i w:val="false"/>
          <w:iCs w:val="false"/>
          <w:sz w:val="22"/>
          <w:szCs w:val="22"/>
        </w:rPr>
        <w:t xml:space="preserve">In financial markets, "price fixing" may involve fixing interest rates, spreads, fees, commissions, or benchmark-related trading terms rather than a classic product price. The same competition principles apply, but the analysis often focuses on whether coordinated conduct affected trading conditions in a market where pricing may be multidimensional and benchmark-driven.</w:t>
      </w:r>
      <w:hyperlink w:history="1" r:id="rId40dxlkmlwmidquh5_4ecu">
        <w:r>
          <w:rPr>
            <w:rFonts w:ascii="Calibri" w:cs="Calibri" w:eastAsia="Calibri" w:hAnsi="Calibri"/>
            <w:color w:val="1F4E5F"/>
            <w:sz w:val="22"/>
            <w:szCs w:val="22"/>
            <w:u w:val="single"/>
          </w:rPr>
          <w:t xml:space="preserve">[6]</w:t>
        </w:r>
      </w:hyperlink>
      <w:hyperlink w:history="1" r:id="rIdvnpzh1kv48l8e2ocgbkcn">
        <w:r>
          <w:rPr>
            <w:rFonts w:ascii="Calibri" w:cs="Calibri" w:eastAsia="Calibri" w:hAnsi="Calibri"/>
            <w:color w:val="1F4E5F"/>
            <w:sz w:val="22"/>
            <w:szCs w:val="22"/>
            <w:u w:val="single"/>
          </w:rPr>
          <w:t xml:space="preserve">[3]</w:t>
        </w:r>
      </w:hyperlink>
    </w:p>
    <w:p>
      <w:pPr>
        <w:spacing w:after="160"/>
      </w:pPr>
      <w:r>
        <w:rPr>
          <w:rFonts w:ascii="Calibri" w:cs="Calibri" w:eastAsia="Calibri" w:hAnsi="Calibri"/>
          <w:b w:val="false"/>
          <w:bCs w:val="false"/>
          <w:i w:val="false"/>
          <w:iCs w:val="false"/>
          <w:sz w:val="22"/>
          <w:szCs w:val="22"/>
        </w:rPr>
        <w:t xml:space="preserve">Because financial products can be highly standardized and benchmark-sensitive, coordination may be visible through parallel moves in quoted spreads, fee schedules, or transaction terms. Information exchange is especially important in this setting because it can quickly reduce uncertainty and stabilize collusion.</w:t>
      </w:r>
      <w:hyperlink w:history="1" r:id="rIdnqqin8xu0qjm43l3ae_w2">
        <w:r>
          <w:rPr>
            <w:rFonts w:ascii="Calibri" w:cs="Calibri" w:eastAsia="Calibri" w:hAnsi="Calibri"/>
            <w:color w:val="1F4E5F"/>
            <w:sz w:val="22"/>
            <w:szCs w:val="22"/>
            <w:u w:val="single"/>
          </w:rPr>
          <w:t xml:space="preserve">[6]</w:t>
        </w:r>
      </w:hyperlink>
      <w:hyperlink w:history="1" r:id="rIdvnv96i74nyhzbp8y2idmc">
        <w:r>
          <w:rPr>
            <w:rFonts w:ascii="Calibri" w:cs="Calibri" w:eastAsia="Calibri" w:hAnsi="Calibri"/>
            <w:color w:val="1F4E5F"/>
            <w:sz w:val="22"/>
            <w:szCs w:val="22"/>
            <w:u w:val="single"/>
          </w:rPr>
          <w:t xml:space="preserve">[7]</w:t>
        </w:r>
      </w:hyperlink>
    </w:p>
    <w:p>
      <w:pPr>
        <w:spacing w:after="120" w:before="200"/>
      </w:pPr>
      <w:r>
        <w:rPr>
          <w:rFonts w:ascii="Calibri" w:cs="Calibri" w:eastAsia="Calibri" w:hAnsi="Calibri"/>
          <w:b/>
          <w:bCs/>
          <w:i/>
          <w:iCs/>
          <w:sz w:val="22"/>
          <w:szCs w:val="22"/>
        </w:rPr>
        <w:t xml:space="preserve">6. Further reading</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European Commission: Antitrust and Cartels</w:t>
      </w:r>
      <w:hyperlink w:history="1" r:id="rIduvgnwiqapahruepghuna4">
        <w:r>
          <w:rPr>
            <w:rFonts w:ascii="Calibri" w:cs="Calibri" w:eastAsia="Calibri" w:hAnsi="Calibri"/>
            <w:color w:val="1F4E5F"/>
            <w:sz w:val="22"/>
            <w:szCs w:val="22"/>
            <w:u w:val="single"/>
          </w:rPr>
          <w:t xml:space="preserve">[1]</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EU competition rules for businesses</w:t>
      </w:r>
      <w:hyperlink w:history="1" r:id="rId4ucpmsznwhrmaf5o8wuvg">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OECD Recommendation on Effective Action against Hard Core Cartels</w:t>
      </w:r>
      <w:hyperlink w:history="1" r:id="rIdbw7d6b9_ajr27qewi4qdc">
        <w:r>
          <w:rPr>
            <w:rFonts w:ascii="Calibri" w:cs="Calibri" w:eastAsia="Calibri" w:hAnsi="Calibri"/>
            <w:color w:val="1F4E5F"/>
            <w:sz w:val="22"/>
            <w:szCs w:val="22"/>
            <w:u w:val="single"/>
          </w:rPr>
          <w:t xml:space="preserve">[2]</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OECD cartels materials</w:t>
      </w:r>
      <w:hyperlink w:history="1" r:id="rId8pgfihgq46-dx8-zejuph">
        <w:r>
          <w:rPr>
            <w:rFonts w:ascii="Calibri" w:cs="Calibri" w:eastAsia="Calibri" w:hAnsi="Calibri"/>
            <w:color w:val="1F4E5F"/>
            <w:sz w:val="22"/>
            <w:szCs w:val="22"/>
            <w:u w:val="single"/>
          </w:rPr>
          <w:t xml:space="preserve">[3]</w:t>
        </w:r>
      </w:hyperlink>
    </w:p>
    <w:p>
      <w:pPr>
        <w:spacing w:after="160"/>
      </w:pPr>
      <w:r>
        <w:rPr>
          <w:rFonts w:ascii="Calibri" w:cs="Calibri" w:eastAsia="Calibri" w:hAnsi="Calibri"/>
          <w:b w:val="false"/>
          <w:bCs w:val="false"/>
          <w:i w:val="false"/>
          <w:iCs w:val="false"/>
          <w:sz w:val="22"/>
          <w:szCs w:val="22"/>
        </w:rPr>
        <w:t xml:space="preserve">If useful, the next step can be a practical checklist for assessing whether a specific fact pattern is more likely lawful parallel pricing or a price-fixing cartel.</w:t>
      </w:r>
    </w:p>
    <w:p>
      <w:pPr>
        <w:spacing w:after="120" w:before="200"/>
      </w:pPr>
      <w:r>
        <w:rPr>
          <w:rFonts w:ascii="Calibri" w:cs="Calibri" w:eastAsia="Calibri" w:hAnsi="Calibri"/>
          <w:b/>
          <w:bCs/>
          <w:i/>
          <w:iCs/>
          <w:sz w:val="22"/>
          <w:szCs w:val="22"/>
        </w:rPr>
        <w:t xml:space="preserve">Example Case:</w:t>
      </w:r>
    </w:p>
    <w:p>
      <w:pPr>
        <w:spacing w:after="120"/>
      </w:pPr>
      <w:r>
        <w:rPr>
          <w:rFonts w:ascii="Calibri" w:cs="Calibri" w:eastAsia="Calibri" w:hAnsi="Calibri"/>
          <w:i w:val="false"/>
          <w:iCs w:val="false"/>
          <w:sz w:val="22"/>
          <w:szCs w:val="22"/>
        </w:rPr>
        <w:t xml:space="preserve">Here are relevant cases worth your time based on your search query.</w:t>
      </w:r>
    </w:p>
    <w:p>
      <w:pPr>
        <w:spacing w:after="160"/>
      </w:pPr>
      <w:r>
        <w:rPr>
          <w:rFonts w:ascii="Calibri" w:cs="Calibri" w:eastAsia="Calibri" w:hAnsi="Calibri"/>
          <w:b/>
          <w:bCs/>
          <w:i w:val="false"/>
          <w:iCs w:val="false"/>
          <w:sz w:val="22"/>
          <w:szCs w:val="22"/>
        </w:rPr>
        <w:t xml:space="preserve">Case T-203/01 Manufacture française des pneumatiques Michelin v. Commission</w:t>
      </w:r>
    </w:p>
    <w:p>
      <w:pPr>
        <w:spacing w:after="120" w:before="200"/>
      </w:pPr>
      <w:r>
        <w:rPr>
          <w:rFonts w:ascii="Calibri" w:cs="Calibri" w:eastAsia="Calibri" w:hAnsi="Calibri"/>
          <w:b/>
          <w:bCs/>
          <w:i/>
          <w:iCs/>
          <w:sz w:val="22"/>
          <w:szCs w:val="22"/>
        </w:rPr>
        <w:t xml:space="preserve">Case Background</w:t>
      </w:r>
    </w:p>
    <w:p>
      <w:pPr>
        <w:spacing w:after="160"/>
      </w:pPr>
      <w:r>
        <w:rPr>
          <w:rFonts w:ascii="Calibri" w:cs="Calibri" w:eastAsia="Calibri" w:hAnsi="Calibri"/>
          <w:b w:val="false"/>
          <w:bCs w:val="false"/>
          <w:i w:val="false"/>
          <w:iCs w:val="false"/>
          <w:sz w:val="22"/>
          <w:szCs w:val="22"/>
        </w:rPr>
        <w:t xml:space="preserve">The allegation made in this case is that Scania participated in anti-competitive contacts and collusive arrangements concerning the pricing and introduction of emission technologies for medium and heavy trucks.</w:t>
      </w:r>
      <w:hyperlink w:history="1" r:id="rId7kw8q_6mes-0b48vgryl2">
        <w:r>
          <w:rPr>
            <w:rFonts w:ascii="Calibri" w:cs="Calibri" w:eastAsia="Calibri" w:hAnsi="Calibri"/>
            <w:color w:val="1F4E5F"/>
            <w:sz w:val="22"/>
            <w:szCs w:val="22"/>
            <w:u w:val="single"/>
          </w:rPr>
          <w:t xml:space="preserve">[11]</w:t>
        </w:r>
      </w:hyperlink>
    </w:p>
    <w:p>
      <w:pPr>
        <w:spacing w:after="160"/>
      </w:pPr>
      <w:r>
        <w:rPr>
          <w:rFonts w:ascii="Calibri" w:cs="Calibri" w:eastAsia="Calibri" w:hAnsi="Calibri"/>
          <w:b w:val="false"/>
          <w:bCs w:val="false"/>
          <w:i w:val="false"/>
          <w:iCs w:val="false"/>
          <w:sz w:val="22"/>
          <w:szCs w:val="22"/>
        </w:rPr>
        <w:t xml:space="preserve">The companies involved in the allegations are Scania CV AB, Scania Deutschland GmbH, and Scania AB.</w:t>
      </w:r>
      <w:hyperlink w:history="1" r:id="rId4by98b5qeyscvz1ujmqrk">
        <w:r>
          <w:rPr>
            <w:rFonts w:ascii="Calibri" w:cs="Calibri" w:eastAsia="Calibri" w:hAnsi="Calibri"/>
            <w:color w:val="1F4E5F"/>
            <w:sz w:val="22"/>
            <w:szCs w:val="22"/>
            <w:u w:val="single"/>
          </w:rPr>
          <w:t xml:space="preserve">[11]</w:t>
        </w:r>
      </w:hyperlink>
    </w:p>
    <w:p>
      <w:pPr>
        <w:spacing w:after="160"/>
      </w:pPr>
      <w:r>
        <w:rPr>
          <w:rFonts w:ascii="Calibri" w:cs="Calibri" w:eastAsia="Calibri" w:hAnsi="Calibri"/>
          <w:b w:val="false"/>
          <w:bCs w:val="false"/>
          <w:i w:val="false"/>
          <w:iCs w:val="false"/>
          <w:sz w:val="22"/>
          <w:szCs w:val="22"/>
        </w:rPr>
        <w:t xml:space="preserve">The case was initiated on 17 January 1997 and continued until 18 January 2011, with specific periods of involvement for different entities.</w:t>
      </w:r>
      <w:hyperlink w:history="1" r:id="rIdyncrjpto38dfw9jz0myfb">
        <w:r>
          <w:rPr>
            <w:rFonts w:ascii="Calibri" w:cs="Calibri" w:eastAsia="Calibri" w:hAnsi="Calibri"/>
            <w:color w:val="1F4E5F"/>
            <w:sz w:val="22"/>
            <w:szCs w:val="22"/>
            <w:u w:val="single"/>
          </w:rPr>
          <w:t xml:space="preserve">[11]</w:t>
        </w:r>
      </w:hyperlink>
    </w:p>
    <w:p>
      <w:pPr>
        <w:spacing w:after="160"/>
      </w:pPr>
      <w:r>
        <w:rPr>
          <w:rFonts w:ascii="Calibri" w:cs="Calibri" w:eastAsia="Calibri" w:hAnsi="Calibri"/>
          <w:b w:val="false"/>
          <w:bCs w:val="false"/>
          <w:i w:val="false"/>
          <w:iCs w:val="false"/>
          <w:sz w:val="22"/>
          <w:szCs w:val="22"/>
        </w:rPr>
        <w:t xml:space="preserve">The violation pertains to collusion regarding pricing and gross price increases in the EEA for medium and heavy trucks, as well as the timing and passing on of costs related to emission technologies. This was conducted through regular meetings and exchanges of commercially sensitive information among competitors, which included discussions on future pricing intentions and coordinated delays in introducing new technologies.</w:t>
      </w:r>
      <w:hyperlink w:history="1" r:id="rIda912snmxhiugvs5fo7_kr">
        <w:r>
          <w:rPr>
            <w:rFonts w:ascii="Calibri" w:cs="Calibri" w:eastAsia="Calibri" w:hAnsi="Calibri"/>
            <w:color w:val="1F4E5F"/>
            <w:sz w:val="22"/>
            <w:szCs w:val="22"/>
            <w:u w:val="single"/>
          </w:rPr>
          <w:t xml:space="preserve">[11]</w:t>
        </w:r>
      </w:hyperlink>
    </w:p>
    <w:p>
      <w:pPr>
        <w:spacing w:after="120" w:before="200"/>
      </w:pPr>
      <w:r>
        <w:rPr>
          <w:rFonts w:ascii="Calibri" w:cs="Calibri" w:eastAsia="Calibri" w:hAnsi="Calibri"/>
          <w:b/>
          <w:bCs/>
          <w:i/>
          <w:iCs/>
          <w:sz w:val="22"/>
          <w:szCs w:val="22"/>
        </w:rPr>
        <w:t xml:space="preserve">Case Progression</w:t>
      </w:r>
    </w:p>
    <w:p>
      <w:pPr>
        <w:pStyle w:val="ListParagraph"/>
        <w:numPr>
          <w:ilvl w:val="0"/>
          <w:numId w:val="1"/>
        </w:numPr>
        <w:spacing w:after="100"/>
      </w:pPr>
      <w:r>
        <w:rPr>
          <w:rFonts w:ascii="Calibri" w:cs="Calibri" w:eastAsia="Calibri" w:hAnsi="Calibri"/>
          <w:b/>
          <w:bCs/>
          <w:sz w:val="22"/>
          <w:szCs w:val="22"/>
        </w:rPr>
        <w:t xml:space="preserve">Case Initiation: </w:t>
      </w:r>
      <w:r>
        <w:rPr>
          <w:rFonts w:ascii="Calibri" w:cs="Calibri" w:eastAsia="Calibri" w:hAnsi="Calibri"/>
          <w:b w:val="false"/>
          <w:bCs w:val="false"/>
          <w:i w:val="false"/>
          <w:iCs w:val="false"/>
          <w:sz w:val="22"/>
          <w:szCs w:val="22"/>
        </w:rPr>
        <w:t xml:space="preserve">The case was initiated by the European Commission on 20 November 2014, focusing on potential infringements of Article 101 of the Treaty on the Functioning of the European Union and Article 53 of the EEA Agreement related to truck manufacturers.</w:t>
      </w:r>
      <w:hyperlink w:history="1" r:id="rId348nknzcxz2z5pgevswa9">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bCs/>
          <w:sz w:val="22"/>
          <w:szCs w:val="22"/>
        </w:rPr>
        <w:t xml:space="preserve">Preliminary Investigation: </w:t>
      </w:r>
      <w:r>
        <w:rPr>
          <w:rFonts w:ascii="Calibri" w:cs="Calibri" w:eastAsia="Calibri" w:hAnsi="Calibri"/>
          <w:b w:val="false"/>
          <w:bCs w:val="false"/>
          <w:i w:val="false"/>
          <w:iCs w:val="false"/>
          <w:sz w:val="22"/>
          <w:szCs w:val="22"/>
        </w:rPr>
        <w:t xml:space="preserve">The Commission conducted a thorough investigation to gather evidence of collusion among truck manufacturers regarding pricing and emission technology costs. This included analyzing communications and meetings between companies to assess the existence of anti-competitive practices.</w:t>
      </w:r>
      <w:hyperlink w:history="1" r:id="rIdzifj7vaop-21kfdgdm_tt">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bCs/>
          <w:sz w:val="22"/>
          <w:szCs w:val="22"/>
        </w:rPr>
        <w:t xml:space="preserve">Statement of Objections issued: </w:t>
      </w:r>
      <w:r>
        <w:rPr>
          <w:rFonts w:ascii="Calibri" w:cs="Calibri" w:eastAsia="Calibri" w:hAnsi="Calibri"/>
          <w:b w:val="false"/>
          <w:bCs w:val="false"/>
          <w:i w:val="false"/>
          <w:iCs w:val="false"/>
          <w:sz w:val="22"/>
          <w:szCs w:val="22"/>
        </w:rPr>
        <w:t xml:space="preserve">Following the preliminary investigation, a Statement of Objections was issued, outlining the findings of collusion among Scania and other parties regarding pricing strategies and emission standards.</w:t>
      </w:r>
      <w:hyperlink w:history="1" r:id="rIdfiltpj6cphvynk9yxqzzp">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bCs/>
          <w:sz w:val="22"/>
          <w:szCs w:val="22"/>
        </w:rPr>
        <w:t xml:space="preserve">Defense Phase: </w:t>
      </w:r>
      <w:r>
        <w:rPr>
          <w:rFonts w:ascii="Calibri" w:cs="Calibri" w:eastAsia="Calibri" w:hAnsi="Calibri"/>
          <w:b w:val="false"/>
          <w:bCs w:val="false"/>
          <w:i w:val="false"/>
          <w:iCs w:val="false"/>
          <w:sz w:val="22"/>
          <w:szCs w:val="22"/>
        </w:rPr>
        <w:t xml:space="preserve">Scania submitted a written response contesting the allegations, claiming insufficient evidence and disputing the reliability of certain evidence presented by the Commission. This phase included an oral hearing where Scania defended its position.</w:t>
      </w:r>
      <w:hyperlink w:history="1" r:id="rId367ybm5j7ealum7moawjk">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bCs/>
          <w:sz w:val="22"/>
          <w:szCs w:val="22"/>
        </w:rPr>
        <w:t xml:space="preserve">Commission Decision: </w:t>
      </w:r>
      <w:r>
        <w:rPr>
          <w:rFonts w:ascii="Calibri" w:cs="Calibri" w:eastAsia="Calibri" w:hAnsi="Calibri"/>
          <w:b w:val="false"/>
          <w:bCs w:val="false"/>
          <w:i w:val="false"/>
          <w:iCs w:val="false"/>
          <w:sz w:val="22"/>
          <w:szCs w:val="22"/>
        </w:rPr>
        <w:t xml:space="preserve">The Commission ultimately found that Scania participated in a single and continuous infringement of competition law, leading to a decision that included fines. The decision was based on the assessment that Scania was aware of the overall cartel activities, even if it did not participate in every aspect.</w:t>
      </w:r>
      <w:hyperlink w:history="1" r:id="rIdknavxnzpeg4sxeyrdr0eb">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bCs/>
          <w:sz w:val="22"/>
          <w:szCs w:val="22"/>
        </w:rPr>
        <w:t xml:space="preserve">Company Decision: </w:t>
      </w:r>
      <w:r>
        <w:rPr>
          <w:rFonts w:ascii="Calibri" w:cs="Calibri" w:eastAsia="Calibri" w:hAnsi="Calibri"/>
          <w:b w:val="false"/>
          <w:bCs w:val="false"/>
          <w:i w:val="false"/>
          <w:iCs w:val="false"/>
          <w:sz w:val="22"/>
          <w:szCs w:val="22"/>
        </w:rPr>
        <w:t xml:space="preserve">Following the Commission's decision, Scania had the option to either accept the findings and pay the imposed fines or appeal the decision. The case indicates that Scania chose to appeal, which would lead to further legal proceedings.</w:t>
      </w:r>
      <w:hyperlink w:history="1" r:id="rIdmiep9kng-tjplwunsysx5">
        <w:r>
          <w:rPr>
            <w:rFonts w:ascii="Calibri" w:cs="Calibri" w:eastAsia="Calibri" w:hAnsi="Calibri"/>
            <w:color w:val="1F4E5F"/>
            <w:sz w:val="22"/>
            <w:szCs w:val="22"/>
            <w:u w:val="single"/>
          </w:rPr>
          <w:t xml:space="preserve">[11]</w:t>
        </w:r>
      </w:hyperlink>
    </w:p>
    <w:p>
      <w:pPr>
        <w:spacing w:after="120" w:before="200"/>
      </w:pPr>
      <w:r>
        <w:rPr>
          <w:rFonts w:ascii="Calibri" w:cs="Calibri" w:eastAsia="Calibri" w:hAnsi="Calibri"/>
          <w:b/>
          <w:bCs/>
          <w:i/>
          <w:iCs/>
          <w:sz w:val="22"/>
          <w:szCs w:val="22"/>
        </w:rPr>
        <w:t xml:space="preserve">Market Definition</w:t>
      </w:r>
    </w:p>
    <w:p>
      <w:pPr>
        <w:spacing w:after="160"/>
      </w:pPr>
      <w:r>
        <w:rPr>
          <w:rFonts w:ascii="Calibri" w:cs="Calibri" w:eastAsia="Calibri" w:hAnsi="Calibri"/>
          <w:b w:val="false"/>
          <w:bCs w:val="false"/>
          <w:i w:val="false"/>
          <w:iCs w:val="false"/>
          <w:sz w:val="22"/>
          <w:szCs w:val="22"/>
        </w:rPr>
        <w:t xml:space="preserve">The market considered in this case was the market for medium and heavy trucks within the European Economic Area (EEA), specifically focusing on the coordination of prices and the introduction of emission technologies.</w:t>
      </w:r>
      <w:hyperlink w:history="1" r:id="rIdnkk1sirjq9xbm6vookufe">
        <w:r>
          <w:rPr>
            <w:rFonts w:ascii="Calibri" w:cs="Calibri" w:eastAsia="Calibri" w:hAnsi="Calibri"/>
            <w:color w:val="1F4E5F"/>
            <w:sz w:val="22"/>
            <w:szCs w:val="22"/>
            <w:u w:val="single"/>
          </w:rPr>
          <w:t xml:space="preserve">[11]</w:t>
        </w:r>
      </w:hyperlink>
    </w:p>
    <w:p>
      <w:pPr>
        <w:spacing w:after="160"/>
      </w:pPr>
      <w:r>
        <w:rPr>
          <w:rFonts w:ascii="Calibri" w:cs="Calibri" w:eastAsia="Calibri" w:hAnsi="Calibri"/>
          <w:b w:val="false"/>
          <w:bCs w:val="false"/>
          <w:i w:val="false"/>
          <w:iCs w:val="false"/>
          <w:sz w:val="22"/>
          <w:szCs w:val="22"/>
        </w:rPr>
        <w:t xml:space="preserve">The process to define the market involved assessing the object of the anti-competitive behavior, which was identified as restricting competition through coordinated pricing practices and the exchange of sensitive information among competitors.</w:t>
      </w:r>
      <w:hyperlink w:history="1" r:id="rIdsestrv42h-hnslbrb81re">
        <w:r>
          <w:rPr>
            <w:rFonts w:ascii="Calibri" w:cs="Calibri" w:eastAsia="Calibri" w:hAnsi="Calibri"/>
            <w:color w:val="1F4E5F"/>
            <w:sz w:val="22"/>
            <w:szCs w:val="22"/>
            <w:u w:val="single"/>
          </w:rPr>
          <w:t xml:space="preserve">[11]</w:t>
        </w:r>
      </w:hyperlink>
    </w:p>
    <w:p>
      <w:pPr>
        <w:spacing w:after="160"/>
      </w:pPr>
      <w:r>
        <w:rPr>
          <w:rFonts w:ascii="Calibri" w:cs="Calibri" w:eastAsia="Calibri" w:hAnsi="Calibri"/>
          <w:b w:val="false"/>
          <w:bCs w:val="false"/>
          <w:i w:val="false"/>
          <w:iCs w:val="false"/>
          <w:sz w:val="22"/>
          <w:szCs w:val="22"/>
        </w:rPr>
        <w:t xml:space="preserve">Techniques used included analyzing the nature of the agreements and concerted practices, which were characterized by direct contacts among competitors to coordinate pricing behavior and delay the introduction of new technologies.</w:t>
      </w:r>
      <w:hyperlink w:history="1" r:id="rIdo_7rhl51vgpakfvss22lc">
        <w:r>
          <w:rPr>
            <w:rFonts w:ascii="Calibri" w:cs="Calibri" w:eastAsia="Calibri" w:hAnsi="Calibri"/>
            <w:color w:val="1F4E5F"/>
            <w:sz w:val="22"/>
            <w:szCs w:val="22"/>
            <w:u w:val="single"/>
          </w:rPr>
          <w:t xml:space="preserve">[11]</w:t>
        </w:r>
      </w:hyperlink>
    </w:p>
    <w:p>
      <w:pPr>
        <w:spacing w:after="160"/>
      </w:pPr>
      <w:r>
        <w:rPr>
          <w:rFonts w:ascii="Calibri" w:cs="Calibri" w:eastAsia="Calibri" w:hAnsi="Calibri"/>
          <w:b w:val="false"/>
          <w:bCs w:val="false"/>
          <w:i w:val="false"/>
          <w:iCs w:val="false"/>
          <w:sz w:val="22"/>
          <w:szCs w:val="22"/>
        </w:rPr>
        <w:t xml:space="preserve">The assessment also involved examining the economic context in which the agreements were made, considering the implications of collusive behavior on market conditions and competition.</w:t>
      </w:r>
      <w:hyperlink w:history="1" r:id="rIdib-z3_wcl-sfpggvteoiv">
        <w:r>
          <w:rPr>
            <w:rFonts w:ascii="Calibri" w:cs="Calibri" w:eastAsia="Calibri" w:hAnsi="Calibri"/>
            <w:color w:val="1F4E5F"/>
            <w:sz w:val="22"/>
            <w:szCs w:val="22"/>
            <w:u w:val="single"/>
          </w:rPr>
          <w:t xml:space="preserve">[11]</w:t>
        </w:r>
      </w:hyperlink>
    </w:p>
    <w:p>
      <w:pPr>
        <w:spacing w:after="160"/>
      </w:pPr>
      <w:r>
        <w:rPr>
          <w:rFonts w:ascii="Calibri" w:cs="Calibri" w:eastAsia="Calibri" w:hAnsi="Calibri"/>
          <w:b w:val="false"/>
          <w:bCs w:val="false"/>
          <w:i w:val="false"/>
          <w:iCs w:val="false"/>
          <w:sz w:val="22"/>
          <w:szCs w:val="22"/>
        </w:rPr>
        <w:t xml:space="preserve">The Commission evaluated the degree of harm to competition by looking at the content of the agreements, their objectives, and the overall market structure, which indicated a clear anti-competitive object.</w:t>
      </w:r>
      <w:hyperlink w:history="1" r:id="rIdq4jzsk1lltxsaqqbcezjb">
        <w:r>
          <w:rPr>
            <w:rFonts w:ascii="Calibri" w:cs="Calibri" w:eastAsia="Calibri" w:hAnsi="Calibri"/>
            <w:color w:val="1F4E5F"/>
            <w:sz w:val="22"/>
            <w:szCs w:val="22"/>
            <w:u w:val="single"/>
          </w:rPr>
          <w:t xml:space="preserve">[11]</w:t>
        </w:r>
      </w:hyperlink>
    </w:p>
    <w:p>
      <w:pPr>
        <w:spacing w:after="160"/>
      </w:pPr>
      <w:r>
        <w:rPr>
          <w:rFonts w:ascii="Calibri" w:cs="Calibri" w:eastAsia="Calibri" w:hAnsi="Calibri"/>
          <w:b w:val="false"/>
          <w:bCs w:val="false"/>
          <w:i w:val="false"/>
          <w:iCs w:val="false"/>
          <w:sz w:val="22"/>
          <w:szCs w:val="22"/>
        </w:rPr>
        <w:t xml:space="preserve">Evidence of coordination was established through documented exchanges of commercially sensitive information, which demonstrated that the parties did not independently determine their commercial policies.</w:t>
      </w:r>
      <w:hyperlink w:history="1" r:id="rIdnw9vimvqqnz8aja1tbon3">
        <w:r>
          <w:rPr>
            <w:rFonts w:ascii="Calibri" w:cs="Calibri" w:eastAsia="Calibri" w:hAnsi="Calibri"/>
            <w:color w:val="1F4E5F"/>
            <w:sz w:val="22"/>
            <w:szCs w:val="22"/>
            <w:u w:val="single"/>
          </w:rPr>
          <w:t xml:space="preserve">[11]</w:t>
        </w:r>
      </w:hyperlink>
    </w:p>
    <w:p>
      <w:pPr>
        <w:spacing w:after="160"/>
      </w:pPr>
      <w:r>
        <w:rPr>
          <w:rFonts w:ascii="Calibri" w:cs="Calibri" w:eastAsia="Calibri" w:hAnsi="Calibri"/>
          <w:b w:val="false"/>
          <w:bCs w:val="false"/>
          <w:i w:val="false"/>
          <w:iCs w:val="false"/>
          <w:sz w:val="22"/>
          <w:szCs w:val="22"/>
        </w:rPr>
        <w:t xml:space="preserve">The analysis included the presumption that undertakings participating in such concertation would take into account the exchanged information when determining their market conduct, reinforcing the anti-competitive nature of the practices.</w:t>
      </w:r>
      <w:hyperlink w:history="1" r:id="rId4q-ra3hkevgznk5ghuogr">
        <w:r>
          <w:rPr>
            <w:rFonts w:ascii="Calibri" w:cs="Calibri" w:eastAsia="Calibri" w:hAnsi="Calibri"/>
            <w:color w:val="1F4E5F"/>
            <w:sz w:val="22"/>
            <w:szCs w:val="22"/>
            <w:u w:val="single"/>
          </w:rPr>
          <w:t xml:space="preserve">[11]</w:t>
        </w:r>
      </w:hyperlink>
    </w:p>
    <w:p>
      <w:pPr>
        <w:spacing w:after="120" w:before="200"/>
      </w:pPr>
      <w:r>
        <w:rPr>
          <w:rFonts w:ascii="Calibri" w:cs="Calibri" w:eastAsia="Calibri" w:hAnsi="Calibri"/>
          <w:b/>
          <w:bCs/>
          <w:i/>
          <w:iCs/>
          <w:sz w:val="22"/>
          <w:szCs w:val="22"/>
        </w:rPr>
        <w:t xml:space="preserve">Legal &amp; Economic Tests</w:t>
      </w:r>
    </w:p>
    <w:p>
      <w:pPr>
        <w:pStyle w:val="ListParagraph"/>
        <w:numPr>
          <w:ilvl w:val="0"/>
          <w:numId w:val="1"/>
        </w:numPr>
        <w:spacing w:after="100"/>
      </w:pPr>
      <w:r>
        <w:rPr>
          <w:rFonts w:ascii="Calibri" w:cs="Calibri" w:eastAsia="Calibri" w:hAnsi="Calibri"/>
          <w:b/>
          <w:bCs/>
          <w:sz w:val="22"/>
          <w:szCs w:val="22"/>
        </w:rPr>
        <w:t xml:space="preserve">Object or Effect Test: </w:t>
      </w:r>
      <w:r>
        <w:rPr>
          <w:rFonts w:ascii="Calibri" w:cs="Calibri" w:eastAsia="Calibri" w:hAnsi="Calibri"/>
          <w:b w:val="false"/>
          <w:bCs w:val="false"/>
          <w:i w:val="false"/>
          <w:iCs w:val="false"/>
          <w:sz w:val="22"/>
          <w:szCs w:val="22"/>
        </w:rPr>
        <w:t xml:space="preserve">This test determines whether an agreement or concerted practice has the object or effect of preventing, restricting, or distorting competition within the internal market. The analysis focuses on the precise object of the agreement in its economic context, particularly for collusive behaviors like price-fixing, where proving actual effects may be unnecessary if the anti-competitive object is established.</w:t>
      </w:r>
      <w:hyperlink w:history="1" r:id="rIdqjwti34gbq9lvhzqqw4wj">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bCs/>
          <w:sz w:val="22"/>
          <w:szCs w:val="22"/>
        </w:rPr>
        <w:t xml:space="preserve">Contextual Analysis Test: </w:t>
      </w:r>
      <w:r>
        <w:rPr>
          <w:rFonts w:ascii="Calibri" w:cs="Calibri" w:eastAsia="Calibri" w:hAnsi="Calibri"/>
          <w:b w:val="false"/>
          <w:bCs w:val="false"/>
          <w:i w:val="false"/>
          <w:iCs w:val="false"/>
          <w:sz w:val="22"/>
          <w:szCs w:val="22"/>
        </w:rPr>
        <w:t xml:space="preserve">This involves examining the content of the agreement, its objectives, and the economic and legal context in which it operates. Factors such as the nature of the goods or services involved and the market conditions are considered.</w:t>
      </w:r>
      <w:hyperlink w:history="1" r:id="rId6vwmcvmjc_m0cqfxm1ljy">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bCs/>
          <w:sz w:val="22"/>
          <w:szCs w:val="22"/>
        </w:rPr>
        <w:t xml:space="preserve">Independence Requirement Test: </w:t>
      </w:r>
      <w:r>
        <w:rPr>
          <w:rFonts w:ascii="Calibri" w:cs="Calibri" w:eastAsia="Calibri" w:hAnsi="Calibri"/>
          <w:b w:val="false"/>
          <w:bCs w:val="false"/>
          <w:i w:val="false"/>
          <w:iCs w:val="false"/>
          <w:sz w:val="22"/>
          <w:szCs w:val="22"/>
        </w:rPr>
        <w:t xml:space="preserve">Each economic operator must independently determine its market strategy and conditions for customers. While operators can adapt to competitors' conduct, any direct or indirect contact that creates non-normal competitive conditions is prohibited.</w:t>
      </w:r>
      <w:hyperlink w:history="1" r:id="rIdjfseruwvipd5ozmsgbdm5">
        <w:r>
          <w:rPr>
            <w:rFonts w:ascii="Calibri" w:cs="Calibri" w:eastAsia="Calibri" w:hAnsi="Calibri"/>
            <w:color w:val="1F4E5F"/>
            <w:sz w:val="22"/>
            <w:szCs w:val="22"/>
            <w:u w:val="single"/>
          </w:rPr>
          <w:t xml:space="preserve">[11]</w:t>
        </w:r>
      </w:hyperlink>
    </w:p>
    <w:p>
      <w:pPr>
        <w:spacing w:after="120" w:before="200"/>
      </w:pPr>
      <w:r>
        <w:rPr>
          <w:rFonts w:ascii="Calibri" w:cs="Calibri" w:eastAsia="Calibri" w:hAnsi="Calibri"/>
          <w:b/>
          <w:bCs/>
          <w:i/>
          <w:iCs/>
          <w:sz w:val="22"/>
          <w:szCs w:val="22"/>
        </w:rPr>
        <w:t xml:space="preserve">Conclusion</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agreements and/or concerted practices between Scania and the settling parties were determined to constitute a single and continuous infringement of Article 101(1) of the Treaty and Article 53 of the EEA Agreement, specifically regarding collusion on pricing and gross price increases for medium and heavy trucks.</w:t>
      </w:r>
      <w:hyperlink w:history="1" r:id="rIdmwcekl7h-flwlgmkfa_pv">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Scania was found to have regularly participated in anticompetitive contacts throughout the entire infringement period, indicating its involvement in overall agreements or concerted practices.</w:t>
      </w:r>
      <w:hyperlink w:history="1" r:id="rId393me126cyqrlg7_xi9ne">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Commission established that the conduct of Scania and its competitors involved coordination of pricing behavior and the timing of introducing emission technologies, which distorted competition within the internal market.</w:t>
      </w:r>
      <w:hyperlink w:history="1" r:id="rId0xsbbw7pqlmteowzbwas7">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Commission concluded that the existence of an anti-competitive practice or agreement could be inferred from various coincidences and indicia, supporting the finding of an infringement of competition rules.</w:t>
      </w:r>
      <w:hyperlink w:history="1" r:id="rIdzibmbo2laznzo4220wbry">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Scania contested the existence of explicit agreements and claimed that the Commission did not prove its participation beyond reasonable doubt; however, the Commission maintained that it had met the required legal standard for establishing the infringement.</w:t>
      </w:r>
      <w:hyperlink w:history="1" r:id="rIdoze_eltzaucan-1-pzit_">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case law allows for the presumption that undertakings involved in concertation will consider exchanged information when determining their market conduct, which applied to Scania's situation.</w:t>
      </w:r>
      <w:hyperlink w:history="1" r:id="rIdz65yboawd_y7jkmnisscv">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Specific remedies or fines imposed on Scania were not detailed in the provided excerpts, but the findings indicate significant liability for the infringement due to the nature of the collusion and the established legal principles.</w:t>
      </w:r>
      <w:hyperlink w:history="1" r:id="rIdyove7rb9b3ljsyzy3wmiq">
        <w:r>
          <w:rPr>
            <w:rFonts w:ascii="Calibri" w:cs="Calibri" w:eastAsia="Calibri" w:hAnsi="Calibri"/>
            <w:color w:val="1F4E5F"/>
            <w:sz w:val="22"/>
            <w:szCs w:val="22"/>
            <w:u w:val="single"/>
          </w:rPr>
          <w:t xml:space="preserve">[11]</w:t>
        </w:r>
      </w:hyperlink>
    </w:p>
    <w:p>
      <w:pPr>
        <w:spacing w:after="160" w:before="280"/>
      </w:pPr>
      <w:r>
        <w:rPr>
          <w:rFonts w:ascii="Calibri" w:cs="Calibri" w:eastAsia="Calibri" w:hAnsi="Calibri"/>
          <w:b/>
          <w:bCs/>
          <w:color w:val="1F4E5F"/>
          <w:sz w:val="22"/>
          <w:szCs w:val="22"/>
        </w:rPr>
        <w:t xml:space="preserve">Cited Sources</w:t>
      </w:r>
    </w:p>
    <w:p>
      <w:pPr>
        <w:pStyle w:val="ListParagraph"/>
        <w:numPr>
          <w:ilvl w:val="0"/>
          <w:numId w:val="2"/>
        </w:numPr>
        <w:spacing w:after="100"/>
      </w:pPr>
      <w:hyperlink w:history="1" r:id="rId_4oq6jjpkam8ppwwljs7q">
        <w:r>
          <w:rPr>
            <w:rFonts w:ascii="Calibri" w:cs="Calibri" w:eastAsia="Calibri" w:hAnsi="Calibri"/>
            <w:color w:val="1F4E5F"/>
            <w:sz w:val="22"/>
            <w:szCs w:val="22"/>
            <w:u w:val="single"/>
          </w:rPr>
          <w:t xml:space="preserve">European Commission: Antitrust and Cartels</w:t>
        </w:r>
      </w:hyperlink>
    </w:p>
    <w:p>
      <w:pPr>
        <w:pStyle w:val="ListParagraph"/>
        <w:numPr>
          <w:ilvl w:val="0"/>
          <w:numId w:val="2"/>
        </w:numPr>
        <w:spacing w:after="100"/>
      </w:pPr>
      <w:hyperlink w:history="1" r:id="rIdfglvnkujfemil_2zz5yls">
        <w:r>
          <w:rPr>
            <w:rFonts w:ascii="Calibri" w:cs="Calibri" w:eastAsia="Calibri" w:hAnsi="Calibri"/>
            <w:color w:val="1F4E5F"/>
            <w:sz w:val="22"/>
            <w:szCs w:val="22"/>
            <w:u w:val="single"/>
          </w:rPr>
          <w:t xml:space="preserve">OECD Recommendation on Effective Action against Hard Core Cartels</w:t>
        </w:r>
      </w:hyperlink>
    </w:p>
    <w:p>
      <w:pPr>
        <w:pStyle w:val="ListParagraph"/>
        <w:numPr>
          <w:ilvl w:val="0"/>
          <w:numId w:val="2"/>
        </w:numPr>
        <w:spacing w:after="100"/>
      </w:pPr>
      <w:hyperlink w:history="1" r:id="rIdw2qoj2r-9-tqnnxicce4v">
        <w:r>
          <w:rPr>
            <w:rFonts w:ascii="Calibri" w:cs="Calibri" w:eastAsia="Calibri" w:hAnsi="Calibri"/>
            <w:color w:val="1F4E5F"/>
            <w:sz w:val="22"/>
            <w:szCs w:val="22"/>
            <w:u w:val="single"/>
          </w:rPr>
          <w:t xml:space="preserve">OECD cartels materials</w:t>
        </w:r>
      </w:hyperlink>
    </w:p>
    <w:p>
      <w:pPr>
        <w:pStyle w:val="ListParagraph"/>
        <w:numPr>
          <w:ilvl w:val="0"/>
          <w:numId w:val="2"/>
        </w:numPr>
        <w:spacing w:after="100"/>
      </w:pPr>
      <w:hyperlink w:history="1" r:id="rId_qsll49vva4vd_y8_nuze">
        <w:r>
          <w:rPr>
            <w:rFonts w:ascii="Calibri" w:cs="Calibri" w:eastAsia="Calibri" w:hAnsi="Calibri"/>
            <w:color w:val="1F4E5F"/>
            <w:sz w:val="22"/>
            <w:szCs w:val="22"/>
            <w:u w:val="single"/>
          </w:rPr>
          <w:t xml:space="preserve">DOJ Antitrust Resource Manual</w:t>
        </w:r>
      </w:hyperlink>
    </w:p>
    <w:p>
      <w:pPr>
        <w:pStyle w:val="ListParagraph"/>
        <w:numPr>
          <w:ilvl w:val="0"/>
          <w:numId w:val="2"/>
        </w:numPr>
        <w:spacing w:after="100"/>
      </w:pPr>
      <w:hyperlink w:history="1" r:id="rIdjhfybgxrmq4zg8iblevbb">
        <w:r>
          <w:rPr>
            <w:rFonts w:ascii="Calibri" w:cs="Calibri" w:eastAsia="Calibri" w:hAnsi="Calibri"/>
            <w:color w:val="1F4E5F"/>
            <w:sz w:val="22"/>
            <w:szCs w:val="22"/>
            <w:u w:val="single"/>
          </w:rPr>
          <w:t xml:space="preserve">Horizontal agreements under competition law</w:t>
        </w:r>
      </w:hyperlink>
    </w:p>
    <w:p>
      <w:pPr>
        <w:pStyle w:val="ListParagraph"/>
        <w:numPr>
          <w:ilvl w:val="0"/>
          <w:numId w:val="2"/>
        </w:numPr>
        <w:spacing w:after="100"/>
      </w:pPr>
      <w:hyperlink w:history="1" r:id="rId1he3wf6x4-dz9go2cj4fg">
        <w:r>
          <w:rPr>
            <w:rFonts w:ascii="Calibri" w:cs="Calibri" w:eastAsia="Calibri" w:hAnsi="Calibri"/>
            <w:color w:val="1F4E5F"/>
            <w:sz w:val="22"/>
            <w:szCs w:val="22"/>
            <w:u w:val="single"/>
          </w:rPr>
          <w:t xml:space="preserve">Antitrust Casebook, Chapter V</w:t>
        </w:r>
      </w:hyperlink>
    </w:p>
    <w:p>
      <w:pPr>
        <w:pStyle w:val="ListParagraph"/>
        <w:numPr>
          <w:ilvl w:val="0"/>
          <w:numId w:val="2"/>
        </w:numPr>
        <w:spacing w:after="100"/>
      </w:pPr>
      <w:hyperlink w:history="1" r:id="rId98loidlraal4d9_v6crh0">
        <w:r>
          <w:rPr>
            <w:rFonts w:ascii="Calibri" w:cs="Calibri" w:eastAsia="Calibri" w:hAnsi="Calibri"/>
            <w:color w:val="1F4E5F"/>
            <w:sz w:val="22"/>
            <w:szCs w:val="22"/>
            <w:u w:val="single"/>
          </w:rPr>
          <w:t xml:space="preserve">ITU competition and financial-market materials</w:t>
        </w:r>
      </w:hyperlink>
    </w:p>
    <w:p>
      <w:pPr>
        <w:pStyle w:val="ListParagraph"/>
        <w:numPr>
          <w:ilvl w:val="0"/>
          <w:numId w:val="2"/>
        </w:numPr>
        <w:spacing w:after="100"/>
      </w:pPr>
      <w:hyperlink w:history="1" r:id="rIdkhjdeihtetwpet4c58hde">
        <w:r>
          <w:rPr>
            <w:rFonts w:ascii="Calibri" w:cs="Calibri" w:eastAsia="Calibri" w:hAnsi="Calibri"/>
            <w:color w:val="1F4E5F"/>
            <w:sz w:val="22"/>
            <w:szCs w:val="22"/>
            <w:u w:val="single"/>
          </w:rPr>
          <w:t xml:space="preserve">A Decade of OECD Competition Trends</w:t>
        </w:r>
      </w:hyperlink>
    </w:p>
    <w:p>
      <w:pPr>
        <w:pStyle w:val="ListParagraph"/>
        <w:numPr>
          <w:ilvl w:val="0"/>
          <w:numId w:val="2"/>
        </w:numPr>
        <w:spacing w:after="100"/>
      </w:pPr>
      <w:hyperlink w:history="1" r:id="rIdykln-bkjuvbwcmewq4f57">
        <w:r>
          <w:rPr>
            <w:rFonts w:ascii="Calibri" w:cs="Calibri" w:eastAsia="Calibri" w:hAnsi="Calibri"/>
            <w:color w:val="1F4E5F"/>
            <w:sz w:val="22"/>
            <w:szCs w:val="22"/>
            <w:u w:val="single"/>
          </w:rPr>
          <w:t xml:space="preserve">EU competition rules for businesses</w:t>
        </w:r>
      </w:hyperlink>
    </w:p>
    <w:p>
      <w:pPr>
        <w:pStyle w:val="ListParagraph"/>
        <w:numPr>
          <w:ilvl w:val="0"/>
          <w:numId w:val="2"/>
        </w:numPr>
        <w:spacing w:after="100"/>
      </w:pPr>
      <w:hyperlink w:history="1" r:id="rIdlilm9g0ssdaohbeair-u0">
        <w:r>
          <w:rPr>
            <w:rFonts w:ascii="Calibri" w:cs="Calibri" w:eastAsia="Calibri" w:hAnsi="Calibri"/>
            <w:color w:val="1F4E5F"/>
            <w:sz w:val="22"/>
            <w:szCs w:val="22"/>
            <w:u w:val="single"/>
          </w:rPr>
          <w:t xml:space="preserve">EU competition between businesses</w:t>
        </w:r>
      </w:hyperlink>
    </w:p>
    <w:p>
      <w:pPr>
        <w:pStyle w:val="ListParagraph"/>
        <w:numPr>
          <w:ilvl w:val="0"/>
          <w:numId w:val="2"/>
        </w:numPr>
        <w:spacing w:after="100"/>
      </w:pPr>
      <w:hyperlink w:history="1" r:id="rIdr0kjazjbcwt0klncn90m6">
        <w:r>
          <w:rPr>
            <w:rFonts w:ascii="Calibri" w:cs="Calibri" w:eastAsia="Calibri" w:hAnsi="Calibri"/>
            <w:color w:val="1F4E5F"/>
            <w:sz w:val="22"/>
            <w:szCs w:val="22"/>
            <w:u w:val="single"/>
          </w:rPr>
          <w:t xml:space="preserve">Case T-203/01 (Trucks cartel) - Case Decision</w:t>
        </w:r>
      </w:hyperlink>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psvrko_icrofdy56mzo3" Type="http://schemas.openxmlformats.org/officeDocument/2006/relationships/hyperlink" Target="https://competition-policy.ec.europa.eu/antitrust-and-cartels_en" TargetMode="External"/><Relationship Id="rIdaj3hllfxignxeyvpzfgeu" Type="http://schemas.openxmlformats.org/officeDocument/2006/relationships/hyperlink" Target="https://one.oecd.org/document/DAF/COMP/WD(2022)16/en/pdf" TargetMode="External"/><Relationship Id="rIdc8rf0hlrv10fmpdpn_mex" Type="http://schemas.openxmlformats.org/officeDocument/2006/relationships/hyperlink" Target="https://www.antitrustcasebook.org/download/Chapter%20V_web.pdf" TargetMode="External"/><Relationship Id="rIdud_4t0d_v2yxyjmu0rxti" Type="http://schemas.openxmlformats.org/officeDocument/2006/relationships/hyperlink" Target="https://www.itu.int/en/publications/Documents/tsb/2017-DFS-TechInnovationCompetition/files/basic-html/page221.html" TargetMode="External"/><Relationship Id="rIdve3n7blevf6ldy1m46qw5" Type="http://schemas.openxmlformats.org/officeDocument/2006/relationships/hyperlink" Target="https://www.antitrustcasebook.org/download/Chapter%20V_web.pdf" TargetMode="External"/><Relationship Id="rIdisb0ohmcm2e49wuhm_mxl" Type="http://schemas.openxmlformats.org/officeDocument/2006/relationships/hyperlink" Target="https://competition-policy.ec.europa.eu/antitrust-and-cartels_en" TargetMode="External"/><Relationship Id="rIdwdsinslgxkowot7uyyrln" Type="http://schemas.openxmlformats.org/officeDocument/2006/relationships/hyperlink" Target="https://one.oecd.org/document/DAF/COMP/WD(2022)16/en/pdf" TargetMode="External"/><Relationship Id="rId139unznlha4ugton0dl1w" Type="http://schemas.openxmlformats.org/officeDocument/2006/relationships/hyperlink" Target="https://competition-policy.ec.europa.eu/antitrust-and-cartels_en" TargetMode="External"/><Relationship Id="rIdaq5ddne3qgfrniz34aatz" Type="http://schemas.openxmlformats.org/officeDocument/2006/relationships/hyperlink" Target="https://one.oecd.org/document/DAF/COMP/WD(2022)16/en/pdf" TargetMode="External"/><Relationship Id="rIdjqkckcpbyrxrpofzzqrrd" Type="http://schemas.openxmlformats.org/officeDocument/2006/relationships/hyperlink" Target="https://one.oecd.org/document/DAF/COMP/WD(2022)16/en/pdf" TargetMode="External"/><Relationship Id="rIdssrb8c6lf_ebvqgu1mx4m" Type="http://schemas.openxmlformats.org/officeDocument/2006/relationships/hyperlink" Target="https://www.antitrustcasebook.org/download/Chapter%20V_web.pdf" TargetMode="External"/><Relationship Id="rIdygs8oostpadqnrajlq6pc" Type="http://schemas.openxmlformats.org/officeDocument/2006/relationships/hyperlink" Target="https://www.itu.int/en/publications/Documents/tsb/2017-DFS-TechInnovationCompetition/files/basic-html/page221.html" TargetMode="External"/><Relationship Id="rIdzgi7wh-cqp868wmydfukf" Type="http://schemas.openxmlformats.org/officeDocument/2006/relationships/hyperlink" Target="https://www.antitrustcasebook.org/download/Chapter%20V_web.pdf" TargetMode="External"/><Relationship Id="rIdzdejryywbdsfk5ii1mwlx" Type="http://schemas.openxmlformats.org/officeDocument/2006/relationships/hyperlink" Target="https://www.itu.int/en/publications/Documents/tsb/2017-DFS-TechInnovationCompetition/files/basic-html/page221.html" TargetMode="External"/><Relationship Id="rIdnkmi20pcakbejndnp2tfs" Type="http://schemas.openxmlformats.org/officeDocument/2006/relationships/hyperlink" Target="https://www.antitrustcasebook.org/download/Chapter%20V_web.pdf" TargetMode="External"/><Relationship Id="rId0do5vtpope-ptfo5em6dj" Type="http://schemas.openxmlformats.org/officeDocument/2006/relationships/hyperlink" Target="https://www.antitrustcasebook.org/download/Chapter%20V_web.pdf" TargetMode="External"/><Relationship Id="rId_ns4ceml_s31l5aledcso" Type="http://schemas.openxmlformats.org/officeDocument/2006/relationships/hyperlink" Target="https://www.itu.int/en/publications/Documents/tsb/2017-DFS-TechInnovationCompetition/files/basic-html/page221.html" TargetMode="External"/><Relationship Id="rId40dxlkmlwmidquh5_4ecu" Type="http://schemas.openxmlformats.org/officeDocument/2006/relationships/hyperlink" Target="https://www.antitrustcasebook.org/download/Chapter%20V_web.pdf" TargetMode="External"/><Relationship Id="rIdvnpzh1kv48l8e2ocgbkcn" Type="http://schemas.openxmlformats.org/officeDocument/2006/relationships/hyperlink" Target="https://one.oecd.org/document/DAF/COMP/WD(2022)16/en/pdf" TargetMode="External"/><Relationship Id="rIdnqqin8xu0qjm43l3ae_w2" Type="http://schemas.openxmlformats.org/officeDocument/2006/relationships/hyperlink" Target="https://www.antitrustcasebook.org/download/Chapter%20V_web.pdf" TargetMode="External"/><Relationship Id="rIdvnv96i74nyhzbp8y2idmc" Type="http://schemas.openxmlformats.org/officeDocument/2006/relationships/hyperlink" Target="https://www.itu.int/en/publications/Documents/tsb/2017-DFS-TechInnovationCompetition/files/basic-html/page221.html" TargetMode="External"/><Relationship Id="rIduvgnwiqapahruepghuna4" Type="http://schemas.openxmlformats.org/officeDocument/2006/relationships/hyperlink" Target="https://competition-policy.ec.europa.eu/antitrust-and-cartels_en" TargetMode="External"/><Relationship Id="rId4ucpmsznwhrmaf5o8wuvg" Type="http://schemas.openxmlformats.org/officeDocument/2006/relationships/hyperlink" Target="https://competition-policy.ec.europa.eu/antitrust-and-cartels/legislation_en" TargetMode="External"/><Relationship Id="rIdbw7d6b9_ajr27qewi4qdc" Type="http://schemas.openxmlformats.org/officeDocument/2006/relationships/hyperlink" Target="https://legalinstruments.oecd.org/en/instruments/OECD-LEGAL-0452" TargetMode="External"/><Relationship Id="rId8pgfihgq46-dx8-zejuph" Type="http://schemas.openxmlformats.org/officeDocument/2006/relationships/hyperlink" Target="https://one.oecd.org/document/DAF/COMP/WD(2022)16/en/pdf" TargetMode="External"/><Relationship Id="rId7kw8q_6mes-0b48vgryl2" Type="http://schemas.openxmlformats.org/officeDocument/2006/relationships/hyperlink" Target="https://ec.europa.eu/competition/antitrust/cases/dec_docs/39824/39824_8754_5.pdf" TargetMode="External"/><Relationship Id="rId4by98b5qeyscvz1ujmqrk" Type="http://schemas.openxmlformats.org/officeDocument/2006/relationships/hyperlink" Target="https://ec.europa.eu/competition/antitrust/cases/dec_docs/39824/39824_8754_5.pdf" TargetMode="External"/><Relationship Id="rIdyncrjpto38dfw9jz0myfb" Type="http://schemas.openxmlformats.org/officeDocument/2006/relationships/hyperlink" Target="https://ec.europa.eu/competition/antitrust/cases/dec_docs/39824/39824_8754_5.pdf" TargetMode="External"/><Relationship Id="rIda912snmxhiugvs5fo7_kr" Type="http://schemas.openxmlformats.org/officeDocument/2006/relationships/hyperlink" Target="https://ec.europa.eu/competition/antitrust/cases/dec_docs/39824/39824_8754_5.pdf" TargetMode="External"/><Relationship Id="rId348nknzcxz2z5pgevswa9" Type="http://schemas.openxmlformats.org/officeDocument/2006/relationships/hyperlink" Target="https://ec.europa.eu/competition/antitrust/cases/dec_docs/39824/39824_8754_5.pdf" TargetMode="External"/><Relationship Id="rIdzifj7vaop-21kfdgdm_tt" Type="http://schemas.openxmlformats.org/officeDocument/2006/relationships/hyperlink" Target="https://ec.europa.eu/competition/antitrust/cases/dec_docs/39824/39824_8754_5.pdf" TargetMode="External"/><Relationship Id="rIdfiltpj6cphvynk9yxqzzp" Type="http://schemas.openxmlformats.org/officeDocument/2006/relationships/hyperlink" Target="https://ec.europa.eu/competition/antitrust/cases/dec_docs/39824/39824_8754_5.pdf" TargetMode="External"/><Relationship Id="rId367ybm5j7ealum7moawjk" Type="http://schemas.openxmlformats.org/officeDocument/2006/relationships/hyperlink" Target="https://ec.europa.eu/competition/antitrust/cases/dec_docs/39824/39824_8754_5.pdf" TargetMode="External"/><Relationship Id="rIdknavxnzpeg4sxeyrdr0eb" Type="http://schemas.openxmlformats.org/officeDocument/2006/relationships/hyperlink" Target="https://ec.europa.eu/competition/antitrust/cases/dec_docs/39824/39824_8754_5.pdf" TargetMode="External"/><Relationship Id="rIdmiep9kng-tjplwunsysx5" Type="http://schemas.openxmlformats.org/officeDocument/2006/relationships/hyperlink" Target="https://ec.europa.eu/competition/antitrust/cases/dec_docs/39824/39824_8754_5.pdf" TargetMode="External"/><Relationship Id="rIdnkk1sirjq9xbm6vookufe" Type="http://schemas.openxmlformats.org/officeDocument/2006/relationships/hyperlink" Target="https://ec.europa.eu/competition/antitrust/cases/dec_docs/39824/39824_8754_5.pdf" TargetMode="External"/><Relationship Id="rIdsestrv42h-hnslbrb81re" Type="http://schemas.openxmlformats.org/officeDocument/2006/relationships/hyperlink" Target="https://ec.europa.eu/competition/antitrust/cases/dec_docs/39824/39824_8754_5.pdf" TargetMode="External"/><Relationship Id="rIdo_7rhl51vgpakfvss22lc" Type="http://schemas.openxmlformats.org/officeDocument/2006/relationships/hyperlink" Target="https://ec.europa.eu/competition/antitrust/cases/dec_docs/39824/39824_8754_5.pdf" TargetMode="External"/><Relationship Id="rIdib-z3_wcl-sfpggvteoiv" Type="http://schemas.openxmlformats.org/officeDocument/2006/relationships/hyperlink" Target="https://ec.europa.eu/competition/antitrust/cases/dec_docs/39824/39824_8754_5.pdf" TargetMode="External"/><Relationship Id="rIdq4jzsk1lltxsaqqbcezjb" Type="http://schemas.openxmlformats.org/officeDocument/2006/relationships/hyperlink" Target="https://ec.europa.eu/competition/antitrust/cases/dec_docs/39824/39824_8754_5.pdf" TargetMode="External"/><Relationship Id="rIdnw9vimvqqnz8aja1tbon3" Type="http://schemas.openxmlformats.org/officeDocument/2006/relationships/hyperlink" Target="https://ec.europa.eu/competition/antitrust/cases/dec_docs/39824/39824_8754_5.pdf" TargetMode="External"/><Relationship Id="rId4q-ra3hkevgznk5ghuogr" Type="http://schemas.openxmlformats.org/officeDocument/2006/relationships/hyperlink" Target="https://ec.europa.eu/competition/antitrust/cases/dec_docs/39824/39824_8754_5.pdf" TargetMode="External"/><Relationship Id="rIdqjwti34gbq9lvhzqqw4wj" Type="http://schemas.openxmlformats.org/officeDocument/2006/relationships/hyperlink" Target="https://ec.europa.eu/competition/antitrust/cases/dec_docs/39824/39824_8754_5.pdf" TargetMode="External"/><Relationship Id="rId6vwmcvmjc_m0cqfxm1ljy" Type="http://schemas.openxmlformats.org/officeDocument/2006/relationships/hyperlink" Target="https://ec.europa.eu/competition/antitrust/cases/dec_docs/39824/39824_8754_5.pdf" TargetMode="External"/><Relationship Id="rIdjfseruwvipd5ozmsgbdm5" Type="http://schemas.openxmlformats.org/officeDocument/2006/relationships/hyperlink" Target="https://ec.europa.eu/competition/antitrust/cases/dec_docs/39824/39824_8754_5.pdf" TargetMode="External"/><Relationship Id="rIdmwcekl7h-flwlgmkfa_pv" Type="http://schemas.openxmlformats.org/officeDocument/2006/relationships/hyperlink" Target="https://ec.europa.eu/competition/antitrust/cases/dec_docs/39824/39824_8754_5.pdf" TargetMode="External"/><Relationship Id="rId393me126cyqrlg7_xi9ne" Type="http://schemas.openxmlformats.org/officeDocument/2006/relationships/hyperlink" Target="https://ec.europa.eu/competition/antitrust/cases/dec_docs/39824/39824_8754_5.pdf" TargetMode="External"/><Relationship Id="rId0xsbbw7pqlmteowzbwas7" Type="http://schemas.openxmlformats.org/officeDocument/2006/relationships/hyperlink" Target="https://ec.europa.eu/competition/antitrust/cases/dec_docs/39824/39824_8754_5.pdf" TargetMode="External"/><Relationship Id="rIdzibmbo2laznzo4220wbry" Type="http://schemas.openxmlformats.org/officeDocument/2006/relationships/hyperlink" Target="https://ec.europa.eu/competition/antitrust/cases/dec_docs/39824/39824_8754_5.pdf" TargetMode="External"/><Relationship Id="rIdoze_eltzaucan-1-pzit_" Type="http://schemas.openxmlformats.org/officeDocument/2006/relationships/hyperlink" Target="https://ec.europa.eu/competition/antitrust/cases/dec_docs/39824/39824_8754_5.pdf" TargetMode="External"/><Relationship Id="rIdz65yboawd_y7jkmnisscv" Type="http://schemas.openxmlformats.org/officeDocument/2006/relationships/hyperlink" Target="https://ec.europa.eu/competition/antitrust/cases/dec_docs/39824/39824_8754_5.pdf" TargetMode="External"/><Relationship Id="rIdyove7rb9b3ljsyzy3wmiq" Type="http://schemas.openxmlformats.org/officeDocument/2006/relationships/hyperlink" Target="https://ec.europa.eu/competition/antitrust/cases/dec_docs/39824/39824_8754_5.pdf" TargetMode="External"/><Relationship Id="rId_4oq6jjpkam8ppwwljs7q" Type="http://schemas.openxmlformats.org/officeDocument/2006/relationships/hyperlink" Target="https://competition-policy.ec.europa.eu/antitrust-and-cartels_en" TargetMode="External"/><Relationship Id="rIdfglvnkujfemil_2zz5yls" Type="http://schemas.openxmlformats.org/officeDocument/2006/relationships/hyperlink" Target="https://legalinstruments.oecd.org/en/instruments/OECD-LEGAL-0452" TargetMode="External"/><Relationship Id="rIdw2qoj2r-9-tqnnxicce4v" Type="http://schemas.openxmlformats.org/officeDocument/2006/relationships/hyperlink" Target="https://one.oecd.org/document/DAF/COMP/WD(2022)16/en/pdf" TargetMode="External"/><Relationship Id="rId_qsll49vva4vd_y8_nuze" Type="http://schemas.openxmlformats.org/officeDocument/2006/relationships/hyperlink" Target="https://www.justice.gov/archives/jm/antitrust-resource-manual-2-antitrust-division-field-offices" TargetMode="External"/><Relationship Id="rIdjhfybgxrmq4zg8iblevbb" Type="http://schemas.openxmlformats.org/officeDocument/2006/relationships/hyperlink" Target="https://epgp.inflibnet.ac.in/epgpdata/uploads/epgp_content/law/03._competition_law/11._horizontal_agreements_under_competition_act_2002__/et/5652_et_11et.pdf" TargetMode="External"/><Relationship Id="rId1he3wf6x4-dz9go2cj4fg" Type="http://schemas.openxmlformats.org/officeDocument/2006/relationships/hyperlink" Target="https://www.antitrustcasebook.org/download/Chapter%20V_web.pdf" TargetMode="External"/><Relationship Id="rId98loidlraal4d9_v6crh0" Type="http://schemas.openxmlformats.org/officeDocument/2006/relationships/hyperlink" Target="https://www.itu.int/en/publications/Documents/tsb/2017-DFS-TechInnovationCompetition/files/basic-html/page221.html" TargetMode="External"/><Relationship Id="rIdkhjdeihtetwpet4c58hde" Type="http://schemas.openxmlformats.org/officeDocument/2006/relationships/hyperlink" Target="https://www.oecd.org/en/publications/2025/12/a-decade-of-oecd-competition-trends-data-and-insights_8aabb981/full-report/component-8.html" TargetMode="External"/><Relationship Id="rIdykln-bkjuvbwcmewq4f57" Type="http://schemas.openxmlformats.org/officeDocument/2006/relationships/hyperlink" Target="https://competition-policy.ec.europa.eu/antitrust-and-cartels/legislation_en" TargetMode="External"/><Relationship Id="rIdlilm9g0ssdaohbeair-u0" Type="http://schemas.openxmlformats.org/officeDocument/2006/relationships/hyperlink" Target="https://europa.eu/youreurope/business/selling-in-eu/competition-between-businesses/index_en.htm" TargetMode="External"/><Relationship Id="rIdr0kjazjbcwt0klncn90m6" Type="http://schemas.openxmlformats.org/officeDocument/2006/relationships/hyperlink" Target="https://ec.europa.eu/competition/antitrust/cases/dec_docs/39824/39824_8754_5.pdf" TargetMode="External"/><Relationship Id="rId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2026-09-02T11:30:28.195Z</dcterms:created>
  <dcterms:modified xsi:type="dcterms:W3CDTF">2026-09-02T11:30:28.196Z</dcterms:modified>
</cp:coreProperties>
</file>

<file path=docProps/custom.xml><?xml version="1.0" encoding="utf-8"?>
<Properties xmlns="http://schemas.openxmlformats.org/officeDocument/2006/custom-properties" xmlns:vt="http://schemas.openxmlformats.org/officeDocument/2006/docPropsVTypes"/>
</file>