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Response Transcript — Sample 5</w:t>
      </w:r>
    </w:p>
    <w:p>
      <w:pPr>
        <w:pBdr>
          <w:bottom w:val="single" w:color="1F4E5F" w:sz="8" w:space="4"/>
        </w:pBdr>
        <w:spacing w:after="3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User Query</w:t>
      </w:r>
    </w:p>
    <w:p>
      <w:pPr>
        <w:pBdr>
          <w:left w:val="single" w:color="1F4E5F" w:sz="12" w:space="8"/>
        </w:pBdr>
        <w:spacing w:after="300"/>
        <w:ind w:left="431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How to determine a price-fixing cartel?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System Response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price-fixing cartel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is usually determined by looking for both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parallel pricing patterns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and some additional evidence of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coordination or agreement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between competitors—not by identical prices alone.</w:t>
      </w:r>
      <w:hyperlink w:history="1" r:id="rIdwnkfnz0gpn2hm4aketlam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s07-oewbrw0fjozlzkvva">
        <w:r>
          <w:rPr>
            <w:color w:val="1155CC"/>
            <w:sz w:val="22"/>
            <w:szCs w:val="22"/>
            <w:u w:val="single"/>
          </w:rPr>
          <w:t xml:space="preserve">[2]</w:t>
        </w:r>
      </w:hyperlink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The strongest indicators are price changes that move together without a cost-based explanation, plus evidence such as communications, meetings, or coordinated bidding.</w:t>
      </w:r>
      <w:hyperlink w:history="1" r:id="rIddjxsehccdwe6kjfd4al-5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fbbkmxx7fa0rrytwnpcrn">
        <w:r>
          <w:rPr>
            <w:color w:val="1155CC"/>
            <w:sz w:val="22"/>
            <w:szCs w:val="22"/>
            <w:u w:val="single"/>
          </w:rPr>
          <w:t xml:space="preserve">[3]</w:t>
        </w:r>
      </w:hyperlink>
      <w:hyperlink w:history="1" r:id="rIdrpnsxjq9z2lgaytuyt1rt">
        <w:r>
          <w:rPr>
            <w:color w:val="1155CC"/>
            <w:sz w:val="22"/>
            <w:szCs w:val="22"/>
            <w:u w:val="single"/>
          </w:rPr>
          <w:t xml:space="preserve">[4]</w:t>
        </w:r>
      </w:hyperlink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Key ways to identify it include:</w:t>
      </w:r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Prices move together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at the same time or by the same percentage, especially when input costs have not changed.</w:t>
      </w:r>
      <w:hyperlink w:history="1" r:id="rId0gr3rrk9w5qnliutzpahr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cn7e_y8zhueda205a46yy">
        <w:r>
          <w:rPr>
            <w:color w:val="1155CC"/>
            <w:sz w:val="22"/>
            <w:szCs w:val="22"/>
            <w:u w:val="single"/>
          </w:rPr>
          <w:t xml:space="preserve">[4]</w:t>
        </w:r>
      </w:hyperlink>
      <w:hyperlink w:history="1" r:id="rIddfhjlzg9jjvlxm5lrz7rs">
        <w:r>
          <w:rPr>
            <w:color w:val="1155CC"/>
            <w:sz w:val="22"/>
            <w:szCs w:val="22"/>
            <w:u w:val="single"/>
          </w:rPr>
          <w:t xml:space="preserve">[3]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Prices stay identical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for long periods after previously differing, or discounts disappear across competitors at about the same time.</w:t>
      </w:r>
      <w:hyperlink w:history="1" r:id="rIdfaaspvuervppnmb8holig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jz7a6f-bfvyxradycfnbv">
        <w:r>
          <w:rPr>
            <w:color w:val="1155CC"/>
            <w:sz w:val="22"/>
            <w:szCs w:val="22"/>
            <w:u w:val="single"/>
          </w:rPr>
          <w:t xml:space="preserve">[4]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Quotes or tenders are unusually high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and a new supplier's bid is much lower than the usual suppliers' bids.</w:t>
      </w:r>
      <w:hyperlink w:history="1" r:id="rIdvjcg6hytzm-cabccyiuvf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ugqpgkeumv6udm80dsab_">
        <w:r>
          <w:rPr>
            <w:color w:val="1155CC"/>
            <w:sz w:val="22"/>
            <w:szCs w:val="22"/>
            <w:u w:val="single"/>
          </w:rPr>
          <w:t xml:space="preserve">[6]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Suppliers refuse to negotiate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or all use the same pricing formulas or similar language when announcing increases.</w:t>
      </w:r>
      <w:hyperlink w:history="1" r:id="rIdgpmttefzmpuqyaljohx-q">
        <w:r>
          <w:rPr>
            <w:color w:val="1155CC"/>
            <w:sz w:val="22"/>
            <w:szCs w:val="22"/>
            <w:u w:val="single"/>
          </w:rPr>
          <w:t xml:space="preserve">[4]</w:t>
        </w:r>
      </w:hyperlink>
      <w:hyperlink w:history="1" r:id="rIdlbfqhcat7xpargfk6jzsw">
        <w:r>
          <w:rPr>
            <w:color w:val="1155CC"/>
            <w:sz w:val="22"/>
            <w:szCs w:val="22"/>
            <w:u w:val="single"/>
          </w:rPr>
          <w:t xml:space="preserve">[3]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Prices remain high despite falling demand or other conditions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that should normally push prices down.</w:t>
      </w:r>
      <w:hyperlink w:history="1" r:id="rId5zipx6fwxpxtkkyxd5-ah">
        <w:r>
          <w:rPr>
            <w:color w:val="1155CC"/>
            <w:sz w:val="22"/>
            <w:szCs w:val="22"/>
            <w:u w:val="single"/>
          </w:rPr>
          <w:t xml:space="preserve">[5]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There is evidence of agreement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such as emails, calls, meetings, or other communications showing competitors coordinated pricing.</w:t>
      </w:r>
      <w:hyperlink w:history="1" r:id="rIdtrc0tljqx8jqi71_p_qiz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9ewolgvx77j-pjqkzhknf">
        <w:r>
          <w:rPr>
            <w:color w:val="1155CC"/>
            <w:sz w:val="22"/>
            <w:szCs w:val="22"/>
            <w:u w:val="single"/>
          </w:rPr>
          <w:t xml:space="preserve">[2]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There is “something more” than parallel conduct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because same pricing alone can also happen in competitive markets.</w:t>
      </w:r>
      <w:hyperlink w:history="1" r:id="rId4aammwj-f6jjoi3_znatw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rf2igulpt9_847cin9med">
        <w:r>
          <w:rPr>
            <w:color w:val="1155CC"/>
            <w:sz w:val="22"/>
            <w:szCs w:val="22"/>
            <w:u w:val="single"/>
          </w:rPr>
          <w:t xml:space="preserve">[7]</w:t>
        </w:r>
      </w:hyperlink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What investigators typically look for is a combination of:</w:t>
      </w:r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 data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: pricing history, bid records, discount patterns, and cost trends.</w:t>
      </w:r>
      <w:hyperlink w:history="1" r:id="rIdgebswq_gebs9ddzk7liqg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fbefstzeycit-wegxe1qc">
        <w:r>
          <w:rPr>
            <w:color w:val="1155CC"/>
            <w:sz w:val="22"/>
            <w:szCs w:val="22"/>
            <w:u w:val="single"/>
          </w:rPr>
          <w:t xml:space="preserve">[8]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Behavioral patterns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: synchronized increases, bid rotation, uniform terms, or sudden price stability.</w:t>
      </w:r>
      <w:hyperlink w:history="1" r:id="rIdqhw-f86yiptyjmqfmg05s">
        <w:r>
          <w:rPr>
            <w:color w:val="1155CC"/>
            <w:sz w:val="22"/>
            <w:szCs w:val="22"/>
            <w:u w:val="single"/>
          </w:rPr>
          <w:t xml:space="preserve">[4]</w:t>
        </w:r>
      </w:hyperlink>
      <w:hyperlink w:history="1" r:id="rIdxslfhi8pt-f1emeivbhjz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gs2xuygwdyi6mq2yulvxx">
        <w:r>
          <w:rPr>
            <w:color w:val="1155CC"/>
            <w:sz w:val="22"/>
            <w:szCs w:val="22"/>
            <w:u w:val="single"/>
          </w:rPr>
          <w:t xml:space="preserve">[6]</w:t>
        </w:r>
      </w:hyperlink>
    </w:p>
    <w:p>
      <w:pPr>
        <w:pStyle w:val="ListParagraph"/>
        <w:numPr>
          <w:ilvl w:val="0"/>
          <w:numId w:val="1"/>
        </w:num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Direct evidence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: internal documents, messages, or witness testimony showing an explicit or implicit agreement.</w:t>
      </w:r>
      <w:hyperlink w:history="1" r:id="rId53ntube_ouz_uryzk9mjr">
        <w:r>
          <w:rPr>
            <w:color w:val="1155CC"/>
            <w:sz w:val="22"/>
            <w:szCs w:val="22"/>
            <w:u w:val="single"/>
          </w:rPr>
          <w:t xml:space="preserve">[5]</w:t>
        </w:r>
      </w:hyperlink>
      <w:hyperlink w:history="1" r:id="rIdwya6_ocq7fq4ubq3ottlt">
        <w:r>
          <w:rPr>
            <w:color w:val="1155CC"/>
            <w:sz w:val="22"/>
            <w:szCs w:val="22"/>
            <w:u w:val="single"/>
          </w:rPr>
          <w:t xml:space="preserve">[2]</w:t>
        </w:r>
      </w:hyperlink>
      <w:hyperlink w:history="1" r:id="rIdonfltbubetxz49dxddsmv">
        <w:r>
          <w:rPr>
            <w:color w:val="1155CC"/>
            <w:sz w:val="22"/>
            <w:szCs w:val="22"/>
            <w:u w:val="single"/>
          </w:rPr>
          <w:t xml:space="preserve">[9]</w:t>
        </w:r>
      </w:hyperlink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If you want, I can also give you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practical checklist for spotting cartel behavior in your own supplier market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or explain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how to distinguish legal parallel pricing from illegal collusion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.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Cited Sources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nqre5t6asjyztpd-0k1td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https://www.compcomm.hk/en/media/reports_publications/files/Price_Fixing_Brochure_ENG.pdf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wc5ww8i6hjk6a8-0jslbj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https://www.ftc.gov/advice-guidance/competition-guidance/guide-antitrust-laws/dealings-competitors/price-fixing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pmjahwoqdxhekyzog4yvh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https://www.justice.gov/atr/preventing-and-detecting-bid-rigging-price-fixing-and-market-allocation-post-disaster-rebuilding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mdlhlnrchudl2cngl0z47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https://www.ccpc.ie/information-for-businesses/guidance-for-businesses/competition-law-guidance/competition-law-breaches/cartels/price-fixing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6lexvsi1khga_7m9vmvxx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https://www.justice.gov/archives/jm/antitrust-resource-manual-2-antitrust-division-field-offices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0gvvqp0f6tu6r-igchxa8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https://www.accc.gov.au/business/competition-and-exemptions/cartels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l5j6ggs7ee92lawbonwzu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https://www.scribd.com/document/76880598/Cartels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zf_p4r_osehd3cd8qok0f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https://news.fbc.keio.ac.jp/~hayami/2016/text/Significance_201602_37_Crede.pdf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moj8mtkoxelgacatpbmy_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https://www.blackwellpublishing.com/content/industrialorganisationlynnepepall/Pepall_4e_chpt_015.pdf</w:t>
        </w:r>
      </w:hyperlink>
    </w:p>
    <w:sectPr>
      <w:pgSz w:w="12240" w:h="15840" w:orient="portrait"/>
      <w:pgMar w:top="1080" w:right="1350" w:bottom="108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nkfnz0gpn2hm4aketlam" Type="http://schemas.openxmlformats.org/officeDocument/2006/relationships/hyperlink" Target="https://www.justice.gov/archives/jm/antitrust-resource-manual-2-antitrust-division-field-offices" TargetMode="External"/><Relationship Id="rIds07-oewbrw0fjozlzkvva" Type="http://schemas.openxmlformats.org/officeDocument/2006/relationships/hyperlink" Target="https://www.ftc.gov/advice-guidance/competition-guidance/guide-antitrust-laws/dealings-competitors/price-fixing" TargetMode="External"/><Relationship Id="rIddjxsehccdwe6kjfd4al-5" Type="http://schemas.openxmlformats.org/officeDocument/2006/relationships/hyperlink" Target="https://www.justice.gov/archives/jm/antitrust-resource-manual-2-antitrust-division-field-offices" TargetMode="External"/><Relationship Id="rIdfbbkmxx7fa0rrytwnpcrn" Type="http://schemas.openxmlformats.org/officeDocument/2006/relationships/hyperlink" Target="https://www.justice.gov/atr/preventing-and-detecting-bid-rigging-price-fixing-and-market-allocation-post-disaster-rebuilding" TargetMode="External"/><Relationship Id="rIdrpnsxjq9z2lgaytuyt1rt" Type="http://schemas.openxmlformats.org/officeDocument/2006/relationships/hyperlink" Target="https://www.ccpc.ie/information-for-businesses/guidance-for-businesses/competition-law-guidance/competition-law-breaches/cartels/price-fixing" TargetMode="External"/><Relationship Id="rId0gr3rrk9w5qnliutzpahr" Type="http://schemas.openxmlformats.org/officeDocument/2006/relationships/hyperlink" Target="https://www.justice.gov/archives/jm/antitrust-resource-manual-2-antitrust-division-field-offices" TargetMode="External"/><Relationship Id="rIdcn7e_y8zhueda205a46yy" Type="http://schemas.openxmlformats.org/officeDocument/2006/relationships/hyperlink" Target="https://www.ccpc.ie/information-for-businesses/guidance-for-businesses/competition-law-guidance/competition-law-breaches/cartels/price-fixing" TargetMode="External"/><Relationship Id="rIddfhjlzg9jjvlxm5lrz7rs" Type="http://schemas.openxmlformats.org/officeDocument/2006/relationships/hyperlink" Target="https://www.justice.gov/atr/preventing-and-detecting-bid-rigging-price-fixing-and-market-allocation-post-disaster-rebuilding" TargetMode="External"/><Relationship Id="rIdfaaspvuervppnmb8holig" Type="http://schemas.openxmlformats.org/officeDocument/2006/relationships/hyperlink" Target="https://www.justice.gov/archives/jm/antitrust-resource-manual-2-antitrust-division-field-offices" TargetMode="External"/><Relationship Id="rIdjz7a6f-bfvyxradycfnbv" Type="http://schemas.openxmlformats.org/officeDocument/2006/relationships/hyperlink" Target="https://www.ccpc.ie/information-for-businesses/guidance-for-businesses/competition-law-guidance/competition-law-breaches/cartels/price-fixing" TargetMode="External"/><Relationship Id="rIdvjcg6hytzm-cabccyiuvf" Type="http://schemas.openxmlformats.org/officeDocument/2006/relationships/hyperlink" Target="https://www.justice.gov/archives/jm/antitrust-resource-manual-2-antitrust-division-field-offices" TargetMode="External"/><Relationship Id="rIdugqpgkeumv6udm80dsab_" Type="http://schemas.openxmlformats.org/officeDocument/2006/relationships/hyperlink" Target="https://www.accc.gov.au/business/competition-and-exemptions/cartels" TargetMode="External"/><Relationship Id="rIdgpmttefzmpuqyaljohx-q" Type="http://schemas.openxmlformats.org/officeDocument/2006/relationships/hyperlink" Target="https://www.ccpc.ie/information-for-businesses/guidance-for-businesses/competition-law-guidance/competition-law-breaches/cartels/price-fixing" TargetMode="External"/><Relationship Id="rIdlbfqhcat7xpargfk6jzsw" Type="http://schemas.openxmlformats.org/officeDocument/2006/relationships/hyperlink" Target="https://www.justice.gov/atr/preventing-and-detecting-bid-rigging-price-fixing-and-market-allocation-post-disaster-rebuilding" TargetMode="External"/><Relationship Id="rId5zipx6fwxpxtkkyxd5-ah" Type="http://schemas.openxmlformats.org/officeDocument/2006/relationships/hyperlink" Target="https://www.justice.gov/archives/jm/antitrust-resource-manual-2-antitrust-division-field-offices" TargetMode="External"/><Relationship Id="rIdtrc0tljqx8jqi71_p_qiz" Type="http://schemas.openxmlformats.org/officeDocument/2006/relationships/hyperlink" Target="https://www.justice.gov/archives/jm/antitrust-resource-manual-2-antitrust-division-field-offices" TargetMode="External"/><Relationship Id="rId9ewolgvx77j-pjqkzhknf" Type="http://schemas.openxmlformats.org/officeDocument/2006/relationships/hyperlink" Target="https://www.ftc.gov/advice-guidance/competition-guidance/guide-antitrust-laws/dealings-competitors/price-fixing" TargetMode="External"/><Relationship Id="rId4aammwj-f6jjoi3_znatw" Type="http://schemas.openxmlformats.org/officeDocument/2006/relationships/hyperlink" Target="https://www.justice.gov/archives/jm/antitrust-resource-manual-2-antitrust-division-field-offices" TargetMode="External"/><Relationship Id="rIdrf2igulpt9_847cin9med" Type="http://schemas.openxmlformats.org/officeDocument/2006/relationships/hyperlink" Target="https://www.scribd.com/document/76880598/Cartels" TargetMode="External"/><Relationship Id="rIdgebswq_gebs9ddzk7liqg" Type="http://schemas.openxmlformats.org/officeDocument/2006/relationships/hyperlink" Target="https://www.justice.gov/archives/jm/antitrust-resource-manual-2-antitrust-division-field-offices" TargetMode="External"/><Relationship Id="rIdfbefstzeycit-wegxe1qc" Type="http://schemas.openxmlformats.org/officeDocument/2006/relationships/hyperlink" Target="https://news.fbc.keio.ac.jp/~hayami/2016/text/Significance_201602_37_Crede.pdf" TargetMode="External"/><Relationship Id="rIdqhw-f86yiptyjmqfmg05s" Type="http://schemas.openxmlformats.org/officeDocument/2006/relationships/hyperlink" Target="https://www.ccpc.ie/information-for-businesses/guidance-for-businesses/competition-law-guidance/competition-law-breaches/cartels/price-fixing" TargetMode="External"/><Relationship Id="rIdxslfhi8pt-f1emeivbhjz" Type="http://schemas.openxmlformats.org/officeDocument/2006/relationships/hyperlink" Target="https://www.justice.gov/archives/jm/antitrust-resource-manual-2-antitrust-division-field-offices" TargetMode="External"/><Relationship Id="rIdgs2xuygwdyi6mq2yulvxx" Type="http://schemas.openxmlformats.org/officeDocument/2006/relationships/hyperlink" Target="https://www.accc.gov.au/business/competition-and-exemptions/cartels" TargetMode="External"/><Relationship Id="rId53ntube_ouz_uryzk9mjr" Type="http://schemas.openxmlformats.org/officeDocument/2006/relationships/hyperlink" Target="https://www.justice.gov/archives/jm/antitrust-resource-manual-2-antitrust-division-field-offices" TargetMode="External"/><Relationship Id="rIdwya6_ocq7fq4ubq3ottlt" Type="http://schemas.openxmlformats.org/officeDocument/2006/relationships/hyperlink" Target="https://www.ftc.gov/advice-guidance/competition-guidance/guide-antitrust-laws/dealings-competitors/price-fixing" TargetMode="External"/><Relationship Id="rIdonfltbubetxz49dxddsmv" Type="http://schemas.openxmlformats.org/officeDocument/2006/relationships/hyperlink" Target="https://www.blackwellpublishing.com/content/industrialorganisationlynnepepall/Pepall_4e_chpt_015.pdf" TargetMode="External"/><Relationship Id="rIdnqre5t6asjyztpd-0k1td" Type="http://schemas.openxmlformats.org/officeDocument/2006/relationships/hyperlink" Target="https://www.compcomm.hk/en/media/reports_publications/files/Price_Fixing_Brochure_ENG.pdf" TargetMode="External"/><Relationship Id="rIdwc5ww8i6hjk6a8-0jslbj" Type="http://schemas.openxmlformats.org/officeDocument/2006/relationships/hyperlink" Target="https://www.ftc.gov/advice-guidance/competition-guidance/guide-antitrust-laws/dealings-competitors/price-fixing" TargetMode="External"/><Relationship Id="rIdpmjahwoqdxhekyzog4yvh" Type="http://schemas.openxmlformats.org/officeDocument/2006/relationships/hyperlink" Target="https://www.justice.gov/atr/preventing-and-detecting-bid-rigging-price-fixing-and-market-allocation-post-disaster-rebuilding" TargetMode="External"/><Relationship Id="rIdmdlhlnrchudl2cngl0z47" Type="http://schemas.openxmlformats.org/officeDocument/2006/relationships/hyperlink" Target="https://www.ccpc.ie/information-for-businesses/guidance-for-businesses/competition-law-guidance/competition-law-breaches/cartels/price-fixing" TargetMode="External"/><Relationship Id="rId6lexvsi1khga_7m9vmvxx" Type="http://schemas.openxmlformats.org/officeDocument/2006/relationships/hyperlink" Target="https://www.justice.gov/archives/jm/antitrust-resource-manual-2-antitrust-division-field-offices" TargetMode="External"/><Relationship Id="rId0gvvqp0f6tu6r-igchxa8" Type="http://schemas.openxmlformats.org/officeDocument/2006/relationships/hyperlink" Target="https://www.accc.gov.au/business/competition-and-exemptions/cartels" TargetMode="External"/><Relationship Id="rIdl5j6ggs7ee92lawbonwzu" Type="http://schemas.openxmlformats.org/officeDocument/2006/relationships/hyperlink" Target="https://www.scribd.com/document/76880598/Cartels" TargetMode="External"/><Relationship Id="rIdzf_p4r_osehd3cd8qok0f" Type="http://schemas.openxmlformats.org/officeDocument/2006/relationships/hyperlink" Target="https://news.fbc.keio.ac.jp/~hayami/2016/text/Significance_201602_37_Crede.pdf" TargetMode="External"/><Relationship Id="rIdmoj8mtkoxelgacatpbmy_" Type="http://schemas.openxmlformats.org/officeDocument/2006/relationships/hyperlink" Target="https://www.blackwellpublishing.com/content/industrialorganisationlynnepepall/Pepall_4e_chpt_015.pdf" TargetMode="External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2026-09-03T20:36:03.809Z</dcterms:created>
  <dcterms:modified xsi:type="dcterms:W3CDTF">2026-09-03T20:36:03.809Z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