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/>
        <w:jc w:val="left"/>
      </w:pPr>
      <w:r>
        <w:rPr>
          <w:rFonts w:ascii="Calibri" w:cs="Calibri" w:eastAsia="Calibri" w:hAnsi="Calibri"/>
          <w:b/>
          <w:bCs/>
          <w:color w:val="1F4E5F"/>
          <w:sz w:val="32"/>
          <w:szCs w:val="32"/>
        </w:rPr>
        <w:t xml:space="preserve">Response Transcript — Sample 6</w:t>
      </w:r>
    </w:p>
    <w:p>
      <w:pPr>
        <w:pBdr>
          <w:bottom w:val="single" w:color="AAAAAA" w:sz="6" w:space="4"/>
        </w:pBdr>
        <w:spacing w:after="200" w:before="200"/>
      </w:pP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User Query</w:t>
      </w:r>
    </w:p>
    <w:p>
      <w:pPr>
        <w:pBdr>
          <w:left w:val="single" w:color="1F4E5F" w:sz="12" w:space="8"/>
        </w:pBdr>
        <w:spacing w:after="200"/>
        <w:ind w:left="36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How to determine a price-fixing cartel?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System Response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Price-fixing cartels are hard to spot directly (conspirators don't announce it), so detection relies on a mix of behavioral, statistical, and structural evidence. Here's how it's typically approached: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1. Market structure red flags (conditions that make collusion easier)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High concentration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few firms dominate the market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Homogeneous products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hard to differentiate on quality, so price is the main lever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High barriers to entry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no threat of new competitors undercutting the cartel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Repeated interaction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firms compete over and over, making tacit cooperation sustainable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Price/output transparency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firms can easily observe each other's prices, making cheating detectable (and punishable)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Inelastic demand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customers can't easily switch or reduce consumption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2. Behavioral/pricing red flags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Price parallelism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prices move together, especially simultaneous identical increases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Unusual price stability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prices stay flat despite cost or demand shocks (suggests coordination rather than competition)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Sudden regime change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a structural break in pricing behavior around a suspicious date (e.g., after a trade association meeting)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Bid rotation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in procurement/tenders, winners rotate in a pattern, or losing bids look suspiciously high ("cover bids")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Market/customer allocation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firms mysteriously stop competing for certain customers or regions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Identical bid increments or round numbers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in tenders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3. Statistical/econometric screens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Regulators (DOJ, EU Commission, etc.) and researchers use quantitative tools: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Variance screens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price variance drops sharply during a suspected collusive period (cartels reduce competitive "noise")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Price-cost margin analysis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margins are abnormally high relative to a competitive benchmark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Correlation screens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price correlations across competitors are much higher than expected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CV (coefficient of variation) tests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comparing dispersion of bids/prices before/after a suspected cartel period or against a non-cartelized benchmark market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Structural break tests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(e.g., Chow test) — detecting discontinuities in pricing series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/>
          <w:bCs/>
          <w:i w:val="false"/>
          <w:iCs w:val="false"/>
          <w:sz w:val="22"/>
          <w:szCs w:val="22"/>
        </w:rPr>
        <w:t xml:space="preserve">Bid-rigging detection algorithms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 — flagging patterns like rotating winners or complementary bidding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4. Direct evidence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This is what actually wins legal cases — statistical screens mainly flag </w:t>
      </w:r>
      <w:r>
        <w:rPr>
          <w:rFonts w:ascii="Calibri" w:cs="Calibri" w:eastAsia="Calibri" w:hAnsi="Calibri"/>
          <w:b w:val="false"/>
          <w:bCs w:val="false"/>
          <w:i/>
          <w:iCs/>
          <w:sz w:val="22"/>
          <w:szCs w:val="22"/>
        </w:rPr>
        <w:t xml:space="preserve">where to look</w:t>
      </w: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: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Leniency/whistleblower applications (a cartel member confesses in exchange for reduced penalties — this is how most cartels are actually caught)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Internal communications: emails, meeting minutes, messages showing explicit agreement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Trade association meeting records</w:t>
      </w:r>
    </w:p>
    <w:p>
      <w:pPr>
        <w:pStyle w:val="ListParagraph"/>
        <w:numPr>
          <w:ilvl w:val="0"/>
          <w:numId w:val="2"/>
        </w:numPr>
        <w:spacing w:after="10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Testimony from employees or customers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In practice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Antitrust authorities usually combine screens (to prioritize investigations) with leniency programs and dawn raids (to gather hard evidence), since statistical patterns alone are rarely enough to prove intent in court — parallel pricing can also arise from normal competitive dynamics ("conscious parallelism"), which is legal in most jurisdictions unless there's evidence of actual agreement.</w:t>
      </w:r>
    </w:p>
    <w:p>
      <w:pPr>
        <w:spacing w:after="120"/>
      </w:pPr>
      <w:r>
        <w:rPr>
          <w:rFonts w:ascii="Calibri" w:cs="Calibri" w:eastAsia="Calibri" w:hAnsi="Calibri"/>
          <w:b w:val="false"/>
          <w:bCs w:val="false"/>
          <w:i w:val="false"/>
          <w:iCs w:val="false"/>
          <w:sz w:val="22"/>
          <w:szCs w:val="22"/>
        </w:rPr>
        <w:t xml:space="preserve">Are you approaching this from a compliance angle (building internal detection tools), an academic/research angle, or something else? I can go deeper into whichever is most relevant.</w:t>
      </w:r>
    </w:p>
    <w:p>
      <w:pPr>
        <w:spacing w:after="120" w:before="240"/>
      </w:pPr>
      <w:r>
        <w:rPr>
          <w:rFonts w:ascii="Calibri" w:cs="Calibri" w:eastAsia="Calibri" w:hAnsi="Calibri"/>
          <w:b/>
          <w:bCs/>
          <w:color w:val="1F4E5F"/>
          <w:sz w:val="24"/>
          <w:szCs w:val="24"/>
        </w:rPr>
        <w:t xml:space="preserve">Cited Sources</w:t>
      </w:r>
    </w:p>
    <w:p>
      <w:r>
        <w:rPr>
          <w:rFonts w:ascii="Calibri" w:cs="Calibri" w:eastAsia="Calibri" w:hAnsi="Calibri"/>
          <w:i/>
          <w:iCs/>
          <w:sz w:val="22"/>
          <w:szCs w:val="22"/>
        </w:rPr>
        <w:t xml:space="preserve">No source links were included in the original response.</w:t>
      </w:r>
    </w:p>
    <w:sectPr>
      <w:pgSz w:w="12240" w:h="15840" w:orient="portrait"/>
      <w:pgMar w:top="1350" w:right="1080" w:bottom="135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  <w:lvl w:ilvl="1" w15:tentative="1">
      <w:start w:val="1"/>
      <w:numFmt w:val="bullet"/>
      <w:lvlText w:val="◦"/>
      <w:lvlJc w:val="left"/>
      <w:pPr>
        <w:ind w:left="108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[%1]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2026-09-02T12:08:08.500Z</dcterms:created>
  <dcterms:modified xsi:type="dcterms:W3CDTF">2026-09-02T12:08:08.500Z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