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5F"/>
          <w:sz w:val="32"/>
          <w:szCs w:val="32"/>
        </w:rPr>
        <w:t xml:space="preserve">Response Transcript — Sample 1</w:t>
      </w:r>
    </w:p>
    <w:p>
      <w:pPr>
        <w:pBdr>
          <w:bottom w:val="single" w:color="1F4E5F" w:sz="6" w:space="1"/>
        </w:pBdr>
        <w:spacing w:after="200"/>
      </w:pPr>
    </w:p>
    <w:p>
      <w:pPr>
        <w:spacing w:after="160" w:before="280"/>
      </w:pPr>
      <w:r>
        <w:rPr>
          <w:rFonts w:ascii="Calibri" w:cs="Calibri" w:eastAsia="Calibri" w:hAnsi="Calibri"/>
          <w:b/>
          <w:bCs/>
          <w:color w:val="1F4E5F"/>
          <w:sz w:val="22"/>
          <w:szCs w:val="22"/>
        </w:rPr>
        <w:t xml:space="preserve">User Query</w:t>
      </w:r>
    </w:p>
    <w:p>
      <w:pPr>
        <w:pBdr>
          <w:left w:val="single" w:color="1F4E5F" w:sz="12" w:space="8"/>
        </w:pBdr>
        <w:spacing w:after="200"/>
        <w:ind w:left="431"/>
      </w:pPr>
      <w:r>
        <w:rPr>
          <w:rFonts w:ascii="Calibri" w:cs="Calibri" w:eastAsia="Calibri" w:hAnsi="Calibri"/>
          <w:i/>
          <w:iCs/>
          <w:sz w:val="22"/>
          <w:szCs w:val="22"/>
        </w:rPr>
        <w:t xml:space="preserve">Explain resale price maintenance and why it is treated as a by-object restriction</w:t>
      </w:r>
    </w:p>
    <w:p>
      <w:pPr>
        <w:spacing w:after="160" w:before="28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b w:val="false"/>
          <w:bCs w:val="false"/>
          <w:i w:val="false"/>
          <w:iCs w:val="false"/>
          <w:sz w:val="22"/>
          <w:szCs w:val="22"/>
        </w:rPr>
        <w:t xml:space="preserve">Resale price maintenance (RPM) is a vertical restraint in which a supplier fixes, or effectively controls, the resale price charged by a distributor, usually by setting a fixed or minimum price or by using indirect pressure to achieve the same result.</w:t>
      </w:r>
      <w:hyperlink w:history="1" r:id="rIdfz87t027yyx35pzdg4pr6">
        <w:r>
          <w:rPr>
            <w:rFonts w:ascii="Calibri" w:cs="Calibri" w:eastAsia="Calibri" w:hAnsi="Calibri"/>
            <w:color w:val="1F4E5F"/>
            <w:sz w:val="22"/>
            <w:szCs w:val="22"/>
            <w:u w:val="single"/>
          </w:rPr>
          <w:t xml:space="preserve">[3]</w:t>
        </w:r>
      </w:hyperlink>
      <w:hyperlink w:history="1" r:id="rIdhe7vy1fks7xpypkukxauo">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In EU competition law, it is treated as a hardcore restraint under the Vertical Block Exemption framework, but the stronger point is that RPM can be characterised as a by-object restriction only after assessing its content, objectives, and economic and legal context.</w:t>
      </w:r>
      <w:hyperlink w:history="1" r:id="rIdnhqudk_wcjvbzy2vvmose">
        <w:r>
          <w:rPr>
            <w:rFonts w:ascii="Calibri" w:cs="Calibri" w:eastAsia="Calibri" w:hAnsi="Calibri"/>
            <w:color w:val="1F4E5F"/>
            <w:sz w:val="22"/>
            <w:szCs w:val="22"/>
            <w:u w:val="single"/>
          </w:rPr>
          <w:t xml:space="preserve">[3]</w:t>
        </w:r>
      </w:hyperlink>
      <w:hyperlink w:history="1" r:id="rIdhgydbb6ijakhtnjdjcya0">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RPM covers both direct and indirect forms, including fixed resale prices, minimum resale prices, pressure or incentives tied to a target price, limits on discounts, and mechanisms that make the reseller's pricing freedom illusory.</w:t>
      </w:r>
      <w:hyperlink w:history="1" r:id="rId-xqfxtpc5z9objbpenjeh">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Maximum resale prices and genuine recommended resale prices are generally treated differently, unless they function in practice as minimum or fixed prices because of pressure or inducements from the supplier.</w:t>
      </w:r>
      <w:hyperlink w:history="1" r:id="rIdh39ymegxgqqnh2mjx5_bc">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The reason RPM is often treated as a by-object restriction is that it is seen as inherently capable of harming competition by removing or weakening intra-brand price competition and by making retail prices less responsive to competitive pressure.</w:t>
      </w:r>
      <w:hyperlink w:history="1" r:id="rIdasjd2ogy0nhr0vr0l8fqz">
        <w:r>
          <w:rPr>
            <w:rFonts w:ascii="Calibri" w:cs="Calibri" w:eastAsia="Calibri" w:hAnsi="Calibri"/>
            <w:color w:val="1F4E5F"/>
            <w:sz w:val="22"/>
            <w:szCs w:val="22"/>
            <w:u w:val="single"/>
          </w:rPr>
          <w:t xml:space="preserve">[1]</w:t>
        </w:r>
      </w:hyperlink>
      <w:hyperlink w:history="1" r:id="rIdgpehsd0emn7wggoh1o-kg">
        <w:r>
          <w:rPr>
            <w:rFonts w:ascii="Calibri" w:cs="Calibri" w:eastAsia="Calibri" w:hAnsi="Calibri"/>
            <w:color w:val="1F4E5F"/>
            <w:sz w:val="22"/>
            <w:szCs w:val="22"/>
            <w:u w:val="single"/>
          </w:rPr>
          <w:t xml:space="preserve">[3]</w:t>
        </w:r>
      </w:hyperlink>
      <w:hyperlink w:history="1" r:id="rIdxr-ow6hgj_sailjboyfal">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The core legal idea is not that harm is presumed automatically in every setting, but that the practice typically reveals a sufficient degree of anti-competitive potential that authorities may treat it as restricting competition by its very nature once the surrounding context confirms that assessment.</w:t>
      </w:r>
      <w:hyperlink w:history="1" r:id="rIdkdmxbqtvyzdub_2gaxdvw">
        <w:r>
          <w:rPr>
            <w:rFonts w:ascii="Calibri" w:cs="Calibri" w:eastAsia="Calibri" w:hAnsi="Calibri"/>
            <w:color w:val="1F4E5F"/>
            <w:sz w:val="22"/>
            <w:szCs w:val="22"/>
            <w:u w:val="single"/>
          </w:rPr>
          <w:t xml:space="preserve">[1]</w:t>
        </w:r>
      </w:hyperlink>
      <w:hyperlink w:history="1" r:id="rIdu3cvyv8pzn_kbifcwrtdo">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Economically, RPM can reduce price competition at the distributor level and may facilitate tacit coordination among retailers, because a floor price makes discounting harder.</w:t>
      </w:r>
      <w:hyperlink w:history="1" r:id="rId4udglcosdk_d3dxliqzsw">
        <w:r>
          <w:rPr>
            <w:rFonts w:ascii="Calibri" w:cs="Calibri" w:eastAsia="Calibri" w:hAnsi="Calibri"/>
            <w:color w:val="1F4E5F"/>
            <w:sz w:val="22"/>
            <w:szCs w:val="22"/>
            <w:u w:val="single"/>
          </w:rPr>
          <w:t xml:space="preserve">[1]</w:t>
        </w:r>
      </w:hyperlink>
      <w:hyperlink w:history="1" r:id="rIdkbinuc5qffmjrohv2u5zn">
        <w:r>
          <w:rPr>
            <w:rFonts w:ascii="Calibri" w:cs="Calibri" w:eastAsia="Calibri" w:hAnsi="Calibri"/>
            <w:color w:val="1F4E5F"/>
            <w:sz w:val="22"/>
            <w:szCs w:val="22"/>
            <w:u w:val="single"/>
          </w:rPr>
          <w:t xml:space="preserve">[3]</w:t>
        </w:r>
      </w:hyperlink>
    </w:p>
    <w:p>
      <w:pPr>
        <w:spacing w:after="160"/>
      </w:pPr>
      <w:r>
        <w:rPr>
          <w:rFonts w:ascii="Calibri" w:cs="Calibri" w:eastAsia="Calibri" w:hAnsi="Calibri"/>
          <w:b w:val="false"/>
          <w:bCs w:val="false"/>
          <w:i w:val="false"/>
          <w:iCs w:val="false"/>
          <w:sz w:val="22"/>
          <w:szCs w:val="22"/>
        </w:rPr>
        <w:t xml:space="preserve">It can also blunt incentives for efficient distribution, though the modern EU analysis recognises that any claimed efficiencies must be assessed against the actual market and contractual context rather than assumed away.</w:t>
      </w:r>
      <w:hyperlink w:history="1" r:id="rIdczmlxmqifmu_ciklf9q6w">
        <w:r>
          <w:rPr>
            <w:rFonts w:ascii="Calibri" w:cs="Calibri" w:eastAsia="Calibri" w:hAnsi="Calibri"/>
            <w:color w:val="1F4E5F"/>
            <w:sz w:val="22"/>
            <w:szCs w:val="22"/>
            <w:u w:val="single"/>
          </w:rPr>
          <w:t xml:space="preserve">[3]</w:t>
        </w:r>
      </w:hyperlink>
      <w:hyperlink w:history="1" r:id="rIdzboozdmzja6dbmz9-6kqo">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Legally, the EU framework distinguishes between the hardcore classification in the vertical rules and the separate question whether conduct is a by-object restriction under Article 101(1) TFEU.</w:t>
      </w:r>
      <w:hyperlink w:history="1" r:id="rIdrlxqfy6qaahhzuyrxyw1s">
        <w:r>
          <w:rPr>
            <w:rFonts w:ascii="Calibri" w:cs="Calibri" w:eastAsia="Calibri" w:hAnsi="Calibri"/>
            <w:color w:val="1F4E5F"/>
            <w:sz w:val="22"/>
            <w:szCs w:val="22"/>
            <w:u w:val="single"/>
          </w:rPr>
          <w:t xml:space="preserve">[3]</w:t>
        </w:r>
      </w:hyperlink>
      <w:hyperlink w:history="1" r:id="rIdexb1fl-o_wb4z3lsvzjxe">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That means RPM is not automatically by-object in every conceivable setting; the authority still has to show, in light of the agreement's wording, aims, and market context, that it has a sufficient degree of harm to competition.</w:t>
      </w:r>
      <w:hyperlink w:history="1" r:id="rIdbudjkurkdhrq4x8uixdde">
        <w:r>
          <w:rPr>
            <w:rFonts w:ascii="Calibri" w:cs="Calibri" w:eastAsia="Calibri" w:hAnsi="Calibri"/>
            <w:color w:val="1F4E5F"/>
            <w:sz w:val="22"/>
            <w:szCs w:val="22"/>
            <w:u w:val="single"/>
          </w:rPr>
          <w:t xml:space="preserve">[1]</w:t>
        </w:r>
      </w:hyperlink>
      <w:hyperlink w:history="1" r:id="rId0nq66st1uojim3uitdeqq">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For financial markets and adjacent distribution settings, the main special consideration is that vertical pricing control can interact with brand protection, platform governance, and selective distribution models, so context matters even more when pricing constraints are bundled with service, quality, or reputational concerns.</w:t>
      </w:r>
      <w:hyperlink w:history="1" r:id="rIdddthn2jx_dj-wyzdammih">
        <w:r>
          <w:rPr>
            <w:rFonts w:ascii="Calibri" w:cs="Calibri" w:eastAsia="Calibri" w:hAnsi="Calibri"/>
            <w:color w:val="1F4E5F"/>
            <w:sz w:val="22"/>
            <w:szCs w:val="22"/>
            <w:u w:val="single"/>
          </w:rPr>
          <w:t xml:space="preserve">[3]</w:t>
        </w:r>
      </w:hyperlink>
      <w:hyperlink w:history="1" r:id="rIdospl6tbxdfbkgmxxznwq_">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That said, the basic competition concern remains the same: a supplier using price restraints to take away genuine downstream pricing independence.</w:t>
      </w:r>
      <w:hyperlink w:history="1" r:id="rIdjcicizozb5m42gr39eaeg">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Further reading</w:t>
      </w:r>
    </w:p>
    <w:p>
      <w:pPr>
        <w:spacing w:after="160"/>
      </w:pPr>
      <w:r>
        <w:rPr>
          <w:rFonts w:ascii="Calibri" w:cs="Calibri" w:eastAsia="Calibri" w:hAnsi="Calibri"/>
          <w:b w:val="false"/>
          <w:bCs w:val="false"/>
          <w:i w:val="false"/>
          <w:iCs w:val="false"/>
          <w:sz w:val="22"/>
          <w:szCs w:val="22"/>
        </w:rPr>
        <w:t xml:space="preserve">For further reading, see the EU vertical restraints materials on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Article 101 TFEU</w:t>
      </w:r>
      <w:hyperlink w:history="1" r:id="rIdqgmiwab6uhhjvlop8ueel">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Vertical Block Exemption Regulation</w:t>
      </w:r>
      <w:hyperlink w:history="1" r:id="rIdwho-zi5oj7rh4rpjkspdz">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Vertical Restraints Guidelines</w:t>
      </w:r>
      <w:hyperlink w:history="1" r:id="rIdzo8yfdrolmhjho7q1y_eq">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For policy background:</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resale price maintenance roundtable</w:t>
      </w:r>
      <w:hyperlink w:history="1" r:id="rId3qm7fw6o_j-gppzjullqg">
        <w:r>
          <w:rPr>
            <w:rFonts w:ascii="Calibri" w:cs="Calibri" w:eastAsia="Calibri" w:hAnsi="Calibri"/>
            <w:color w:val="1F4E5F"/>
            <w:sz w:val="22"/>
            <w:szCs w:val="22"/>
            <w:u w:val="single"/>
          </w:rPr>
          <w:t xml:space="preserve">[10]</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materials on RPM</w:t>
      </w:r>
      <w:hyperlink w:history="1" r:id="rIdmeswkjddrkqp7hyk1tx6y">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Commission's guidance on vertical restraints</w:t>
      </w:r>
      <w:hyperlink w:history="1" r:id="rIdyrw2l-f_0qvff7ejs4ihi">
        <w:r>
          <w:rPr>
            <w:rFonts w:ascii="Calibri" w:cs="Calibri" w:eastAsia="Calibri" w:hAnsi="Calibri"/>
            <w:color w:val="1F4E5F"/>
            <w:sz w:val="22"/>
            <w:szCs w:val="22"/>
            <w:u w:val="single"/>
          </w:rPr>
          <w:t xml:space="preserve">[12]</w:t>
        </w:r>
      </w:hyperlink>
    </w:p>
    <w:p>
      <w:pPr>
        <w:spacing w:after="120" w:before="200"/>
      </w:pPr>
      <w:r>
        <w:rPr>
          <w:rFonts w:ascii="Calibri" w:cs="Calibri" w:eastAsia="Calibri" w:hAnsi="Calibri"/>
          <w:b/>
          <w:bCs/>
          <w:i/>
          <w:iCs/>
          <w:sz w:val="22"/>
          <w:szCs w:val="22"/>
        </w:rPr>
        <w:t xml:space="preserve">Example Case:</w:t>
      </w:r>
    </w:p>
    <w:p>
      <w:pPr>
        <w:spacing w:after="120"/>
      </w:pPr>
      <w:r>
        <w:rPr>
          <w:rFonts w:ascii="Calibri" w:cs="Calibri" w:eastAsia="Calibri" w:hAnsi="Calibri"/>
          <w:i w:val="false"/>
          <w:iCs w:val="false"/>
          <w:sz w:val="22"/>
          <w:szCs w:val="22"/>
        </w:rPr>
        <w:t xml:space="preserve">Here are relevant cases worth your time based on your search query.</w:t>
      </w:r>
    </w:p>
    <w:p>
      <w:pPr>
        <w:spacing w:after="160"/>
      </w:pPr>
      <w:r>
        <w:rPr>
          <w:rFonts w:ascii="Calibri" w:cs="Calibri" w:eastAsia="Calibri" w:hAnsi="Calibri"/>
          <w:b/>
          <w:bCs/>
          <w:i w:val="false"/>
          <w:iCs w:val="false"/>
          <w:sz w:val="22"/>
          <w:szCs w:val="22"/>
        </w:rPr>
        <w:t xml:space="preserve">Asus Germany and Asus France - Case Number: Not specified</w:t>
      </w:r>
    </w:p>
    <w:p>
      <w:pPr>
        <w:spacing w:after="120" w:before="200"/>
      </w:pPr>
      <w:r>
        <w:rPr>
          <w:rFonts w:ascii="Calibri" w:cs="Calibri" w:eastAsia="Calibri" w:hAnsi="Calibri"/>
          <w:b/>
          <w:bCs/>
          <w:i/>
          <w:iCs/>
          <w:sz w:val="22"/>
          <w:szCs w:val="22"/>
        </w:rPr>
        <w:t xml:space="preserve">Case Background</w:t>
      </w:r>
    </w:p>
    <w:p>
      <w:pPr>
        <w:spacing w:after="160"/>
      </w:pPr>
      <w:r>
        <w:rPr>
          <w:rFonts w:ascii="Calibri" w:cs="Calibri" w:eastAsia="Calibri" w:hAnsi="Calibri"/>
          <w:b w:val="false"/>
          <w:bCs w:val="false"/>
          <w:i w:val="false"/>
          <w:iCs w:val="false"/>
          <w:sz w:val="22"/>
          <w:szCs w:val="22"/>
        </w:rPr>
        <w:t xml:space="preserve">The allegation made in this case is that Asus Germany and Asus France engaged in conduct that restricted the ability of retailers to independently determine their sale prices.</w:t>
      </w:r>
      <w:hyperlink w:history="1" r:id="rIduz6f02wu8dqm0e46gjj_x">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companies involved in this case are Asus Germany, Asus France, and AsusTek Computer Inc.</w:t>
      </w:r>
      <w:hyperlink w:history="1" r:id="rId08mp7aph2uhkx2lcjbsyq">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year of case initiation was 2017, specifically on 2 February.</w:t>
      </w:r>
      <w:hyperlink w:history="1" r:id="rIdp0mux4tdebcuvsfs2uhh5">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violation pertains to the infringement of Article 101 of the Treaty, which prohibits anti-competitive agreements. Asus Germany and Asus France were found to have restricted competition by imposing conditions that limited retailers' pricing autonomy. This conduct was characterized as a single and continuous infringement that took place over a specified duration in both Germany and France.</w:t>
      </w:r>
      <w:hyperlink w:history="1" r:id="rIdcj0jqqiex5btakhgnswlq">
        <w:r>
          <w:rPr>
            <w:rFonts w:ascii="Calibri" w:cs="Calibri" w:eastAsia="Calibri" w:hAnsi="Calibri"/>
            <w:color w:val="1F4E5F"/>
            <w:sz w:val="22"/>
            <w:szCs w:val="22"/>
            <w:u w:val="single"/>
          </w:rPr>
          <w:t xml:space="preserve">[13]</w:t>
        </w:r>
      </w:hyperlink>
    </w:p>
    <w:p>
      <w:pPr>
        <w:spacing w:after="120" w:before="200"/>
      </w:pPr>
      <w:r>
        <w:rPr>
          <w:rFonts w:ascii="Calibri" w:cs="Calibri" w:eastAsia="Calibri" w:hAnsi="Calibri"/>
          <w:b/>
          <w:bCs/>
          <w:i/>
          <w:iCs/>
          <w:sz w:val="22"/>
          <w:szCs w:val="22"/>
        </w:rPr>
        <w:t xml:space="preserve">Case Progression</w:t>
      </w:r>
    </w:p>
    <w:p>
      <w:pPr>
        <w:pStyle w:val="ListParagraph"/>
        <w:numPr>
          <w:ilvl w:val="0"/>
          <w:numId w:val="1"/>
        </w:numPr>
        <w:spacing w:after="100"/>
      </w:pPr>
      <w:r>
        <w:rPr>
          <w:rFonts w:ascii="Calibri" w:cs="Calibri" w:eastAsia="Calibri" w:hAnsi="Calibri"/>
          <w:b/>
          <w:bCs/>
          <w:sz w:val="22"/>
          <w:szCs w:val="22"/>
        </w:rPr>
        <w:t xml:space="preserve">Case Initiation: </w:t>
      </w:r>
      <w:r>
        <w:rPr>
          <w:rFonts w:ascii="Calibri" w:cs="Calibri" w:eastAsia="Calibri" w:hAnsi="Calibri"/>
          <w:b w:val="false"/>
          <w:bCs w:val="false"/>
          <w:i w:val="false"/>
          <w:iCs w:val="false"/>
          <w:sz w:val="22"/>
          <w:szCs w:val="22"/>
        </w:rPr>
        <w:t xml:space="preserve">The proceedings against AsusTek Computer Inc., Asus Germany, and Asus France were initiated on 2 February 2017, following suspicions of competition law infringements related to resale price maintenance.</w:t>
      </w:r>
      <w:hyperlink w:history="1" r:id="rIdlmrfaaxb5iw0quadei2zd">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Preliminary Investigation: </w:t>
      </w:r>
      <w:r>
        <w:rPr>
          <w:rFonts w:ascii="Calibri" w:cs="Calibri" w:eastAsia="Calibri" w:hAnsi="Calibri"/>
          <w:b w:val="false"/>
          <w:bCs w:val="false"/>
          <w:i w:val="false"/>
          <w:iCs w:val="false"/>
          <w:sz w:val="22"/>
          <w:szCs w:val="22"/>
        </w:rPr>
        <w:t xml:space="preserve">The Commission conducted unannounced inspections at the premises of retailers in Germany and France on 10 March 2015, gathering evidence of potential anti-competitive practices.</w:t>
      </w:r>
      <w:hyperlink w:history="1" r:id="rIdi_hxkr36lu6mlaapatudl">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Statement of Objections issued: </w:t>
      </w:r>
      <w:r>
        <w:rPr>
          <w:rFonts w:ascii="Calibri" w:cs="Calibri" w:eastAsia="Calibri" w:hAnsi="Calibri"/>
          <w:b w:val="false"/>
          <w:bCs w:val="false"/>
          <w:i w:val="false"/>
          <w:iCs w:val="false"/>
          <w:sz w:val="22"/>
          <w:szCs w:val="22"/>
        </w:rPr>
        <w:t xml:space="preserve">After the preliminary investigation, a Statement of Objections was issued, detailing the findings that Asus Germany and Asus France engaged in practices restricting retailers' ability to set their own prices.</w:t>
      </w:r>
      <w:hyperlink w:history="1" r:id="rId9cnxcqvd5oauox7gyvhxd">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Defense Phase: </w:t>
      </w:r>
      <w:r>
        <w:rPr>
          <w:rFonts w:ascii="Calibri" w:cs="Calibri" w:eastAsia="Calibri" w:hAnsi="Calibri"/>
          <w:b w:val="false"/>
          <w:bCs w:val="false"/>
          <w:i w:val="false"/>
          <w:iCs w:val="false"/>
          <w:sz w:val="22"/>
          <w:szCs w:val="22"/>
        </w:rPr>
        <w:t xml:space="preserve">Asus provided a written response to the objections and expressed interest in cooperating with the Commission, which included submitting additional evidence and acknowledging liability for the infringements.</w:t>
      </w:r>
      <w:hyperlink w:history="1" r:id="rId_ngltuheftoljv0zl4zcp">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Commission Decision: </w:t>
      </w:r>
      <w:r>
        <w:rPr>
          <w:rFonts w:ascii="Calibri" w:cs="Calibri" w:eastAsia="Calibri" w:hAnsi="Calibri"/>
          <w:b w:val="false"/>
          <w:bCs w:val="false"/>
          <w:i w:val="false"/>
          <w:iCs w:val="false"/>
          <w:sz w:val="22"/>
          <w:szCs w:val="22"/>
        </w:rPr>
        <w:t xml:space="preserve">The Commission concluded that both Asus Germany and Asus France were liable for the infringements, imposing fines based on the value of sales and the duration of the violations. The fines were calculated to not exceed 10% of the companies' total turnover.</w:t>
      </w:r>
      <w:hyperlink w:history="1" r:id="rIdnm5qenc8vfobbgvw-ixmx">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Company Decision: </w:t>
      </w:r>
      <w:r>
        <w:rPr>
          <w:rFonts w:ascii="Calibri" w:cs="Calibri" w:eastAsia="Calibri" w:hAnsi="Calibri"/>
          <w:b w:val="false"/>
          <w:bCs w:val="false"/>
          <w:i w:val="false"/>
          <w:iCs w:val="false"/>
          <w:sz w:val="22"/>
          <w:szCs w:val="22"/>
        </w:rPr>
        <w:t xml:space="preserve">Asus decided to cooperate with the Commission, which led to a reduction of the fine by 40% due to its proactive engagement beyond legal obligations.</w:t>
      </w:r>
      <w:hyperlink w:history="1" r:id="rIdlxc3u6c4uzlv32nvc7kk7">
        <w:r>
          <w:rPr>
            <w:rFonts w:ascii="Calibri" w:cs="Calibri" w:eastAsia="Calibri" w:hAnsi="Calibri"/>
            <w:color w:val="1F4E5F"/>
            <w:sz w:val="22"/>
            <w:szCs w:val="22"/>
            <w:u w:val="single"/>
          </w:rPr>
          <w:t xml:space="preserve">[13]</w:t>
        </w:r>
      </w:hyperlink>
    </w:p>
    <w:p>
      <w:pPr>
        <w:spacing w:after="120" w:before="200"/>
      </w:pPr>
      <w:r>
        <w:rPr>
          <w:rFonts w:ascii="Calibri" w:cs="Calibri" w:eastAsia="Calibri" w:hAnsi="Calibri"/>
          <w:b/>
          <w:bCs/>
          <w:i/>
          <w:iCs/>
          <w:sz w:val="22"/>
          <w:szCs w:val="22"/>
        </w:rPr>
        <w:t xml:space="preserve">Market Definition</w:t>
      </w:r>
    </w:p>
    <w:p>
      <w:pPr>
        <w:spacing w:after="160"/>
      </w:pPr>
      <w:r>
        <w:rPr>
          <w:rFonts w:ascii="Calibri" w:cs="Calibri" w:eastAsia="Calibri" w:hAnsi="Calibri"/>
          <w:b w:val="false"/>
          <w:bCs w:val="false"/>
          <w:i w:val="false"/>
          <w:iCs w:val="false"/>
          <w:sz w:val="22"/>
          <w:szCs w:val="22"/>
        </w:rPr>
        <w:t xml:space="preserve">The market considered in this case involved the resale of Asus products by independent retailers in Germany and France, focusing on the ability of these retailers to set their own resale prices.</w:t>
      </w:r>
      <w:hyperlink w:history="1" r:id="rIdtoet1uqdak_dbxxhsi0d8">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definition of the market was influenced by the need to assess the impact of Asus Germany and Asus France's practices on competition within the internal market, particularly regarding price stability and competition among retailers.</w:t>
      </w:r>
      <w:hyperlink w:history="1" r:id="rIds-yfe_0z567frzemm4zb7">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process to define the market included examining the agreements and concerted practices that restricted retailers' ability to independently determine their resale prices, which is a key factor in assessing competition.</w:t>
      </w:r>
      <w:hyperlink w:history="1" r:id="rIdxkz7iphhb_dpxktfgmcip">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Techniques used in the assessment included analyzing the nature of the agreements and practices, identifying their anti-competitive objectives, and evaluating their effects on price competition among retailers.</w:t>
      </w:r>
      <w:hyperlink w:history="1" r:id="rIdo_9i9jsiqwcjyoyhmafsg">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Commission concluded that the conduct of Asus Germany and Asus France constituted a single and continuous infringement, indicating a systematic approach to maintaining resale prices above competitive levels.</w:t>
      </w:r>
      <w:hyperlink w:history="1" r:id="rIdkqbe1ll3mkkaovqajagvd">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Evidence was gathered to demonstrate that the practices followed a similar pattern in both countries, indicating a coordinated strategy to control resale prices, which was crucial for defining the market's competitive dynamics.</w:t>
      </w:r>
      <w:hyperlink w:history="1" r:id="rId4yadvzxg9asxke2_rw9kb">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assessment also involved considering the effects of these practices on trade between Member States, as the retailers were selling Asus products across borders, which further defined the relevant market context.</w:t>
      </w:r>
      <w:hyperlink w:history="1" r:id="rId3puyts46qne9qh_x2qdy6">
        <w:r>
          <w:rPr>
            <w:rFonts w:ascii="Calibri" w:cs="Calibri" w:eastAsia="Calibri" w:hAnsi="Calibri"/>
            <w:color w:val="1F4E5F"/>
            <w:sz w:val="22"/>
            <w:szCs w:val="22"/>
            <w:u w:val="single"/>
          </w:rPr>
          <w:t xml:space="preserve">[13]</w:t>
        </w:r>
      </w:hyperlink>
    </w:p>
    <w:p>
      <w:pPr>
        <w:spacing w:after="120" w:before="200"/>
      </w:pPr>
      <w:r>
        <w:rPr>
          <w:rFonts w:ascii="Calibri" w:cs="Calibri" w:eastAsia="Calibri" w:hAnsi="Calibri"/>
          <w:b/>
          <w:bCs/>
          <w:i/>
          <w:iCs/>
          <w:sz w:val="22"/>
          <w:szCs w:val="22"/>
        </w:rPr>
        <w:t xml:space="preserve">Legal &amp; Economic Tests</w:t>
      </w:r>
    </w:p>
    <w:p>
      <w:pPr>
        <w:pStyle w:val="ListParagraph"/>
        <w:numPr>
          <w:ilvl w:val="0"/>
          <w:numId w:val="1"/>
        </w:numPr>
        <w:spacing w:after="100"/>
      </w:pPr>
      <w:r>
        <w:rPr>
          <w:rFonts w:ascii="Calibri" w:cs="Calibri" w:eastAsia="Calibri" w:hAnsi="Calibri"/>
          <w:b/>
          <w:bCs/>
          <w:sz w:val="22"/>
          <w:szCs w:val="22"/>
        </w:rPr>
        <w:t xml:space="preserve">Application of Article 101(1) of the Treaty: </w:t>
      </w:r>
      <w:r>
        <w:rPr>
          <w:rFonts w:ascii="Calibri" w:cs="Calibri" w:eastAsia="Calibri" w:hAnsi="Calibri"/>
          <w:b w:val="false"/>
          <w:bCs w:val="false"/>
          <w:i w:val="false"/>
          <w:iCs w:val="false"/>
          <w:sz w:val="22"/>
          <w:szCs w:val="22"/>
        </w:rPr>
        <w:t xml:space="preserve">This test assesses whether agreements or concerted practices between undertakings prevent, restrict, or distort competition within the internal market. In this case, it was determined that the conduct of Asus Germany and Asus France constituted agreements aimed at limiting retailers' ability to independently set resale prices, thus restricting competition.</w:t>
      </w:r>
      <w:hyperlink w:history="1" r:id="rIdioimxjuauc5mku9if5jor">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Single and Continuous Infringement: </w:t>
      </w:r>
      <w:r>
        <w:rPr>
          <w:rFonts w:ascii="Calibri" w:cs="Calibri" w:eastAsia="Calibri" w:hAnsi="Calibri"/>
          <w:b w:val="false"/>
          <w:bCs w:val="false"/>
          <w:i w:val="false"/>
          <w:iCs w:val="false"/>
          <w:sz w:val="22"/>
          <w:szCs w:val="22"/>
        </w:rPr>
        <w:t xml:space="preserve">This test evaluates whether a series of acts or a course of conduct can be considered a single infringement if they form part of an overall plan with a common anti-competitive objective. The Commission found that the actions of Asus Germany and Asus France represented a single and continuous infringement in their respective countries.</w:t>
      </w:r>
      <w:hyperlink w:history="1" r:id="rId3mabh3in_ezmdyul0y-k0">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bCs/>
          <w:sz w:val="22"/>
          <w:szCs w:val="22"/>
        </w:rPr>
        <w:t xml:space="preserve">Non-applicability of Article 101(3) of the Treaty: </w:t>
      </w:r>
      <w:r>
        <w:rPr>
          <w:rFonts w:ascii="Calibri" w:cs="Calibri" w:eastAsia="Calibri" w:hAnsi="Calibri"/>
          <w:b w:val="false"/>
          <w:bCs w:val="false"/>
          <w:i w:val="false"/>
          <w:iCs w:val="false"/>
          <w:sz w:val="22"/>
          <w:szCs w:val="22"/>
        </w:rPr>
        <w:t xml:space="preserve">This test examines whether an agreement can be exempted from the prohibition under Article 101(1) if it contributes to improving production or distribution while allowing consumers a fair share of the resulting benefits. The Commission concluded that the conduct of Asus did not meet the conditions for exemption.</w:t>
      </w:r>
      <w:hyperlink w:history="1" r:id="rIddsvzsna6w8w46mprk7ud8">
        <w:r>
          <w:rPr>
            <w:rFonts w:ascii="Calibri" w:cs="Calibri" w:eastAsia="Calibri" w:hAnsi="Calibri"/>
            <w:color w:val="1F4E5F"/>
            <w:sz w:val="22"/>
            <w:szCs w:val="22"/>
            <w:u w:val="single"/>
          </w:rPr>
          <w:t xml:space="preserve">[13]</w:t>
        </w:r>
      </w:hyperlink>
    </w:p>
    <w:p>
      <w:pPr>
        <w:spacing w:after="120" w:before="200"/>
      </w:pPr>
      <w:r>
        <w:rPr>
          <w:rFonts w:ascii="Calibri" w:cs="Calibri" w:eastAsia="Calibri" w:hAnsi="Calibri"/>
          <w:b/>
          <w:bCs/>
          <w:i/>
          <w:iCs/>
          <w:sz w:val="22"/>
          <w:szCs w:val="22"/>
        </w:rPr>
        <w:t xml:space="preserve">Conclusion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concluded that the conduct of Asus Germany and Asus France was not exempted under the Vertical Block Exemption Regulation (VBER) and did not meet the conditions for exemption under Article 101(3) of the Treaty, as it restricted retailers' ability to independently determine their resale prices.</w:t>
      </w:r>
      <w:hyperlink w:history="1" r:id="rIddcsumlkuekwpe_uyqrkhb">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single and continuous infringement in Germany was determined to have started on March 3, 2011, and ended on June 27, 2014, while in France, it started on April 7, 2013, and ended on December 15, 2014.</w:t>
      </w:r>
      <w:hyperlink w:history="1" r:id="rId32vdxj0ey8dj4nvdp-bug">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Liability for the infringements was imputed to Asus Germany and Asus France for their direct participation, and to AsusTek Computer Inc. as jointly and severally liable for the infringements committed by its wholly-owned subsidiaries in both Germany and France.</w:t>
      </w:r>
      <w:hyperlink w:history="1" r:id="rId2jyo73uig7zkyfd39m4vx">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required Asus to bring the infringements to an end and to refrain from any measures that have the same or similar object or effect, as per Article 7 of Regulation (EC) No 1/2003.</w:t>
      </w:r>
      <w:hyperlink w:history="1" r:id="rIdeezkhpzu7ut5gdczr46p_">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Fines could be imposed under Article 23(2) of Regulation (EC) No 1/2003 for intentional or negligent infringements, with a maximum fine not exceeding 10% of the total turnover of each undertaking in the preceding business year.</w:t>
      </w:r>
      <w:hyperlink w:history="1" r:id="rIdhs1ojrr7yqr123pd2mb8c">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Commission's decision was based on the acknowledgment of the facts and legal qualifications by Asus, indicating a clear recognition of the infringement.</w:t>
      </w:r>
      <w:hyperlink w:history="1" r:id="rIdg8n2lenloxzpmkzln17kk">
        <w:r>
          <w:rPr>
            <w:rFonts w:ascii="Calibri" w:cs="Calibri" w:eastAsia="Calibri" w:hAnsi="Calibri"/>
            <w:color w:val="1F4E5F"/>
            <w:sz w:val="22"/>
            <w:szCs w:val="22"/>
            <w:u w:val="single"/>
          </w:rPr>
          <w:t xml:space="preserve">[13]</w:t>
        </w:r>
      </w:hyperlink>
    </w:p>
    <w:p>
      <w:pPr>
        <w:spacing w:after="16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y_ay2gotatxypzx3f4ehz">
        <w:r>
          <w:rPr>
            <w:rFonts w:ascii="Calibri" w:cs="Calibri" w:eastAsia="Calibri" w:hAnsi="Calibri"/>
            <w:color w:val="1F4E5F"/>
            <w:sz w:val="22"/>
            <w:szCs w:val="22"/>
            <w:u w:val="single"/>
          </w:rPr>
          <w:t xml:space="preserve">EU vertical restraints staff working document</w:t>
        </w:r>
      </w:hyperlink>
    </w:p>
    <w:p>
      <w:pPr>
        <w:pStyle w:val="ListParagraph"/>
        <w:numPr>
          <w:ilvl w:val="0"/>
          <w:numId w:val="2"/>
        </w:numPr>
        <w:spacing w:after="100"/>
      </w:pPr>
      <w:hyperlink w:history="1" r:id="rIdqyfjheampbme4ujjolenj">
        <w:r>
          <w:rPr>
            <w:rFonts w:ascii="Calibri" w:cs="Calibri" w:eastAsia="Calibri" w:hAnsi="Calibri"/>
            <w:color w:val="1F4E5F"/>
            <w:sz w:val="22"/>
            <w:szCs w:val="22"/>
            <w:u w:val="single"/>
          </w:rPr>
          <w:t xml:space="preserve">Vertical Block Exemption Regulation guidance</w:t>
        </w:r>
      </w:hyperlink>
    </w:p>
    <w:p>
      <w:pPr>
        <w:pStyle w:val="ListParagraph"/>
        <w:numPr>
          <w:ilvl w:val="0"/>
          <w:numId w:val="2"/>
        </w:numPr>
        <w:spacing w:after="100"/>
      </w:pPr>
      <w:hyperlink w:history="1" r:id="rIdph95l68jjro3qkazqyhsl">
        <w:r>
          <w:rPr>
            <w:rFonts w:ascii="Calibri" w:cs="Calibri" w:eastAsia="Calibri" w:hAnsi="Calibri"/>
            <w:color w:val="1F4E5F"/>
            <w:sz w:val="22"/>
            <w:szCs w:val="22"/>
            <w:u w:val="single"/>
          </w:rPr>
          <w:t xml:space="preserve">Vertical Restraints Guidelines</w:t>
        </w:r>
      </w:hyperlink>
    </w:p>
    <w:p>
      <w:pPr>
        <w:pStyle w:val="ListParagraph"/>
        <w:numPr>
          <w:ilvl w:val="0"/>
          <w:numId w:val="2"/>
        </w:numPr>
        <w:spacing w:after="100"/>
      </w:pPr>
      <w:hyperlink w:history="1" r:id="rIdtvsblkcdyez4cmdhzdgxo">
        <w:r>
          <w:rPr>
            <w:rFonts w:ascii="Calibri" w:cs="Calibri" w:eastAsia="Calibri" w:hAnsi="Calibri"/>
            <w:color w:val="1F4E5F"/>
            <w:sz w:val="22"/>
            <w:szCs w:val="22"/>
            <w:u w:val="single"/>
          </w:rPr>
          <w:t xml:space="preserve">Commission guidelines on vertical restraints</w:t>
        </w:r>
      </w:hyperlink>
    </w:p>
    <w:p>
      <w:pPr>
        <w:pStyle w:val="ListParagraph"/>
        <w:numPr>
          <w:ilvl w:val="0"/>
          <w:numId w:val="2"/>
        </w:numPr>
        <w:spacing w:after="100"/>
      </w:pPr>
      <w:hyperlink w:history="1" r:id="rIdljn5eg03tawzsd5xg2kub">
        <w:r>
          <w:rPr>
            <w:rFonts w:ascii="Calibri" w:cs="Calibri" w:eastAsia="Calibri" w:hAnsi="Calibri"/>
            <w:color w:val="1F4E5F"/>
            <w:sz w:val="22"/>
            <w:szCs w:val="22"/>
            <w:u w:val="single"/>
          </w:rPr>
          <w:t xml:space="preserve">EU vertical restraints Official Journal notice</w:t>
        </w:r>
      </w:hyperlink>
    </w:p>
    <w:p>
      <w:pPr>
        <w:pStyle w:val="ListParagraph"/>
        <w:numPr>
          <w:ilvl w:val="0"/>
          <w:numId w:val="2"/>
        </w:numPr>
        <w:spacing w:after="100"/>
      </w:pPr>
      <w:hyperlink w:history="1" r:id="rIdjqtlvsxz_urs1-wpxeebq">
        <w:r>
          <w:rPr>
            <w:rFonts w:ascii="Calibri" w:cs="Calibri" w:eastAsia="Calibri" w:hAnsi="Calibri"/>
            <w:color w:val="1F4E5F"/>
            <w:sz w:val="22"/>
            <w:szCs w:val="22"/>
            <w:u w:val="single"/>
          </w:rPr>
          <w:t xml:space="preserve">CJEU guidance on resale price maintenance</w:t>
        </w:r>
      </w:hyperlink>
    </w:p>
    <w:p>
      <w:pPr>
        <w:pStyle w:val="ListParagraph"/>
        <w:numPr>
          <w:ilvl w:val="0"/>
          <w:numId w:val="2"/>
        </w:numPr>
        <w:spacing w:after="100"/>
      </w:pPr>
      <w:hyperlink w:history="1" r:id="rId8pg3ta6z1zsi20mdgr6e5">
        <w:r>
          <w:rPr>
            <w:rFonts w:ascii="Calibri" w:cs="Calibri" w:eastAsia="Calibri" w:hAnsi="Calibri"/>
            <w:color w:val="1F4E5F"/>
            <w:sz w:val="22"/>
            <w:szCs w:val="22"/>
            <w:u w:val="single"/>
          </w:rPr>
          <w:t xml:space="preserve">Article 101 TFEU</w:t>
        </w:r>
      </w:hyperlink>
    </w:p>
    <w:p>
      <w:pPr>
        <w:pStyle w:val="ListParagraph"/>
        <w:numPr>
          <w:ilvl w:val="0"/>
          <w:numId w:val="2"/>
        </w:numPr>
        <w:spacing w:after="100"/>
      </w:pPr>
      <w:hyperlink w:history="1" r:id="rIdfrcyklzmptketz9fxlhg3">
        <w:r>
          <w:rPr>
            <w:rFonts w:ascii="Calibri" w:cs="Calibri" w:eastAsia="Calibri" w:hAnsi="Calibri"/>
            <w:color w:val="1F4E5F"/>
            <w:sz w:val="22"/>
            <w:szCs w:val="22"/>
            <w:u w:val="single"/>
          </w:rPr>
          <w:t xml:space="preserve">Vertical Block Exemption Regulation</w:t>
        </w:r>
      </w:hyperlink>
    </w:p>
    <w:p>
      <w:pPr>
        <w:pStyle w:val="ListParagraph"/>
        <w:numPr>
          <w:ilvl w:val="0"/>
          <w:numId w:val="2"/>
        </w:numPr>
        <w:spacing w:after="100"/>
      </w:pPr>
      <w:hyperlink w:history="1" r:id="rIdmnsd-zyt_fjs-od0q5zqa">
        <w:r>
          <w:rPr>
            <w:rFonts w:ascii="Calibri" w:cs="Calibri" w:eastAsia="Calibri" w:hAnsi="Calibri"/>
            <w:color w:val="1F4E5F"/>
            <w:sz w:val="22"/>
            <w:szCs w:val="22"/>
            <w:u w:val="single"/>
          </w:rPr>
          <w:t xml:space="preserve">Vertical Restraints Guidelines (adoption)</w:t>
        </w:r>
      </w:hyperlink>
    </w:p>
    <w:p>
      <w:pPr>
        <w:pStyle w:val="ListParagraph"/>
        <w:numPr>
          <w:ilvl w:val="0"/>
          <w:numId w:val="2"/>
        </w:numPr>
        <w:spacing w:after="100"/>
      </w:pPr>
      <w:hyperlink w:history="1" r:id="rId_rlqr6sygzgnndffjat0a">
        <w:r>
          <w:rPr>
            <w:rFonts w:ascii="Calibri" w:cs="Calibri" w:eastAsia="Calibri" w:hAnsi="Calibri"/>
            <w:color w:val="1F4E5F"/>
            <w:sz w:val="22"/>
            <w:szCs w:val="22"/>
            <w:u w:val="single"/>
          </w:rPr>
          <w:t xml:space="preserve">OECD resale price maintenance roundtable</w:t>
        </w:r>
      </w:hyperlink>
    </w:p>
    <w:p>
      <w:pPr>
        <w:pStyle w:val="ListParagraph"/>
        <w:numPr>
          <w:ilvl w:val="0"/>
          <w:numId w:val="2"/>
        </w:numPr>
        <w:spacing w:after="100"/>
      </w:pPr>
      <w:hyperlink w:history="1" r:id="rIdybzyk_pgzrpjtp5msq2lk">
        <w:r>
          <w:rPr>
            <w:rFonts w:ascii="Calibri" w:cs="Calibri" w:eastAsia="Calibri" w:hAnsi="Calibri"/>
            <w:color w:val="1F4E5F"/>
            <w:sz w:val="22"/>
            <w:szCs w:val="22"/>
            <w:u w:val="single"/>
          </w:rPr>
          <w:t xml:space="preserve">OECD materials on RPM</w:t>
        </w:r>
      </w:hyperlink>
    </w:p>
    <w:p>
      <w:pPr>
        <w:pStyle w:val="ListParagraph"/>
        <w:numPr>
          <w:ilvl w:val="0"/>
          <w:numId w:val="2"/>
        </w:numPr>
        <w:spacing w:after="100"/>
      </w:pPr>
      <w:hyperlink w:history="1" r:id="rId_iggokxhspzxqnqx8ntr4">
        <w:r>
          <w:rPr>
            <w:rFonts w:ascii="Calibri" w:cs="Calibri" w:eastAsia="Calibri" w:hAnsi="Calibri"/>
            <w:color w:val="1F4E5F"/>
            <w:sz w:val="22"/>
            <w:szCs w:val="22"/>
            <w:u w:val="single"/>
          </w:rPr>
          <w:t xml:space="preserve">FTC on vertical restraints</w:t>
        </w:r>
      </w:hyperlink>
    </w:p>
    <w:p>
      <w:pPr>
        <w:pStyle w:val="ListParagraph"/>
        <w:numPr>
          <w:ilvl w:val="0"/>
          <w:numId w:val="2"/>
        </w:numPr>
        <w:spacing w:after="100"/>
      </w:pPr>
      <w:hyperlink w:history="1" r:id="rId5y3nvqzbrl937ovqesicl">
        <w:r>
          <w:rPr>
            <w:rFonts w:ascii="Calibri" w:cs="Calibri" w:eastAsia="Calibri" w:hAnsi="Calibri"/>
            <w:color w:val="1F4E5F"/>
            <w:sz w:val="22"/>
            <w:szCs w:val="22"/>
            <w:u w:val="single"/>
          </w:rPr>
          <w:t xml:space="preserve">Asus Germany / Asus France - Case Decision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z87t027yyx35pzdg4pr6" Type="http://schemas.openxmlformats.org/officeDocument/2006/relationships/hyperlink" Target="https://eur-lex.europa.eu/legal-content/EN/TXT/PDF/?uri=CELEX:52021XC0907(02)" TargetMode="External"/><Relationship Id="rIdhe7vy1fks7xpypkukxauo" Type="http://schemas.openxmlformats.org/officeDocument/2006/relationships/hyperlink" Target="https://cms.law/en/gbr/legal-updates/the-european-commission-s-guidelines-on-vertical-restraints" TargetMode="External"/><Relationship Id="rIdnhqudk_wcjvbzy2vvmose" Type="http://schemas.openxmlformats.org/officeDocument/2006/relationships/hyperlink" Target="https://eur-lex.europa.eu/legal-content/EN/TXT/PDF/?uri=CELEX:52021XC0907(02)" TargetMode="External"/><Relationship Id="rIdhgydbb6ijakhtnjdjcya0" Type="http://schemas.openxmlformats.org/officeDocument/2006/relationships/hyperlink" Target="https://cms.law/en/gbr/legal-updates/the-european-commission-s-guidelines-on-vertical-restraints" TargetMode="External"/><Relationship Id="rId-xqfxtpc5z9objbpenjeh" Type="http://schemas.openxmlformats.org/officeDocument/2006/relationships/hyperlink" Target="https://eur-lex.europa.eu/legal-content/EN/TXT/PDF/?uri=CELEX:52021XC0907(02)" TargetMode="External"/><Relationship Id="rIdh39ymegxgqqnh2mjx5_bc" Type="http://schemas.openxmlformats.org/officeDocument/2006/relationships/hyperlink" Target="https://eur-lex.europa.eu/legal-content/EN/TXT/PDF/?uri=CELEX:52021XC0907(02)" TargetMode="External"/><Relationship Id="rIdasjd2ogy0nhr0vr0l8fqz" Type="http://schemas.openxmlformats.org/officeDocument/2006/relationships/hyperlink" Target="https://eur-lex.europa.eu/LexUriServ/LexUriServ.do?uri=SEC:2010:0411:FIN:EN:PDF" TargetMode="External"/><Relationship Id="rIdgpehsd0emn7wggoh1o-kg" Type="http://schemas.openxmlformats.org/officeDocument/2006/relationships/hyperlink" Target="https://eur-lex.europa.eu/legal-content/EN/TXT/PDF/?uri=CELEX:52021XC0907(02)" TargetMode="External"/><Relationship Id="rIdxr-ow6hgj_sailjboyfal" Type="http://schemas.openxmlformats.org/officeDocument/2006/relationships/hyperlink" Target="https://cms.law/en/gbr/legal-updates/the-european-commission-s-guidelines-on-vertical-restraints" TargetMode="External"/><Relationship Id="rIdkdmxbqtvyzdub_2gaxdvw" Type="http://schemas.openxmlformats.org/officeDocument/2006/relationships/hyperlink" Target="https://eur-lex.europa.eu/LexUriServ/LexUriServ.do?uri=SEC:2010:0411:FIN:EN:PDF" TargetMode="External"/><Relationship Id="rIdu3cvyv8pzn_kbifcwrtdo" Type="http://schemas.openxmlformats.org/officeDocument/2006/relationships/hyperlink" Target="https://cms.law/en/gbr/legal-updates/the-european-commission-s-guidelines-on-vertical-restraints" TargetMode="External"/><Relationship Id="rId4udglcosdk_d3dxliqzsw" Type="http://schemas.openxmlformats.org/officeDocument/2006/relationships/hyperlink" Target="https://eur-lex.europa.eu/LexUriServ/LexUriServ.do?uri=SEC:2010:0411:FIN:EN:PDF" TargetMode="External"/><Relationship Id="rIdkbinuc5qffmjrohv2u5zn" Type="http://schemas.openxmlformats.org/officeDocument/2006/relationships/hyperlink" Target="https://eur-lex.europa.eu/legal-content/EN/TXT/PDF/?uri=CELEX:52021XC0907(02)" TargetMode="External"/><Relationship Id="rIdczmlxmqifmu_ciklf9q6w" Type="http://schemas.openxmlformats.org/officeDocument/2006/relationships/hyperlink" Target="https://eur-lex.europa.eu/legal-content/EN/TXT/PDF/?uri=CELEX:52021XC0907(02)" TargetMode="External"/><Relationship Id="rIdzboozdmzja6dbmz9-6kqo" Type="http://schemas.openxmlformats.org/officeDocument/2006/relationships/hyperlink" Target="https://cms.law/en/gbr/legal-updates/the-european-commission-s-guidelines-on-vertical-restraints" TargetMode="External"/><Relationship Id="rIdrlxqfy6qaahhzuyrxyw1s" Type="http://schemas.openxmlformats.org/officeDocument/2006/relationships/hyperlink" Target="https://eur-lex.europa.eu/legal-content/EN/TXT/PDF/?uri=CELEX:52021XC0907(02)" TargetMode="External"/><Relationship Id="rIdexb1fl-o_wb4z3lsvzjxe" Type="http://schemas.openxmlformats.org/officeDocument/2006/relationships/hyperlink" Target="https://cms.law/en/gbr/legal-updates/the-european-commission-s-guidelines-on-vertical-restraints" TargetMode="External"/><Relationship Id="rIdbudjkurkdhrq4x8uixdde" Type="http://schemas.openxmlformats.org/officeDocument/2006/relationships/hyperlink" Target="https://eur-lex.europa.eu/LexUriServ/LexUriServ.do?uri=SEC:2010:0411:FIN:EN:PDF" TargetMode="External"/><Relationship Id="rId0nq66st1uojim3uitdeqq" Type="http://schemas.openxmlformats.org/officeDocument/2006/relationships/hyperlink" Target="https://cms.law/en/gbr/legal-updates/the-european-commission-s-guidelines-on-vertical-restraints" TargetMode="External"/><Relationship Id="rIdddthn2jx_dj-wyzdammih" Type="http://schemas.openxmlformats.org/officeDocument/2006/relationships/hyperlink" Target="https://eur-lex.europa.eu/legal-content/EN/TXT/PDF/?uri=CELEX:52021XC0907(02)" TargetMode="External"/><Relationship Id="rIdospl6tbxdfbkgmxxznwq_" Type="http://schemas.openxmlformats.org/officeDocument/2006/relationships/hyperlink" Target="https://cms.law/en/gbr/legal-updates/the-european-commission-s-guidelines-on-vertical-restraints" TargetMode="External"/><Relationship Id="rIdjcicizozb5m42gr39eaeg" Type="http://schemas.openxmlformats.org/officeDocument/2006/relationships/hyperlink" Target="https://eur-lex.europa.eu/legal-content/EN/TXT/PDF/?uri=CELEX:52021XC0907(02)" TargetMode="External"/><Relationship Id="rIdqgmiwab6uhhjvlop8ueel" Type="http://schemas.openxmlformats.org/officeDocument/2006/relationships/hyperlink" Target="https://competition-policy.ec.europa.eu/antitrust-and-cartels/legislation/competition-law-treaty-articles_en" TargetMode="External"/><Relationship Id="rIdwho-zi5oj7rh4rpjkspdz" Type="http://schemas.openxmlformats.org/officeDocument/2006/relationships/hyperlink" Target="https://competition-policy.ec.europa.eu/antitrust-and-cartels/legislation/vertical-block-exemptions_en" TargetMode="External"/><Relationship Id="rIdzo8yfdrolmhjho7q1y_eq" Type="http://schemas.openxmlformats.org/officeDocument/2006/relationships/hyperlink" Target="https://www.concurrences.com/en/review/issues/no-3-2022/alertes/competition-policy-the-european-commission-formally-adopts-the-guidelines-on" TargetMode="External"/><Relationship Id="rId3qm7fw6o_j-gppzjullqg" Type="http://schemas.openxmlformats.org/officeDocument/2006/relationships/hyperlink" Target="https://www.concurrences.com/en/bulletin/news-issues/february-1997/the-oecd-holds-a-roundtable-on-resale-price-maintenance" TargetMode="External"/><Relationship Id="rIdmeswkjddrkqp7hyk1tx6y" Type="http://schemas.openxmlformats.org/officeDocument/2006/relationships/hyperlink" Target="https://www.oecd.org/en/publications/resale-price-maintenance_126ecbc8-en.html" TargetMode="External"/><Relationship Id="rIdyrw2l-f_0qvff7ejs4ihi" Type="http://schemas.openxmlformats.org/officeDocument/2006/relationships/hyperlink" Target="https://www.ftc.gov/news-events/news/speeches/vertical-restraints-horizontal-consequences-competitiveeffects-most-favored-customer-clauses" TargetMode="External"/><Relationship Id="rIduz6f02wu8dqm0e46gjj_x" Type="http://schemas.openxmlformats.org/officeDocument/2006/relationships/hyperlink" Target="https://ec.europa.eu/competition/antitrust/cases/dec_docs/40465/40465_337_3.pdf" TargetMode="External"/><Relationship Id="rId08mp7aph2uhkx2lcjbsyq" Type="http://schemas.openxmlformats.org/officeDocument/2006/relationships/hyperlink" Target="https://ec.europa.eu/competition/antitrust/cases/dec_docs/40465/40465_337_3.pdf" TargetMode="External"/><Relationship Id="rIdp0mux4tdebcuvsfs2uhh5" Type="http://schemas.openxmlformats.org/officeDocument/2006/relationships/hyperlink" Target="https://ec.europa.eu/competition/antitrust/cases/dec_docs/40465/40465_337_3.pdf" TargetMode="External"/><Relationship Id="rIdcj0jqqiex5btakhgnswlq" Type="http://schemas.openxmlformats.org/officeDocument/2006/relationships/hyperlink" Target="https://ec.europa.eu/competition/antitrust/cases/dec_docs/40465/40465_337_3.pdf" TargetMode="External"/><Relationship Id="rIdlmrfaaxb5iw0quadei2zd" Type="http://schemas.openxmlformats.org/officeDocument/2006/relationships/hyperlink" Target="https://ec.europa.eu/competition/antitrust/cases/dec_docs/40465/40465_337_3.pdf" TargetMode="External"/><Relationship Id="rIdi_hxkr36lu6mlaapatudl" Type="http://schemas.openxmlformats.org/officeDocument/2006/relationships/hyperlink" Target="https://ec.europa.eu/competition/antitrust/cases/dec_docs/40465/40465_337_3.pdf" TargetMode="External"/><Relationship Id="rId9cnxcqvd5oauox7gyvhxd" Type="http://schemas.openxmlformats.org/officeDocument/2006/relationships/hyperlink" Target="https://ec.europa.eu/competition/antitrust/cases/dec_docs/40465/40465_337_3.pdf" TargetMode="External"/><Relationship Id="rId_ngltuheftoljv0zl4zcp" Type="http://schemas.openxmlformats.org/officeDocument/2006/relationships/hyperlink" Target="https://ec.europa.eu/competition/antitrust/cases/dec_docs/40465/40465_337_3.pdf" TargetMode="External"/><Relationship Id="rIdnm5qenc8vfobbgvw-ixmx" Type="http://schemas.openxmlformats.org/officeDocument/2006/relationships/hyperlink" Target="https://ec.europa.eu/competition/antitrust/cases/dec_docs/40465/40465_337_3.pdf" TargetMode="External"/><Relationship Id="rIdlxc3u6c4uzlv32nvc7kk7" Type="http://schemas.openxmlformats.org/officeDocument/2006/relationships/hyperlink" Target="https://ec.europa.eu/competition/antitrust/cases/dec_docs/40465/40465_337_3.pdf" TargetMode="External"/><Relationship Id="rIdtoet1uqdak_dbxxhsi0d8" Type="http://schemas.openxmlformats.org/officeDocument/2006/relationships/hyperlink" Target="https://ec.europa.eu/competition/antitrust/cases/dec_docs/40465/40465_337_3.pdf" TargetMode="External"/><Relationship Id="rIds-yfe_0z567frzemm4zb7" Type="http://schemas.openxmlformats.org/officeDocument/2006/relationships/hyperlink" Target="https://ec.europa.eu/competition/antitrust/cases/dec_docs/40465/40465_337_3.pdf" TargetMode="External"/><Relationship Id="rIdxkz7iphhb_dpxktfgmcip" Type="http://schemas.openxmlformats.org/officeDocument/2006/relationships/hyperlink" Target="https://ec.europa.eu/competition/antitrust/cases/dec_docs/40465/40465_337_3.pdf" TargetMode="External"/><Relationship Id="rIdo_9i9jsiqwcjyoyhmafsg" Type="http://schemas.openxmlformats.org/officeDocument/2006/relationships/hyperlink" Target="https://ec.europa.eu/competition/antitrust/cases/dec_docs/40465/40465_337_3.pdf" TargetMode="External"/><Relationship Id="rIdkqbe1ll3mkkaovqajagvd" Type="http://schemas.openxmlformats.org/officeDocument/2006/relationships/hyperlink" Target="https://ec.europa.eu/competition/antitrust/cases/dec_docs/40465/40465_337_3.pdf" TargetMode="External"/><Relationship Id="rId4yadvzxg9asxke2_rw9kb" Type="http://schemas.openxmlformats.org/officeDocument/2006/relationships/hyperlink" Target="https://ec.europa.eu/competition/antitrust/cases/dec_docs/40465/40465_337_3.pdf" TargetMode="External"/><Relationship Id="rId3puyts46qne9qh_x2qdy6" Type="http://schemas.openxmlformats.org/officeDocument/2006/relationships/hyperlink" Target="https://ec.europa.eu/competition/antitrust/cases/dec_docs/40465/40465_337_3.pdf" TargetMode="External"/><Relationship Id="rIdioimxjuauc5mku9if5jor" Type="http://schemas.openxmlformats.org/officeDocument/2006/relationships/hyperlink" Target="https://ec.europa.eu/competition/antitrust/cases/dec_docs/40465/40465_337_3.pdf" TargetMode="External"/><Relationship Id="rId3mabh3in_ezmdyul0y-k0" Type="http://schemas.openxmlformats.org/officeDocument/2006/relationships/hyperlink" Target="https://ec.europa.eu/competition/antitrust/cases/dec_docs/40465/40465_337_3.pdf" TargetMode="External"/><Relationship Id="rIddsvzsna6w8w46mprk7ud8" Type="http://schemas.openxmlformats.org/officeDocument/2006/relationships/hyperlink" Target="https://ec.europa.eu/competition/antitrust/cases/dec_docs/40465/40465_337_3.pdf" TargetMode="External"/><Relationship Id="rIddcsumlkuekwpe_uyqrkhb" Type="http://schemas.openxmlformats.org/officeDocument/2006/relationships/hyperlink" Target="https://ec.europa.eu/competition/antitrust/cases/dec_docs/40465/40465_337_3.pdf" TargetMode="External"/><Relationship Id="rId32vdxj0ey8dj4nvdp-bug" Type="http://schemas.openxmlformats.org/officeDocument/2006/relationships/hyperlink" Target="https://ec.europa.eu/competition/antitrust/cases/dec_docs/40465/40465_337_3.pdf" TargetMode="External"/><Relationship Id="rId2jyo73uig7zkyfd39m4vx" Type="http://schemas.openxmlformats.org/officeDocument/2006/relationships/hyperlink" Target="https://ec.europa.eu/competition/antitrust/cases/dec_docs/40465/40465_337_3.pdf" TargetMode="External"/><Relationship Id="rIdeezkhpzu7ut5gdczr46p_" Type="http://schemas.openxmlformats.org/officeDocument/2006/relationships/hyperlink" Target="https://ec.europa.eu/competition/antitrust/cases/dec_docs/40465/40465_337_3.pdf" TargetMode="External"/><Relationship Id="rIdhs1ojrr7yqr123pd2mb8c" Type="http://schemas.openxmlformats.org/officeDocument/2006/relationships/hyperlink" Target="https://ec.europa.eu/competition/antitrust/cases/dec_docs/40465/40465_337_3.pdf" TargetMode="External"/><Relationship Id="rIdg8n2lenloxzpmkzln17kk" Type="http://schemas.openxmlformats.org/officeDocument/2006/relationships/hyperlink" Target="https://ec.europa.eu/competition/antitrust/cases/dec_docs/40465/40465_337_3.pdf" TargetMode="External"/><Relationship Id="rIdy_ay2gotatxypzx3f4ehz" Type="http://schemas.openxmlformats.org/officeDocument/2006/relationships/hyperlink" Target="https://eur-lex.europa.eu/LexUriServ/LexUriServ.do?uri=SEC:2010:0411:FIN:EN:PDF" TargetMode="External"/><Relationship Id="rIdqyfjheampbme4ujjolenj" Type="http://schemas.openxmlformats.org/officeDocument/2006/relationships/hyperlink" Target="https://eur-lex.europa.eu/legal-content/EN/TXT/PDF/?uri=CELEX:52022XC0630(01)" TargetMode="External"/><Relationship Id="rIdph95l68jjro3qkazqyhsl" Type="http://schemas.openxmlformats.org/officeDocument/2006/relationships/hyperlink" Target="https://eur-lex.europa.eu/legal-content/EN/TXT/PDF/?uri=CELEX:52021XC0907(02)" TargetMode="External"/><Relationship Id="rIdtvsblkcdyez4cmdhzdgxo" Type="http://schemas.openxmlformats.org/officeDocument/2006/relationships/hyperlink" Target="https://cms.law/en/gbr/legal-updates/the-european-commission-s-guidelines-on-vertical-restraints" TargetMode="External"/><Relationship Id="rIdljn5eg03tawzsd5xg2kub" Type="http://schemas.openxmlformats.org/officeDocument/2006/relationships/hyperlink" Target="https://eur-lex.europa.eu/legal-content/EN/TXT/?uri=oj:JOC_2022_248_R_0001" TargetMode="External"/><Relationship Id="rIdjqtlvsxz_urs1-wpxeebq" Type="http://schemas.openxmlformats.org/officeDocument/2006/relationships/hyperlink" Target="https://www.whitecase.com/insight-alert/eu-court-justice-provides-guidance-resale-price-maintenance-under-eu-competition-law" TargetMode="External"/><Relationship Id="rId8pg3ta6z1zsi20mdgr6e5" Type="http://schemas.openxmlformats.org/officeDocument/2006/relationships/hyperlink" Target="https://competition-policy.ec.europa.eu/antitrust-and-cartels/legislation/competition-law-treaty-articles_en" TargetMode="External"/><Relationship Id="rIdfrcyklzmptketz9fxlhg3" Type="http://schemas.openxmlformats.org/officeDocument/2006/relationships/hyperlink" Target="https://competition-policy.ec.europa.eu/antitrust-and-cartels/legislation/vertical-block-exemptions_en" TargetMode="External"/><Relationship Id="rIdmnsd-zyt_fjs-od0q5zqa" Type="http://schemas.openxmlformats.org/officeDocument/2006/relationships/hyperlink" Target="https://www.concurrences.com/en/review/issues/no-3-2022/alertes/competition-policy-the-european-commission-formally-adopts-the-guidelines-on" TargetMode="External"/><Relationship Id="rId_rlqr6sygzgnndffjat0a" Type="http://schemas.openxmlformats.org/officeDocument/2006/relationships/hyperlink" Target="https://www.concurrences.com/en/bulletin/news-issues/february-1997/the-oecd-holds-a-roundtable-on-resale-price-maintenance" TargetMode="External"/><Relationship Id="rIdybzyk_pgzrpjtp5msq2lk" Type="http://schemas.openxmlformats.org/officeDocument/2006/relationships/hyperlink" Target="https://www.oecd.org/en/publications/resale-price-maintenance_126ecbc8-en.html" TargetMode="External"/><Relationship Id="rId_iggokxhspzxqnqx8ntr4" Type="http://schemas.openxmlformats.org/officeDocument/2006/relationships/hyperlink" Target="https://www.ftc.gov/news-events/news/speeches/vertical-restraints-horizontal-consequences-competitiveeffects-most-favored-customer-clauses" TargetMode="External"/><Relationship Id="rId5y3nvqzbrl937ovqesicl" Type="http://schemas.openxmlformats.org/officeDocument/2006/relationships/hyperlink" Target="https://ec.europa.eu/competition/antitrust/cases/dec_docs/40465/40465_337_3.pdf" TargetMode="External"/><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2026-09-02T11:31:08.980Z</dcterms:created>
  <dcterms:modified xsi:type="dcterms:W3CDTF">2026-09-02T11:31:08.981Z</dcterms:modified>
</cp:coreProperties>
</file>

<file path=docProps/custom.xml><?xml version="1.0" encoding="utf-8"?>
<Properties xmlns="http://schemas.openxmlformats.org/officeDocument/2006/custom-properties" xmlns:vt="http://schemas.openxmlformats.org/officeDocument/2006/docPropsVTypes"/>
</file>