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5F"/>
          <w:sz w:val="32"/>
          <w:szCs w:val="32"/>
        </w:rPr>
        <w:t xml:space="preserve">Response Transcript — Sample 1</w:t>
      </w:r>
    </w:p>
    <w:p>
      <w:pPr>
        <w:pBdr>
          <w:bottom w:val="single" w:color="1F4E5F" w:sz="6" w:space="1"/>
        </w:pBdr>
        <w:spacing w:after="200"/>
      </w:pPr>
    </w:p>
    <w:p>
      <w:pPr>
        <w:spacing w:after="160" w:before="280"/>
      </w:pPr>
      <w:r>
        <w:rPr>
          <w:rFonts w:ascii="Calibri" w:cs="Calibri" w:eastAsia="Calibri" w:hAnsi="Calibri"/>
          <w:b/>
          <w:bCs/>
          <w:color w:val="1F4E5F"/>
          <w:sz w:val="22"/>
          <w:szCs w:val="22"/>
        </w:rPr>
        <w:t xml:space="preserve">User Query</w:t>
      </w:r>
    </w:p>
    <w:p>
      <w:pPr>
        <w:pBdr>
          <w:left w:val="single" w:color="1F4E5F" w:sz="12" w:space="8"/>
        </w:pBdr>
        <w:spacing w:after="200"/>
        <w:ind w:left="431"/>
      </w:pPr>
      <w:r>
        <w:rPr>
          <w:rFonts w:ascii="Calibri" w:cs="Calibri" w:eastAsia="Calibri" w:hAnsi="Calibri"/>
          <w:i/>
          <w:iCs/>
          <w:sz w:val="22"/>
          <w:szCs w:val="22"/>
        </w:rPr>
        <w:t xml:space="preserve">what are the most important indicators used in merger assessment?</w:t>
      </w:r>
    </w:p>
    <w:p>
      <w:pPr>
        <w:spacing w:after="160" w:before="280"/>
      </w:pPr>
      <w:r>
        <w:rPr>
          <w:rFonts w:ascii="Calibri" w:cs="Calibri" w:eastAsia="Calibri" w:hAnsi="Calibri"/>
          <w:b/>
          <w:bCs/>
          <w:color w:val="1F4E5F"/>
          <w:sz w:val="22"/>
          <w:szCs w:val="22"/>
        </w:rPr>
        <w:t xml:space="preserve">System Response</w:t>
      </w:r>
    </w:p>
    <w:p>
      <w:pPr>
        <w:spacing w:after="160"/>
      </w:pPr>
      <w:r>
        <w:rPr>
          <w:rFonts w:ascii="Calibri" w:cs="Calibri" w:eastAsia="Calibri" w:hAnsi="Calibri"/>
          <w:b w:val="false"/>
          <w:bCs w:val="false"/>
          <w:i w:val="false"/>
          <w:iCs w:val="false"/>
          <w:sz w:val="22"/>
          <w:szCs w:val="22"/>
        </w:rPr>
        <w:t xml:space="preserve">The most important indicators in merger assessment are market structure, closeness of competition, entry and expansion conditions, buyer power, and likely effects on prices, output, quality, innovation, and other non-price parameters of competition.</w:t>
      </w:r>
      <w:hyperlink w:history="1" r:id="rIdpaaftlhr2rq8va9el5lz_">
        <w:r>
          <w:rPr>
            <w:rFonts w:ascii="Calibri" w:cs="Calibri" w:eastAsia="Calibri" w:hAnsi="Calibri"/>
            <w:color w:val="1F4E5F"/>
            <w:sz w:val="22"/>
            <w:szCs w:val="22"/>
            <w:u w:val="single"/>
          </w:rPr>
          <w:t xml:space="preserve">[1]</w:t>
        </w:r>
      </w:hyperlink>
      <w:hyperlink w:history="1" r:id="rId0jhbbu81g4ku2qsrdfxqf">
        <w:r>
          <w:rPr>
            <w:rFonts w:ascii="Calibri" w:cs="Calibri" w:eastAsia="Calibri" w:hAnsi="Calibri"/>
            <w:color w:val="1F4E5F"/>
            <w:sz w:val="22"/>
            <w:szCs w:val="22"/>
            <w:u w:val="single"/>
          </w:rPr>
          <w:t xml:space="preserve">[2]</w:t>
        </w:r>
      </w:hyperlink>
      <w:hyperlink w:history="1" r:id="rIdvgbpkldreswhsex7ehiiv">
        <w:r>
          <w:rPr>
            <w:rFonts w:ascii="Calibri" w:cs="Calibri" w:eastAsia="Calibri" w:hAnsi="Calibri"/>
            <w:color w:val="1F4E5F"/>
            <w:sz w:val="22"/>
            <w:szCs w:val="22"/>
            <w:u w:val="single"/>
          </w:rPr>
          <w:t xml:space="preserve">[3]</w:t>
        </w:r>
      </w:hyperlink>
    </w:p>
    <w:p>
      <w:pPr>
        <w:spacing w:after="120" w:before="200"/>
      </w:pPr>
      <w:r>
        <w:rPr>
          <w:rFonts w:ascii="Calibri" w:cs="Calibri" w:eastAsia="Calibri" w:hAnsi="Calibri"/>
          <w:b/>
          <w:bCs/>
          <w:i/>
          <w:iCs/>
          <w:sz w:val="22"/>
          <w:szCs w:val="22"/>
        </w:rPr>
        <w:t xml:space="preserve">1. Core competitive indicators</w:t>
      </w:r>
    </w:p>
    <w:p>
      <w:pPr>
        <w:pStyle w:val="ListParagraph"/>
        <w:numPr>
          <w:ilvl w:val="0"/>
          <w:numId w:val="1"/>
        </w:numPr>
        <w:spacing w:after="100"/>
      </w:pPr>
      <w:r>
        <w:rPr>
          <w:rFonts w:ascii="Calibri" w:cs="Calibri" w:eastAsia="Calibri" w:hAnsi="Calibri"/>
          <w:b/>
          <w:bCs/>
          <w:sz w:val="22"/>
          <w:szCs w:val="22"/>
        </w:rPr>
        <w:t xml:space="preserve">Market concentration: </w:t>
      </w:r>
      <w:r>
        <w:rPr>
          <w:rFonts w:ascii="Calibri" w:cs="Calibri" w:eastAsia="Calibri" w:hAnsi="Calibri"/>
          <w:b w:val="false"/>
          <w:bCs w:val="false"/>
          <w:i w:val="false"/>
          <w:iCs w:val="false"/>
          <w:sz w:val="22"/>
          <w:szCs w:val="22"/>
        </w:rPr>
        <w:t xml:space="preserve">Authorities typically examine how concentrated the market is before and after the merger, often using concentration measures such as the HHI.</w:t>
      </w:r>
      <w:hyperlink w:history="1" r:id="rIdh7j0surcla7ncxbmwnsmh">
        <w:r>
          <w:rPr>
            <w:rFonts w:ascii="Calibri" w:cs="Calibri" w:eastAsia="Calibri" w:hAnsi="Calibri"/>
            <w:color w:val="1F4E5F"/>
            <w:sz w:val="22"/>
            <w:szCs w:val="22"/>
            <w:u w:val="single"/>
          </w:rPr>
          <w:t xml:space="preserve">[2]</w:t>
        </w:r>
      </w:hyperlink>
    </w:p>
    <w:p>
      <w:pPr>
        <w:pStyle w:val="ListParagraph"/>
        <w:numPr>
          <w:ilvl w:val="0"/>
          <w:numId w:val="1"/>
        </w:numPr>
        <w:spacing w:after="100"/>
      </w:pPr>
      <w:r>
        <w:rPr>
          <w:rFonts w:ascii="Calibri" w:cs="Calibri" w:eastAsia="Calibri" w:hAnsi="Calibri"/>
          <w:b/>
          <w:bCs/>
          <w:sz w:val="22"/>
          <w:szCs w:val="22"/>
        </w:rPr>
        <w:t xml:space="preserve">Market shares: </w:t>
      </w:r>
      <w:r>
        <w:rPr>
          <w:rFonts w:ascii="Calibri" w:cs="Calibri" w:eastAsia="Calibri" w:hAnsi="Calibri"/>
          <w:b w:val="false"/>
          <w:bCs w:val="false"/>
          <w:i w:val="false"/>
          <w:iCs w:val="false"/>
          <w:sz w:val="22"/>
          <w:szCs w:val="22"/>
        </w:rPr>
        <w:t xml:space="preserve">Shares remain a basic screening indicator, but they are not decisive on their own; they are read together with other structural and behavioral evidence.</w:t>
      </w:r>
      <w:hyperlink w:history="1" r:id="rIdvoavtxqjpdbtcwb9t-h7f">
        <w:r>
          <w:rPr>
            <w:rFonts w:ascii="Calibri" w:cs="Calibri" w:eastAsia="Calibri" w:hAnsi="Calibri"/>
            <w:color w:val="1F4E5F"/>
            <w:sz w:val="22"/>
            <w:szCs w:val="22"/>
            <w:u w:val="single"/>
          </w:rPr>
          <w:t xml:space="preserve">[2]</w:t>
        </w:r>
      </w:hyperlink>
      <w:hyperlink w:history="1" r:id="rIdyijytgtkri8h_bf7vw8ar">
        <w:r>
          <w:rPr>
            <w:rFonts w:ascii="Calibri" w:cs="Calibri" w:eastAsia="Calibri" w:hAnsi="Calibri"/>
            <w:color w:val="1F4E5F"/>
            <w:sz w:val="22"/>
            <w:szCs w:val="22"/>
            <w:u w:val="single"/>
          </w:rPr>
          <w:t xml:space="preserve">[3]</w:t>
        </w:r>
      </w:hyperlink>
    </w:p>
    <w:p>
      <w:pPr>
        <w:pStyle w:val="ListParagraph"/>
        <w:numPr>
          <w:ilvl w:val="0"/>
          <w:numId w:val="1"/>
        </w:numPr>
        <w:spacing w:after="100"/>
      </w:pPr>
      <w:r>
        <w:rPr>
          <w:rFonts w:ascii="Calibri" w:cs="Calibri" w:eastAsia="Calibri" w:hAnsi="Calibri"/>
          <w:b/>
          <w:bCs/>
          <w:sz w:val="22"/>
          <w:szCs w:val="22"/>
        </w:rPr>
        <w:t xml:space="preserve">Closeness of competition: </w:t>
      </w:r>
      <w:r>
        <w:rPr>
          <w:rFonts w:ascii="Calibri" w:cs="Calibri" w:eastAsia="Calibri" w:hAnsi="Calibri"/>
          <w:b w:val="false"/>
          <w:bCs w:val="false"/>
          <w:i w:val="false"/>
          <w:iCs w:val="false"/>
          <w:sz w:val="22"/>
          <w:szCs w:val="22"/>
        </w:rPr>
        <w:t xml:space="preserve">The more directly the merging firms constrain each other, the stronger the concern that the merger may remove an important competitive force.</w:t>
      </w:r>
      <w:hyperlink w:history="1" r:id="rIdww9flh5m4lnp4v7hqlstj">
        <w:r>
          <w:rPr>
            <w:rFonts w:ascii="Calibri" w:cs="Calibri" w:eastAsia="Calibri" w:hAnsi="Calibri"/>
            <w:color w:val="1F4E5F"/>
            <w:sz w:val="22"/>
            <w:szCs w:val="22"/>
            <w:u w:val="single"/>
          </w:rPr>
          <w:t xml:space="preserve">[2]</w:t>
        </w:r>
      </w:hyperlink>
    </w:p>
    <w:p>
      <w:pPr>
        <w:pStyle w:val="ListParagraph"/>
        <w:numPr>
          <w:ilvl w:val="0"/>
          <w:numId w:val="1"/>
        </w:numPr>
        <w:spacing w:after="100"/>
      </w:pPr>
      <w:r>
        <w:rPr>
          <w:rFonts w:ascii="Calibri" w:cs="Calibri" w:eastAsia="Calibri" w:hAnsi="Calibri"/>
          <w:b/>
          <w:bCs/>
          <w:sz w:val="22"/>
          <w:szCs w:val="22"/>
        </w:rPr>
        <w:t xml:space="preserve">Competitive constraints from rivals: </w:t>
      </w:r>
      <w:r>
        <w:rPr>
          <w:rFonts w:ascii="Calibri" w:cs="Calibri" w:eastAsia="Calibri" w:hAnsi="Calibri"/>
          <w:b w:val="false"/>
          <w:bCs w:val="false"/>
          <w:i w:val="false"/>
          <w:iCs w:val="false"/>
          <w:sz w:val="22"/>
          <w:szCs w:val="22"/>
        </w:rPr>
        <w:t xml:space="preserve">Authorities assess how strong the remaining competitors are, including their capacity, product positioning, and ability to expand.</w:t>
      </w:r>
      <w:hyperlink w:history="1" r:id="rIdhsavpi2w1ssdwp0a2o1dy">
        <w:r>
          <w:rPr>
            <w:rFonts w:ascii="Calibri" w:cs="Calibri" w:eastAsia="Calibri" w:hAnsi="Calibri"/>
            <w:color w:val="1F4E5F"/>
            <w:sz w:val="22"/>
            <w:szCs w:val="22"/>
            <w:u w:val="single"/>
          </w:rPr>
          <w:t xml:space="preserve">[2]</w:t>
        </w:r>
      </w:hyperlink>
    </w:p>
    <w:p>
      <w:pPr>
        <w:pStyle w:val="ListParagraph"/>
        <w:numPr>
          <w:ilvl w:val="0"/>
          <w:numId w:val="1"/>
        </w:numPr>
        <w:spacing w:after="100"/>
      </w:pPr>
      <w:r>
        <w:rPr>
          <w:rFonts w:ascii="Calibri" w:cs="Calibri" w:eastAsia="Calibri" w:hAnsi="Calibri"/>
          <w:b/>
          <w:bCs/>
          <w:sz w:val="22"/>
          <w:szCs w:val="22"/>
        </w:rPr>
        <w:t xml:space="preserve">Entry and expansion: </w:t>
      </w:r>
      <w:r>
        <w:rPr>
          <w:rFonts w:ascii="Calibri" w:cs="Calibri" w:eastAsia="Calibri" w:hAnsi="Calibri"/>
          <w:b w:val="false"/>
          <w:bCs w:val="false"/>
          <w:i w:val="false"/>
          <w:iCs w:val="false"/>
          <w:sz w:val="22"/>
          <w:szCs w:val="22"/>
        </w:rPr>
        <w:t xml:space="preserve">A merger is less concerning if new entry or rapid expansion by rivals would likely discipline post-merger conduct.</w:t>
      </w:r>
      <w:hyperlink w:history="1" r:id="rIddqr5fyhvpw_yzi7s6xrbw">
        <w:r>
          <w:rPr>
            <w:rFonts w:ascii="Calibri" w:cs="Calibri" w:eastAsia="Calibri" w:hAnsi="Calibri"/>
            <w:color w:val="1F4E5F"/>
            <w:sz w:val="22"/>
            <w:szCs w:val="22"/>
            <w:u w:val="single"/>
          </w:rPr>
          <w:t xml:space="preserve">[2]</w:t>
        </w:r>
      </w:hyperlink>
      <w:hyperlink w:history="1" r:id="rId_nuy4snwgrxjcy0p-3uta">
        <w:r>
          <w:rPr>
            <w:rFonts w:ascii="Calibri" w:cs="Calibri" w:eastAsia="Calibri" w:hAnsi="Calibri"/>
            <w:color w:val="1F4E5F"/>
            <w:sz w:val="22"/>
            <w:szCs w:val="22"/>
            <w:u w:val="single"/>
          </w:rPr>
          <w:t xml:space="preserve">[3]</w:t>
        </w:r>
      </w:hyperlink>
    </w:p>
    <w:p>
      <w:pPr>
        <w:pStyle w:val="ListParagraph"/>
        <w:numPr>
          <w:ilvl w:val="0"/>
          <w:numId w:val="1"/>
        </w:numPr>
        <w:spacing w:after="100"/>
      </w:pPr>
      <w:r>
        <w:rPr>
          <w:rFonts w:ascii="Calibri" w:cs="Calibri" w:eastAsia="Calibri" w:hAnsi="Calibri"/>
          <w:b/>
          <w:bCs/>
          <w:sz w:val="22"/>
          <w:szCs w:val="22"/>
        </w:rPr>
        <w:t xml:space="preserve">Buyer power: </w:t>
      </w:r>
      <w:r>
        <w:rPr>
          <w:rFonts w:ascii="Calibri" w:cs="Calibri" w:eastAsia="Calibri" w:hAnsi="Calibri"/>
          <w:b w:val="false"/>
          <w:bCs w:val="false"/>
          <w:i w:val="false"/>
          <w:iCs w:val="false"/>
          <w:sz w:val="22"/>
          <w:szCs w:val="22"/>
        </w:rPr>
        <w:t xml:space="preserve">Significant countervailing buyer power can reduce merger concerns, especially where customers can credibly switch, sponsor entry, or negotiate effectively.</w:t>
      </w:r>
      <w:hyperlink w:history="1" r:id="rId7hmpn3buqcxj6qn5jv0zk">
        <w:r>
          <w:rPr>
            <w:rFonts w:ascii="Calibri" w:cs="Calibri" w:eastAsia="Calibri" w:hAnsi="Calibri"/>
            <w:color w:val="1F4E5F"/>
            <w:sz w:val="22"/>
            <w:szCs w:val="22"/>
            <w:u w:val="single"/>
          </w:rPr>
          <w:t xml:space="preserve">[2]</w:t>
        </w:r>
      </w:hyperlink>
      <w:hyperlink w:history="1" r:id="rIdz8cxvxd9ghhrn2eukxib6">
        <w:r>
          <w:rPr>
            <w:rFonts w:ascii="Calibri" w:cs="Calibri" w:eastAsia="Calibri" w:hAnsi="Calibri"/>
            <w:color w:val="1F4E5F"/>
            <w:sz w:val="22"/>
            <w:szCs w:val="22"/>
            <w:u w:val="single"/>
          </w:rPr>
          <w:t xml:space="preserve">[3]</w:t>
        </w:r>
      </w:hyperlink>
    </w:p>
    <w:p>
      <w:pPr>
        <w:pStyle w:val="ListParagraph"/>
        <w:numPr>
          <w:ilvl w:val="0"/>
          <w:numId w:val="1"/>
        </w:numPr>
        <w:spacing w:after="100"/>
      </w:pPr>
      <w:r>
        <w:rPr>
          <w:rFonts w:ascii="Calibri" w:cs="Calibri" w:eastAsia="Calibri" w:hAnsi="Calibri"/>
          <w:b/>
          <w:bCs/>
          <w:sz w:val="22"/>
          <w:szCs w:val="22"/>
        </w:rPr>
        <w:t xml:space="preserve">Unilateral effects: </w:t>
      </w:r>
      <w:r>
        <w:rPr>
          <w:rFonts w:ascii="Calibri" w:cs="Calibri" w:eastAsia="Calibri" w:hAnsi="Calibri"/>
          <w:b w:val="false"/>
          <w:bCs w:val="false"/>
          <w:i w:val="false"/>
          <w:iCs w:val="false"/>
          <w:sz w:val="22"/>
          <w:szCs w:val="22"/>
        </w:rPr>
        <w:t xml:space="preserve">Authorities look for whether the merger would let the parties raise prices, reduce output, weaken quality, or soften innovation incentives without needing coordination.</w:t>
      </w:r>
      <w:hyperlink w:history="1" r:id="rIdvm47nbtgttppjkg8a0o6r">
        <w:r>
          <w:rPr>
            <w:rFonts w:ascii="Calibri" w:cs="Calibri" w:eastAsia="Calibri" w:hAnsi="Calibri"/>
            <w:color w:val="1F4E5F"/>
            <w:sz w:val="22"/>
            <w:szCs w:val="22"/>
            <w:u w:val="single"/>
          </w:rPr>
          <w:t xml:space="preserve">[1]</w:t>
        </w:r>
      </w:hyperlink>
      <w:hyperlink w:history="1" r:id="rIdbtfoienkfkljfyqxx8v1s">
        <w:r>
          <w:rPr>
            <w:rFonts w:ascii="Calibri" w:cs="Calibri" w:eastAsia="Calibri" w:hAnsi="Calibri"/>
            <w:color w:val="1F4E5F"/>
            <w:sz w:val="22"/>
            <w:szCs w:val="22"/>
            <w:u w:val="single"/>
          </w:rPr>
          <w:t xml:space="preserve">[2]</w:t>
        </w:r>
      </w:hyperlink>
    </w:p>
    <w:p>
      <w:pPr>
        <w:pStyle w:val="ListParagraph"/>
        <w:numPr>
          <w:ilvl w:val="0"/>
          <w:numId w:val="1"/>
        </w:numPr>
        <w:spacing w:after="100"/>
      </w:pPr>
      <w:r>
        <w:rPr>
          <w:rFonts w:ascii="Calibri" w:cs="Calibri" w:eastAsia="Calibri" w:hAnsi="Calibri"/>
          <w:b/>
          <w:bCs/>
          <w:sz w:val="22"/>
          <w:szCs w:val="22"/>
        </w:rPr>
        <w:t xml:space="preserve">Coordinated effects: </w:t>
      </w:r>
      <w:r>
        <w:rPr>
          <w:rFonts w:ascii="Calibri" w:cs="Calibri" w:eastAsia="Calibri" w:hAnsi="Calibri"/>
          <w:b w:val="false"/>
          <w:bCs w:val="false"/>
          <w:i w:val="false"/>
          <w:iCs w:val="false"/>
          <w:sz w:val="22"/>
          <w:szCs w:val="22"/>
        </w:rPr>
        <w:t xml:space="preserve">The analysis also asks whether the merger would make tacit or explicit coordination more likely, more stable, or more effective.</w:t>
      </w:r>
      <w:hyperlink w:history="1" r:id="rIdntbzviugcllem_y6qtrls">
        <w:r>
          <w:rPr>
            <w:rFonts w:ascii="Calibri" w:cs="Calibri" w:eastAsia="Calibri" w:hAnsi="Calibri"/>
            <w:color w:val="1F4E5F"/>
            <w:sz w:val="22"/>
            <w:szCs w:val="22"/>
            <w:u w:val="single"/>
          </w:rPr>
          <w:t xml:space="preserve">[2]</w:t>
        </w:r>
      </w:hyperlink>
      <w:hyperlink w:history="1" r:id="rId7-bd1vfc7dvynsxuff-rd">
        <w:r>
          <w:rPr>
            <w:rFonts w:ascii="Calibri" w:cs="Calibri" w:eastAsia="Calibri" w:hAnsi="Calibri"/>
            <w:color w:val="1F4E5F"/>
            <w:sz w:val="22"/>
            <w:szCs w:val="22"/>
            <w:u w:val="single"/>
          </w:rPr>
          <w:t xml:space="preserve">[3]</w:t>
        </w:r>
      </w:hyperlink>
    </w:p>
    <w:p>
      <w:pPr>
        <w:pStyle w:val="ListParagraph"/>
        <w:numPr>
          <w:ilvl w:val="0"/>
          <w:numId w:val="1"/>
        </w:numPr>
        <w:spacing w:after="100"/>
      </w:pPr>
      <w:r>
        <w:rPr>
          <w:rFonts w:ascii="Calibri" w:cs="Calibri" w:eastAsia="Calibri" w:hAnsi="Calibri"/>
          <w:b/>
          <w:bCs/>
          <w:sz w:val="22"/>
          <w:szCs w:val="22"/>
        </w:rPr>
        <w:t xml:space="preserve">Non-price parameters: </w:t>
      </w:r>
      <w:r>
        <w:rPr>
          <w:rFonts w:ascii="Calibri" w:cs="Calibri" w:eastAsia="Calibri" w:hAnsi="Calibri"/>
          <w:b w:val="false"/>
          <w:bCs w:val="false"/>
          <w:i w:val="false"/>
          <w:iCs w:val="false"/>
          <w:sz w:val="22"/>
          <w:szCs w:val="22"/>
        </w:rPr>
        <w:t xml:space="preserve">Current EU materials emphasize that competition is not only about price, but also capacity, quality, innovation, investment, privacy, sustainability, resilience, and security of supply.</w:t>
      </w:r>
      <w:hyperlink w:history="1" r:id="rIdikua8kwsnxkmaopkafe6q">
        <w:r>
          <w:rPr>
            <w:rFonts w:ascii="Calibri" w:cs="Calibri" w:eastAsia="Calibri" w:hAnsi="Calibri"/>
            <w:color w:val="1F4E5F"/>
            <w:sz w:val="22"/>
            <w:szCs w:val="22"/>
            <w:u w:val="single"/>
          </w:rPr>
          <w:t xml:space="preserve">[1]</w:t>
        </w:r>
      </w:hyperlink>
      <w:hyperlink w:history="1" r:id="rIda-jaagkmygnxbrh9gvzse">
        <w:r>
          <w:rPr>
            <w:rFonts w:ascii="Calibri" w:cs="Calibri" w:eastAsia="Calibri" w:hAnsi="Calibri"/>
            <w:color w:val="1F4E5F"/>
            <w:sz w:val="22"/>
            <w:szCs w:val="22"/>
            <w:u w:val="single"/>
          </w:rPr>
          <w:t xml:space="preserve">[4]</w:t>
        </w:r>
      </w:hyperlink>
      <w:hyperlink w:history="1" r:id="rIdw55ihaxw_r9lzt3rzytcx">
        <w:r>
          <w:rPr>
            <w:rFonts w:ascii="Calibri" w:cs="Calibri" w:eastAsia="Calibri" w:hAnsi="Calibri"/>
            <w:color w:val="1F4E5F"/>
            <w:sz w:val="22"/>
            <w:szCs w:val="22"/>
            <w:u w:val="single"/>
          </w:rPr>
          <w:t xml:space="preserve">[5]</w:t>
        </w:r>
      </w:hyperlink>
      <w:hyperlink w:history="1" r:id="rIdkhyax_ccmczmejmvnibno">
        <w:r>
          <w:rPr>
            <w:rFonts w:ascii="Calibri" w:cs="Calibri" w:eastAsia="Calibri" w:hAnsi="Calibri"/>
            <w:color w:val="1F4E5F"/>
            <w:sz w:val="22"/>
            <w:szCs w:val="22"/>
            <w:u w:val="single"/>
          </w:rPr>
          <w:t xml:space="preserve">[6]</w:t>
        </w:r>
      </w:hyperlink>
    </w:p>
    <w:p>
      <w:pPr>
        <w:spacing w:after="120" w:before="200"/>
      </w:pPr>
      <w:r>
        <w:rPr>
          <w:rFonts w:ascii="Calibri" w:cs="Calibri" w:eastAsia="Calibri" w:hAnsi="Calibri"/>
          <w:b/>
          <w:bCs/>
          <w:i/>
          <w:iCs/>
          <w:sz w:val="22"/>
          <w:szCs w:val="22"/>
        </w:rPr>
        <w:t xml:space="preserve">2. Main economic indicators</w:t>
      </w:r>
    </w:p>
    <w:p>
      <w:pPr>
        <w:pStyle w:val="ListParagraph"/>
        <w:numPr>
          <w:ilvl w:val="0"/>
          <w:numId w:val="1"/>
        </w:numPr>
        <w:spacing w:after="100"/>
      </w:pPr>
      <w:r>
        <w:rPr>
          <w:rFonts w:ascii="Calibri" w:cs="Calibri" w:eastAsia="Calibri" w:hAnsi="Calibri"/>
          <w:b/>
          <w:bCs/>
          <w:sz w:val="22"/>
          <w:szCs w:val="22"/>
        </w:rPr>
        <w:t xml:space="preserve">Concentration measures: </w:t>
      </w:r>
      <w:r>
        <w:rPr>
          <w:rFonts w:ascii="Calibri" w:cs="Calibri" w:eastAsia="Calibri" w:hAnsi="Calibri"/>
          <w:b w:val="false"/>
          <w:bCs w:val="false"/>
          <w:i w:val="false"/>
          <w:iCs w:val="false"/>
          <w:sz w:val="22"/>
          <w:szCs w:val="22"/>
        </w:rPr>
        <w:t xml:space="preserve">HHI and related indices help screen whether the merger materially increases concentration.</w:t>
      </w:r>
      <w:hyperlink w:history="1" r:id="rIdn-8pfbf6bcanl4n7oihjd">
        <w:r>
          <w:rPr>
            <w:rFonts w:ascii="Calibri" w:cs="Calibri" w:eastAsia="Calibri" w:hAnsi="Calibri"/>
            <w:color w:val="1F4E5F"/>
            <w:sz w:val="22"/>
            <w:szCs w:val="22"/>
            <w:u w:val="single"/>
          </w:rPr>
          <w:t xml:space="preserve">[2]</w:t>
        </w:r>
      </w:hyperlink>
    </w:p>
    <w:p>
      <w:pPr>
        <w:pStyle w:val="ListParagraph"/>
        <w:numPr>
          <w:ilvl w:val="0"/>
          <w:numId w:val="1"/>
        </w:numPr>
        <w:spacing w:after="100"/>
      </w:pPr>
      <w:r>
        <w:rPr>
          <w:rFonts w:ascii="Calibri" w:cs="Calibri" w:eastAsia="Calibri" w:hAnsi="Calibri"/>
          <w:b/>
          <w:bCs/>
          <w:sz w:val="22"/>
          <w:szCs w:val="22"/>
        </w:rPr>
        <w:t xml:space="preserve">Diversion and closeness metrics: </w:t>
      </w:r>
      <w:r>
        <w:rPr>
          <w:rFonts w:ascii="Calibri" w:cs="Calibri" w:eastAsia="Calibri" w:hAnsi="Calibri"/>
          <w:b w:val="false"/>
          <w:bCs w:val="false"/>
          <w:i w:val="false"/>
          <w:iCs w:val="false"/>
          <w:sz w:val="22"/>
          <w:szCs w:val="22"/>
        </w:rPr>
        <w:t xml:space="preserve">These indicate whether customers would likely switch between the merging parties in response to price changes.</w:t>
      </w:r>
      <w:hyperlink w:history="1" r:id="rIdrzgfqn-8zwrooupqpe-h6">
        <w:r>
          <w:rPr>
            <w:rFonts w:ascii="Calibri" w:cs="Calibri" w:eastAsia="Calibri" w:hAnsi="Calibri"/>
            <w:color w:val="1F4E5F"/>
            <w:sz w:val="22"/>
            <w:szCs w:val="22"/>
            <w:u w:val="single"/>
          </w:rPr>
          <w:t xml:space="preserve">[2]</w:t>
        </w:r>
      </w:hyperlink>
    </w:p>
    <w:p>
      <w:pPr>
        <w:pStyle w:val="ListParagraph"/>
        <w:numPr>
          <w:ilvl w:val="0"/>
          <w:numId w:val="1"/>
        </w:numPr>
        <w:spacing w:after="100"/>
      </w:pPr>
      <w:r>
        <w:rPr>
          <w:rFonts w:ascii="Calibri" w:cs="Calibri" w:eastAsia="Calibri" w:hAnsi="Calibri"/>
          <w:b/>
          <w:bCs/>
          <w:sz w:val="22"/>
          <w:szCs w:val="22"/>
        </w:rPr>
        <w:t xml:space="preserve">Margins and pricing incentives: </w:t>
      </w:r>
      <w:r>
        <w:rPr>
          <w:rFonts w:ascii="Calibri" w:cs="Calibri" w:eastAsia="Calibri" w:hAnsi="Calibri"/>
          <w:b w:val="false"/>
          <w:bCs w:val="false"/>
          <w:i w:val="false"/>
          <w:iCs w:val="false"/>
          <w:sz w:val="22"/>
          <w:szCs w:val="22"/>
        </w:rPr>
        <w:t xml:space="preserve">High margins and strong diversion between the merging firms can indicate a larger incentive to raise prices after merger.</w:t>
      </w:r>
      <w:hyperlink w:history="1" r:id="rId9gx0q84m5f2bk3wsrnkss">
        <w:r>
          <w:rPr>
            <w:rFonts w:ascii="Calibri" w:cs="Calibri" w:eastAsia="Calibri" w:hAnsi="Calibri"/>
            <w:color w:val="1F4E5F"/>
            <w:sz w:val="22"/>
            <w:szCs w:val="22"/>
            <w:u w:val="single"/>
          </w:rPr>
          <w:t xml:space="preserve">[2]</w:t>
        </w:r>
      </w:hyperlink>
    </w:p>
    <w:p>
      <w:pPr>
        <w:pStyle w:val="ListParagraph"/>
        <w:numPr>
          <w:ilvl w:val="0"/>
          <w:numId w:val="1"/>
        </w:numPr>
        <w:spacing w:after="100"/>
      </w:pPr>
      <w:r>
        <w:rPr>
          <w:rFonts w:ascii="Calibri" w:cs="Calibri" w:eastAsia="Calibri" w:hAnsi="Calibri"/>
          <w:b/>
          <w:bCs/>
          <w:sz w:val="22"/>
          <w:szCs w:val="22"/>
        </w:rPr>
        <w:t xml:space="preserve">Capacity and demand constraints: </w:t>
      </w:r>
      <w:r>
        <w:rPr>
          <w:rFonts w:ascii="Calibri" w:cs="Calibri" w:eastAsia="Calibri" w:hAnsi="Calibri"/>
          <w:b w:val="false"/>
          <w:bCs w:val="false"/>
          <w:i w:val="false"/>
          <w:iCs w:val="false"/>
          <w:sz w:val="22"/>
          <w:szCs w:val="22"/>
        </w:rPr>
        <w:t xml:space="preserve">Excess capacity, spare supply, and demand elasticity matter because they shape whether the merged firm can profitably worsen terms.</w:t>
      </w:r>
      <w:hyperlink w:history="1" r:id="rIdecikj4v52r9uhrdmquhnu">
        <w:r>
          <w:rPr>
            <w:rFonts w:ascii="Calibri" w:cs="Calibri" w:eastAsia="Calibri" w:hAnsi="Calibri"/>
            <w:color w:val="1F4E5F"/>
            <w:sz w:val="22"/>
            <w:szCs w:val="22"/>
            <w:u w:val="single"/>
          </w:rPr>
          <w:t xml:space="preserve">[1]</w:t>
        </w:r>
      </w:hyperlink>
      <w:hyperlink w:history="1" r:id="rIdqi56fptp27vdlbnaxt7xa">
        <w:r>
          <w:rPr>
            <w:rFonts w:ascii="Calibri" w:cs="Calibri" w:eastAsia="Calibri" w:hAnsi="Calibri"/>
            <w:color w:val="1F4E5F"/>
            <w:sz w:val="22"/>
            <w:szCs w:val="22"/>
            <w:u w:val="single"/>
          </w:rPr>
          <w:t xml:space="preserve">[2]</w:t>
        </w:r>
      </w:hyperlink>
    </w:p>
    <w:p>
      <w:pPr>
        <w:pStyle w:val="ListParagraph"/>
        <w:numPr>
          <w:ilvl w:val="0"/>
          <w:numId w:val="1"/>
        </w:numPr>
        <w:spacing w:after="100"/>
      </w:pPr>
      <w:r>
        <w:rPr>
          <w:rFonts w:ascii="Calibri" w:cs="Calibri" w:eastAsia="Calibri" w:hAnsi="Calibri"/>
          <w:b/>
          <w:bCs/>
          <w:sz w:val="22"/>
          <w:szCs w:val="22"/>
        </w:rPr>
        <w:t xml:space="preserve">Innovation pipelines and R&amp;D overlap: </w:t>
      </w:r>
      <w:r>
        <w:rPr>
          <w:rFonts w:ascii="Calibri" w:cs="Calibri" w:eastAsia="Calibri" w:hAnsi="Calibri"/>
          <w:b w:val="false"/>
          <w:bCs w:val="false"/>
          <w:i w:val="false"/>
          <w:iCs w:val="false"/>
          <w:sz w:val="22"/>
          <w:szCs w:val="22"/>
        </w:rPr>
        <w:t xml:space="preserve">Where competition is dynamic, overlapping innovation efforts and future product rivalry can be as important as current market shares.</w:t>
      </w:r>
      <w:hyperlink w:history="1" r:id="rIdogmysz5liidc5b_l9kc7n">
        <w:r>
          <w:rPr>
            <w:rFonts w:ascii="Calibri" w:cs="Calibri" w:eastAsia="Calibri" w:hAnsi="Calibri"/>
            <w:color w:val="1F4E5F"/>
            <w:sz w:val="22"/>
            <w:szCs w:val="22"/>
            <w:u w:val="single"/>
          </w:rPr>
          <w:t xml:space="preserve">[4]</w:t>
        </w:r>
      </w:hyperlink>
      <w:hyperlink w:history="1" r:id="rIdarcpord5yzw6gy80_znce">
        <w:r>
          <w:rPr>
            <w:rFonts w:ascii="Calibri" w:cs="Calibri" w:eastAsia="Calibri" w:hAnsi="Calibri"/>
            <w:color w:val="1F4E5F"/>
            <w:sz w:val="22"/>
            <w:szCs w:val="22"/>
            <w:u w:val="single"/>
          </w:rPr>
          <w:t xml:space="preserve">[5]</w:t>
        </w:r>
      </w:hyperlink>
      <w:hyperlink w:history="1" r:id="rIdrmb3omh9hoozagnwrbhnf">
        <w:r>
          <w:rPr>
            <w:rFonts w:ascii="Calibri" w:cs="Calibri" w:eastAsia="Calibri" w:hAnsi="Calibri"/>
            <w:color w:val="1F4E5F"/>
            <w:sz w:val="22"/>
            <w:szCs w:val="22"/>
            <w:u w:val="single"/>
          </w:rPr>
          <w:t xml:space="preserve">[6]</w:t>
        </w:r>
      </w:hyperlink>
    </w:p>
    <w:p>
      <w:pPr>
        <w:pStyle w:val="ListParagraph"/>
        <w:numPr>
          <w:ilvl w:val="0"/>
          <w:numId w:val="1"/>
        </w:numPr>
        <w:spacing w:after="100"/>
      </w:pPr>
      <w:r>
        <w:rPr>
          <w:rFonts w:ascii="Calibri" w:cs="Calibri" w:eastAsia="Calibri" w:hAnsi="Calibri"/>
          <w:b/>
          <w:bCs/>
          <w:sz w:val="22"/>
          <w:szCs w:val="22"/>
        </w:rPr>
        <w:t xml:space="preserve">Access to data and network effects: </w:t>
      </w:r>
      <w:r>
        <w:rPr>
          <w:rFonts w:ascii="Calibri" w:cs="Calibri" w:eastAsia="Calibri" w:hAnsi="Calibri"/>
          <w:b w:val="false"/>
          <w:bCs w:val="false"/>
          <w:i w:val="false"/>
          <w:iCs w:val="false"/>
          <w:sz w:val="22"/>
          <w:szCs w:val="22"/>
        </w:rPr>
        <w:t xml:space="preserve">In digital and data-intensive markets, control over data, scale advantages, and network effects can be central indicators of market power.</w:t>
      </w:r>
      <w:hyperlink w:history="1" r:id="rIdy1htgalbhdiu6lmbrtrua">
        <w:r>
          <w:rPr>
            <w:rFonts w:ascii="Calibri" w:cs="Calibri" w:eastAsia="Calibri" w:hAnsi="Calibri"/>
            <w:color w:val="1F4E5F"/>
            <w:sz w:val="22"/>
            <w:szCs w:val="22"/>
            <w:u w:val="single"/>
          </w:rPr>
          <w:t xml:space="preserve">[4]</w:t>
        </w:r>
      </w:hyperlink>
      <w:hyperlink w:history="1" r:id="rIdq8phafex0rai5yzsjg5a_">
        <w:r>
          <w:rPr>
            <w:rFonts w:ascii="Calibri" w:cs="Calibri" w:eastAsia="Calibri" w:hAnsi="Calibri"/>
            <w:color w:val="1F4E5F"/>
            <w:sz w:val="22"/>
            <w:szCs w:val="22"/>
            <w:u w:val="single"/>
          </w:rPr>
          <w:t xml:space="preserve">[5]</w:t>
        </w:r>
      </w:hyperlink>
      <w:hyperlink w:history="1" r:id="rIdehalqrqkyw5brkkdspqwo">
        <w:r>
          <w:rPr>
            <w:rFonts w:ascii="Calibri" w:cs="Calibri" w:eastAsia="Calibri" w:hAnsi="Calibri"/>
            <w:color w:val="1F4E5F"/>
            <w:sz w:val="22"/>
            <w:szCs w:val="22"/>
            <w:u w:val="single"/>
          </w:rPr>
          <w:t xml:space="preserve">[6]</w:t>
        </w:r>
      </w:hyperlink>
    </w:p>
    <w:p>
      <w:pPr>
        <w:pStyle w:val="ListParagraph"/>
        <w:numPr>
          <w:ilvl w:val="0"/>
          <w:numId w:val="1"/>
        </w:numPr>
        <w:spacing w:after="100"/>
      </w:pPr>
      <w:r>
        <w:rPr>
          <w:rFonts w:ascii="Calibri" w:cs="Calibri" w:eastAsia="Calibri" w:hAnsi="Calibri"/>
          <w:b/>
          <w:bCs/>
          <w:sz w:val="22"/>
          <w:szCs w:val="22"/>
        </w:rPr>
        <w:t xml:space="preserve">Vertical foreclosure indicators: </w:t>
      </w:r>
      <w:r>
        <w:rPr>
          <w:rFonts w:ascii="Calibri" w:cs="Calibri" w:eastAsia="Calibri" w:hAnsi="Calibri"/>
          <w:b w:val="false"/>
          <w:bCs w:val="false"/>
          <w:i w:val="false"/>
          <w:iCs w:val="false"/>
          <w:sz w:val="22"/>
          <w:szCs w:val="22"/>
        </w:rPr>
        <w:t xml:space="preserve">In vertical or conglomerate mergers, authorities examine whether rivals may be foreclosed from essential inputs, customers, or distribution channels.</w:t>
      </w:r>
      <w:hyperlink w:history="1" r:id="rIdqeu_zkp-zlvovpzfx1_kd">
        <w:r>
          <w:rPr>
            <w:rFonts w:ascii="Calibri" w:cs="Calibri" w:eastAsia="Calibri" w:hAnsi="Calibri"/>
            <w:color w:val="1F4E5F"/>
            <w:sz w:val="22"/>
            <w:szCs w:val="22"/>
            <w:u w:val="single"/>
          </w:rPr>
          <w:t xml:space="preserve">[3]</w:t>
        </w:r>
      </w:hyperlink>
    </w:p>
    <w:p>
      <w:pPr>
        <w:spacing w:after="120" w:before="200"/>
      </w:pPr>
      <w:r>
        <w:rPr>
          <w:rFonts w:ascii="Calibri" w:cs="Calibri" w:eastAsia="Calibri" w:hAnsi="Calibri"/>
          <w:b/>
          <w:bCs/>
          <w:i/>
          <w:iCs/>
          <w:sz w:val="22"/>
          <w:szCs w:val="22"/>
        </w:rPr>
        <w:t xml:space="preserve">3. Main legal indicators</w:t>
      </w:r>
    </w:p>
    <w:p>
      <w:pPr>
        <w:pStyle w:val="ListParagraph"/>
        <w:numPr>
          <w:ilvl w:val="0"/>
          <w:numId w:val="1"/>
        </w:numPr>
        <w:spacing w:after="100"/>
      </w:pPr>
      <w:r>
        <w:rPr>
          <w:rFonts w:ascii="Calibri" w:cs="Calibri" w:eastAsia="Calibri" w:hAnsi="Calibri"/>
          <w:b/>
          <w:bCs/>
          <w:sz w:val="22"/>
          <w:szCs w:val="22"/>
        </w:rPr>
        <w:t xml:space="preserve">Relevant market definition: </w:t>
      </w:r>
      <w:r>
        <w:rPr>
          <w:rFonts w:ascii="Calibri" w:cs="Calibri" w:eastAsia="Calibri" w:hAnsi="Calibri"/>
          <w:b w:val="false"/>
          <w:bCs w:val="false"/>
          <w:i w:val="false"/>
          <w:iCs w:val="false"/>
          <w:sz w:val="22"/>
          <w:szCs w:val="22"/>
        </w:rPr>
        <w:t xml:space="preserve">Product and geographic market boundaries remain a basic starting point for identifying competitive constraints.</w:t>
      </w:r>
      <w:hyperlink w:history="1" r:id="rId3j9mjzyqeedmm0aocypsw">
        <w:r>
          <w:rPr>
            <w:rFonts w:ascii="Calibri" w:cs="Calibri" w:eastAsia="Calibri" w:hAnsi="Calibri"/>
            <w:color w:val="1F4E5F"/>
            <w:sz w:val="22"/>
            <w:szCs w:val="22"/>
            <w:u w:val="single"/>
          </w:rPr>
          <w:t xml:space="preserve">[3]</w:t>
        </w:r>
      </w:hyperlink>
    </w:p>
    <w:p>
      <w:pPr>
        <w:pStyle w:val="ListParagraph"/>
        <w:numPr>
          <w:ilvl w:val="0"/>
          <w:numId w:val="1"/>
        </w:numPr>
        <w:spacing w:after="100"/>
      </w:pPr>
      <w:r>
        <w:rPr>
          <w:rFonts w:ascii="Calibri" w:cs="Calibri" w:eastAsia="Calibri" w:hAnsi="Calibri"/>
          <w:b/>
          <w:bCs/>
          <w:sz w:val="22"/>
          <w:szCs w:val="22"/>
        </w:rPr>
        <w:t xml:space="preserve">Substantial impediment test: </w:t>
      </w:r>
      <w:r>
        <w:rPr>
          <w:rFonts w:ascii="Calibri" w:cs="Calibri" w:eastAsia="Calibri" w:hAnsi="Calibri"/>
          <w:b w:val="false"/>
          <w:bCs w:val="false"/>
          <w:i w:val="false"/>
          <w:iCs w:val="false"/>
          <w:sz w:val="22"/>
          <w:szCs w:val="22"/>
        </w:rPr>
        <w:t xml:space="preserve">EU merger control asks whether the transaction would significantly impede effective competition, including through dominance or other theories of harm.</w:t>
      </w:r>
      <w:hyperlink w:history="1" r:id="rIdnmontsa4osknbm5p17qwf">
        <w:r>
          <w:rPr>
            <w:rFonts w:ascii="Calibri" w:cs="Calibri" w:eastAsia="Calibri" w:hAnsi="Calibri"/>
            <w:color w:val="1F4E5F"/>
            <w:sz w:val="22"/>
            <w:szCs w:val="22"/>
            <w:u w:val="single"/>
          </w:rPr>
          <w:t xml:space="preserve">[1]</w:t>
        </w:r>
      </w:hyperlink>
      <w:hyperlink w:history="1" r:id="rIdttjjsvsifjr-zzcrqasb5">
        <w:r>
          <w:rPr>
            <w:rFonts w:ascii="Calibri" w:cs="Calibri" w:eastAsia="Calibri" w:hAnsi="Calibri"/>
            <w:color w:val="1F4E5F"/>
            <w:sz w:val="22"/>
            <w:szCs w:val="22"/>
            <w:u w:val="single"/>
          </w:rPr>
          <w:t xml:space="preserve">[7]</w:t>
        </w:r>
      </w:hyperlink>
      <w:hyperlink w:history="1" r:id="rId4vwj7i2ex2bleftu9f8tw">
        <w:r>
          <w:rPr>
            <w:rFonts w:ascii="Calibri" w:cs="Calibri" w:eastAsia="Calibri" w:hAnsi="Calibri"/>
            <w:color w:val="1F4E5F"/>
            <w:sz w:val="22"/>
            <w:szCs w:val="22"/>
            <w:u w:val="single"/>
          </w:rPr>
          <w:t xml:space="preserve">[8]</w:t>
        </w:r>
      </w:hyperlink>
    </w:p>
    <w:p>
      <w:pPr>
        <w:pStyle w:val="ListParagraph"/>
        <w:numPr>
          <w:ilvl w:val="0"/>
          <w:numId w:val="1"/>
        </w:numPr>
        <w:spacing w:after="100"/>
      </w:pPr>
      <w:r>
        <w:rPr>
          <w:rFonts w:ascii="Calibri" w:cs="Calibri" w:eastAsia="Calibri" w:hAnsi="Calibri"/>
          <w:b/>
          <w:bCs/>
          <w:sz w:val="22"/>
          <w:szCs w:val="22"/>
        </w:rPr>
        <w:t xml:space="preserve">Presumption tools and evidentiary thresholds: </w:t>
      </w:r>
      <w:r>
        <w:rPr>
          <w:rFonts w:ascii="Calibri" w:cs="Calibri" w:eastAsia="Calibri" w:hAnsi="Calibri"/>
          <w:b w:val="false"/>
          <w:bCs w:val="false"/>
          <w:i w:val="false"/>
          <w:iCs w:val="false"/>
          <w:sz w:val="22"/>
          <w:szCs w:val="22"/>
        </w:rPr>
        <w:t xml:space="preserve">Thresholds and simplified-procedure screens help identify transactions that are unlikely to raise concerns, but they do not replace the substantive assessment.</w:t>
      </w:r>
      <w:hyperlink w:history="1" r:id="rIdk4n6b2a36rrfmzm3avdcu">
        <w:r>
          <w:rPr>
            <w:rFonts w:ascii="Calibri" w:cs="Calibri" w:eastAsia="Calibri" w:hAnsi="Calibri"/>
            <w:color w:val="1F4E5F"/>
            <w:sz w:val="22"/>
            <w:szCs w:val="22"/>
            <w:u w:val="single"/>
          </w:rPr>
          <w:t xml:space="preserve">[9]</w:t>
        </w:r>
      </w:hyperlink>
      <w:hyperlink w:history="1" r:id="rIdfy0dsvg1pebvvtglghib6">
        <w:r>
          <w:rPr>
            <w:rFonts w:ascii="Calibri" w:cs="Calibri" w:eastAsia="Calibri" w:hAnsi="Calibri"/>
            <w:color w:val="1F4E5F"/>
            <w:sz w:val="22"/>
            <w:szCs w:val="22"/>
            <w:u w:val="single"/>
          </w:rPr>
          <w:t xml:space="preserve">[10]</w:t>
        </w:r>
      </w:hyperlink>
    </w:p>
    <w:p>
      <w:pPr>
        <w:pStyle w:val="ListParagraph"/>
        <w:numPr>
          <w:ilvl w:val="0"/>
          <w:numId w:val="1"/>
        </w:numPr>
        <w:spacing w:after="100"/>
      </w:pPr>
      <w:r>
        <w:rPr>
          <w:rFonts w:ascii="Calibri" w:cs="Calibri" w:eastAsia="Calibri" w:hAnsi="Calibri"/>
          <w:b/>
          <w:bCs/>
          <w:sz w:val="22"/>
          <w:szCs w:val="22"/>
        </w:rPr>
        <w:t xml:space="preserve">Forward-looking evidence: </w:t>
      </w:r>
      <w:r>
        <w:rPr>
          <w:rFonts w:ascii="Calibri" w:cs="Calibri" w:eastAsia="Calibri" w:hAnsi="Calibri"/>
          <w:b w:val="false"/>
          <w:bCs w:val="false"/>
          <w:i w:val="false"/>
          <w:iCs w:val="false"/>
          <w:sz w:val="22"/>
          <w:szCs w:val="22"/>
        </w:rPr>
        <w:t xml:space="preserve">Internal documents, strategic plans, pricing data, customer testimony, and ordinary-course materials are typically important because merger review is predictive rather than retrospective.</w:t>
      </w:r>
      <w:hyperlink w:history="1" r:id="rIda4ullowm_dpvzgte9hi2o">
        <w:r>
          <w:rPr>
            <w:rFonts w:ascii="Calibri" w:cs="Calibri" w:eastAsia="Calibri" w:hAnsi="Calibri"/>
            <w:color w:val="1F4E5F"/>
            <w:sz w:val="22"/>
            <w:szCs w:val="22"/>
            <w:u w:val="single"/>
          </w:rPr>
          <w:t xml:space="preserve">[2]</w:t>
        </w:r>
      </w:hyperlink>
      <w:hyperlink w:history="1" r:id="rId9xtkvfadwvmy7niwgo1ti">
        <w:r>
          <w:rPr>
            <w:rFonts w:ascii="Calibri" w:cs="Calibri" w:eastAsia="Calibri" w:hAnsi="Calibri"/>
            <w:color w:val="1F4E5F"/>
            <w:sz w:val="22"/>
            <w:szCs w:val="22"/>
            <w:u w:val="single"/>
          </w:rPr>
          <w:t xml:space="preserve">[4]</w:t>
        </w:r>
      </w:hyperlink>
      <w:hyperlink w:history="1" r:id="rIdqckasvszi6vyxklmzng7b">
        <w:r>
          <w:rPr>
            <w:rFonts w:ascii="Calibri" w:cs="Calibri" w:eastAsia="Calibri" w:hAnsi="Calibri"/>
            <w:color w:val="1F4E5F"/>
            <w:sz w:val="22"/>
            <w:szCs w:val="22"/>
            <w:u w:val="single"/>
          </w:rPr>
          <w:t xml:space="preserve">[5]</w:t>
        </w:r>
      </w:hyperlink>
    </w:p>
    <w:p>
      <w:pPr>
        <w:pStyle w:val="ListParagraph"/>
        <w:numPr>
          <w:ilvl w:val="0"/>
          <w:numId w:val="1"/>
        </w:numPr>
        <w:spacing w:after="100"/>
      </w:pPr>
      <w:r>
        <w:rPr>
          <w:rFonts w:ascii="Calibri" w:cs="Calibri" w:eastAsia="Calibri" w:hAnsi="Calibri"/>
          <w:b/>
          <w:bCs/>
          <w:sz w:val="22"/>
          <w:szCs w:val="22"/>
        </w:rPr>
        <w:t xml:space="preserve">Efficiencies and substantiation: </w:t>
      </w:r>
      <w:r>
        <w:rPr>
          <w:rFonts w:ascii="Calibri" w:cs="Calibri" w:eastAsia="Calibri" w:hAnsi="Calibri"/>
          <w:b w:val="false"/>
          <w:bCs w:val="false"/>
          <w:i w:val="false"/>
          <w:iCs w:val="false"/>
          <w:sz w:val="22"/>
          <w:szCs w:val="22"/>
        </w:rPr>
        <w:t xml:space="preserve">Efficiency claims can matter if they are merger-specific and capable of offsetting harm, but they must be supported by evidence.</w:t>
      </w:r>
      <w:hyperlink w:history="1" r:id="rIdao2ggy8za7o2q1caffhz7">
        <w:r>
          <w:rPr>
            <w:rFonts w:ascii="Calibri" w:cs="Calibri" w:eastAsia="Calibri" w:hAnsi="Calibri"/>
            <w:color w:val="1F4E5F"/>
            <w:sz w:val="22"/>
            <w:szCs w:val="22"/>
            <w:u w:val="single"/>
          </w:rPr>
          <w:t xml:space="preserve">[4]</w:t>
        </w:r>
      </w:hyperlink>
      <w:hyperlink w:history="1" r:id="rIdgl6dzzvmluclbbfqbueqe">
        <w:r>
          <w:rPr>
            <w:rFonts w:ascii="Calibri" w:cs="Calibri" w:eastAsia="Calibri" w:hAnsi="Calibri"/>
            <w:color w:val="1F4E5F"/>
            <w:sz w:val="22"/>
            <w:szCs w:val="22"/>
            <w:u w:val="single"/>
          </w:rPr>
          <w:t xml:space="preserve">[5]</w:t>
        </w:r>
      </w:hyperlink>
    </w:p>
    <w:p>
      <w:pPr>
        <w:spacing w:after="120" w:before="200"/>
      </w:pPr>
      <w:r>
        <w:rPr>
          <w:rFonts w:ascii="Calibri" w:cs="Calibri" w:eastAsia="Calibri" w:hAnsi="Calibri"/>
          <w:b/>
          <w:bCs/>
          <w:i/>
          <w:iCs/>
          <w:sz w:val="22"/>
          <w:szCs w:val="22"/>
        </w:rPr>
        <w:t xml:space="preserve">4. Special considerations in financial markets</w:t>
      </w:r>
    </w:p>
    <w:p>
      <w:pPr>
        <w:pStyle w:val="ListParagraph"/>
        <w:numPr>
          <w:ilvl w:val="0"/>
          <w:numId w:val="1"/>
        </w:numPr>
        <w:spacing w:after="100"/>
      </w:pPr>
      <w:r>
        <w:rPr>
          <w:rFonts w:ascii="Calibri" w:cs="Calibri" w:eastAsia="Calibri" w:hAnsi="Calibri"/>
          <w:b/>
          <w:bCs/>
          <w:sz w:val="22"/>
          <w:szCs w:val="22"/>
        </w:rPr>
        <w:t xml:space="preserve">Regulatory overlap: </w:t>
      </w:r>
      <w:r>
        <w:rPr>
          <w:rFonts w:ascii="Calibri" w:cs="Calibri" w:eastAsia="Calibri" w:hAnsi="Calibri"/>
          <w:b w:val="false"/>
          <w:bCs w:val="false"/>
          <w:i w:val="false"/>
          <w:iCs w:val="false"/>
          <w:sz w:val="22"/>
          <w:szCs w:val="22"/>
        </w:rPr>
        <w:t xml:space="preserve">Financial-sector mergers may raise additional issues from prudential supervision, but competition authorities still focus on market power, rivalry, and consumer harm.</w:t>
      </w:r>
      <w:hyperlink w:history="1" r:id="rId_mmgrv-kziejybnhg7vvh">
        <w:r>
          <w:rPr>
            <w:rFonts w:ascii="Calibri" w:cs="Calibri" w:eastAsia="Calibri" w:hAnsi="Calibri"/>
            <w:color w:val="1F4E5F"/>
            <w:sz w:val="22"/>
            <w:szCs w:val="22"/>
            <w:u w:val="single"/>
          </w:rPr>
          <w:t xml:space="preserve">[7]</w:t>
        </w:r>
      </w:hyperlink>
      <w:hyperlink w:history="1" r:id="rId_rjuxlmkxuxriuj8gncfy">
        <w:r>
          <w:rPr>
            <w:rFonts w:ascii="Calibri" w:cs="Calibri" w:eastAsia="Calibri" w:hAnsi="Calibri"/>
            <w:color w:val="1F4E5F"/>
            <w:sz w:val="22"/>
            <w:szCs w:val="22"/>
            <w:u w:val="single"/>
          </w:rPr>
          <w:t xml:space="preserve">[8]</w:t>
        </w:r>
      </w:hyperlink>
    </w:p>
    <w:p>
      <w:pPr>
        <w:pStyle w:val="ListParagraph"/>
        <w:numPr>
          <w:ilvl w:val="0"/>
          <w:numId w:val="1"/>
        </w:numPr>
        <w:spacing w:after="100"/>
      </w:pPr>
      <w:r>
        <w:rPr>
          <w:rFonts w:ascii="Calibri" w:cs="Calibri" w:eastAsia="Calibri" w:hAnsi="Calibri"/>
          <w:b/>
          <w:bCs/>
          <w:sz w:val="22"/>
          <w:szCs w:val="22"/>
        </w:rPr>
        <w:t xml:space="preserve">Funding and switching frictions: </w:t>
      </w:r>
      <w:r>
        <w:rPr>
          <w:rFonts w:ascii="Calibri" w:cs="Calibri" w:eastAsia="Calibri" w:hAnsi="Calibri"/>
          <w:b w:val="false"/>
          <w:bCs w:val="false"/>
          <w:i w:val="false"/>
          <w:iCs w:val="false"/>
          <w:sz w:val="22"/>
          <w:szCs w:val="22"/>
        </w:rPr>
        <w:t xml:space="preserve">In banking, payments, and trading services, switching costs, multi-homing, and customer inertia can be especially important indicators of competitive pressure.</w:t>
      </w:r>
      <w:hyperlink w:history="1" r:id="rId0cgp0petkkizlz-airgjp">
        <w:r>
          <w:rPr>
            <w:rFonts w:ascii="Calibri" w:cs="Calibri" w:eastAsia="Calibri" w:hAnsi="Calibri"/>
            <w:color w:val="1F4E5F"/>
            <w:sz w:val="22"/>
            <w:szCs w:val="22"/>
            <w:u w:val="single"/>
          </w:rPr>
          <w:t xml:space="preserve">[4]</w:t>
        </w:r>
      </w:hyperlink>
      <w:hyperlink w:history="1" r:id="rIddvac0hft-suakri90osim">
        <w:r>
          <w:rPr>
            <w:rFonts w:ascii="Calibri" w:cs="Calibri" w:eastAsia="Calibri" w:hAnsi="Calibri"/>
            <w:color w:val="1F4E5F"/>
            <w:sz w:val="22"/>
            <w:szCs w:val="22"/>
            <w:u w:val="single"/>
          </w:rPr>
          <w:t xml:space="preserve">[6]</w:t>
        </w:r>
      </w:hyperlink>
    </w:p>
    <w:p>
      <w:pPr>
        <w:pStyle w:val="ListParagraph"/>
        <w:numPr>
          <w:ilvl w:val="0"/>
          <w:numId w:val="1"/>
        </w:numPr>
        <w:spacing w:after="100"/>
      </w:pPr>
      <w:r>
        <w:rPr>
          <w:rFonts w:ascii="Calibri" w:cs="Calibri" w:eastAsia="Calibri" w:hAnsi="Calibri"/>
          <w:b/>
          <w:bCs/>
          <w:sz w:val="22"/>
          <w:szCs w:val="22"/>
        </w:rPr>
        <w:t xml:space="preserve">Market infrastructure: </w:t>
      </w:r>
      <w:r>
        <w:rPr>
          <w:rFonts w:ascii="Calibri" w:cs="Calibri" w:eastAsia="Calibri" w:hAnsi="Calibri"/>
          <w:b w:val="false"/>
          <w:bCs w:val="false"/>
          <w:i w:val="false"/>
          <w:iCs w:val="false"/>
          <w:sz w:val="22"/>
          <w:szCs w:val="22"/>
        </w:rPr>
        <w:t xml:space="preserve">Control over trading venues, clearing, settlement, or critical data infrastructure may matter more than simple turnover or headline shares.</w:t>
      </w:r>
      <w:hyperlink w:history="1" r:id="rIdhw6-zcpondm1dvglyw5h0">
        <w:r>
          <w:rPr>
            <w:rFonts w:ascii="Calibri" w:cs="Calibri" w:eastAsia="Calibri" w:hAnsi="Calibri"/>
            <w:color w:val="1F4E5F"/>
            <w:sz w:val="22"/>
            <w:szCs w:val="22"/>
            <w:u w:val="single"/>
          </w:rPr>
          <w:t xml:space="preserve">[4]</w:t>
        </w:r>
      </w:hyperlink>
      <w:hyperlink w:history="1" r:id="rIdatyr8f7yk3sun9a6h3a-e">
        <w:r>
          <w:rPr>
            <w:rFonts w:ascii="Calibri" w:cs="Calibri" w:eastAsia="Calibri" w:hAnsi="Calibri"/>
            <w:color w:val="1F4E5F"/>
            <w:sz w:val="22"/>
            <w:szCs w:val="22"/>
            <w:u w:val="single"/>
          </w:rPr>
          <w:t xml:space="preserve">[6]</w:t>
        </w:r>
      </w:hyperlink>
    </w:p>
    <w:p>
      <w:pPr>
        <w:pStyle w:val="ListParagraph"/>
        <w:numPr>
          <w:ilvl w:val="0"/>
          <w:numId w:val="1"/>
        </w:numPr>
        <w:spacing w:after="100"/>
      </w:pPr>
      <w:r>
        <w:rPr>
          <w:rFonts w:ascii="Calibri" w:cs="Calibri" w:eastAsia="Calibri" w:hAnsi="Calibri"/>
          <w:b/>
          <w:bCs/>
          <w:sz w:val="22"/>
          <w:szCs w:val="22"/>
        </w:rPr>
        <w:t xml:space="preserve">Systemic stability vs competition: </w:t>
      </w:r>
      <w:r>
        <w:rPr>
          <w:rFonts w:ascii="Calibri" w:cs="Calibri" w:eastAsia="Calibri" w:hAnsi="Calibri"/>
          <w:b w:val="false"/>
          <w:bCs w:val="false"/>
          <w:i w:val="false"/>
          <w:iCs w:val="false"/>
          <w:sz w:val="22"/>
          <w:szCs w:val="22"/>
        </w:rPr>
        <w:t xml:space="preserve">Financial-merger analysis often has to separate stability concerns from competition effects, even though they can interact in practice.</w:t>
      </w:r>
      <w:hyperlink w:history="1" r:id="rIdtrohqi6mcij3jjpnfgpwm">
        <w:r>
          <w:rPr>
            <w:rFonts w:ascii="Calibri" w:cs="Calibri" w:eastAsia="Calibri" w:hAnsi="Calibri"/>
            <w:color w:val="1F4E5F"/>
            <w:sz w:val="22"/>
            <w:szCs w:val="22"/>
            <w:u w:val="single"/>
          </w:rPr>
          <w:t xml:space="preserve">[7]</w:t>
        </w:r>
      </w:hyperlink>
      <w:hyperlink w:history="1" r:id="rIdpkys-0ofx0mkj5b9ivvbi">
        <w:r>
          <w:rPr>
            <w:rFonts w:ascii="Calibri" w:cs="Calibri" w:eastAsia="Calibri" w:hAnsi="Calibri"/>
            <w:color w:val="1F4E5F"/>
            <w:sz w:val="22"/>
            <w:szCs w:val="22"/>
            <w:u w:val="single"/>
          </w:rPr>
          <w:t xml:space="preserve">[8]</w:t>
        </w:r>
      </w:hyperlink>
    </w:p>
    <w:p>
      <w:pPr>
        <w:spacing w:after="120" w:before="200"/>
      </w:pPr>
      <w:r>
        <w:rPr>
          <w:rFonts w:ascii="Calibri" w:cs="Calibri" w:eastAsia="Calibri" w:hAnsi="Calibri"/>
          <w:b/>
          <w:bCs/>
          <w:i/>
          <w:iCs/>
          <w:sz w:val="22"/>
          <w:szCs w:val="22"/>
        </w:rPr>
        <w:t xml:space="preserve">5. Useful legal and policy anchors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Article 2 EUMR — substantive EU merger assessment framework.</w:t>
      </w:r>
      <w:hyperlink w:history="1" r:id="rIdpdqbj8du_jy6whlz4ysgr">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Article 22 EUMR — referral mechanism.</w:t>
      </w:r>
      <w:hyperlink w:history="1" r:id="rIdqof-vcqrabzghkutu1rlx">
        <w:r>
          <w:rPr>
            <w:rFonts w:ascii="Calibri" w:cs="Calibri" w:eastAsia="Calibri" w:hAnsi="Calibri"/>
            <w:color w:val="1F4E5F"/>
            <w:sz w:val="22"/>
            <w:szCs w:val="22"/>
            <w:u w:val="single"/>
          </w:rPr>
          <w:t xml:space="preserve">[12]</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Horizontal Merger Guidelines — key EU guidance on competitive effects.</w:t>
      </w:r>
      <w:hyperlink w:history="1" r:id="rIdgvh7yglj3cl-d3uddtoqw">
        <w:r>
          <w:rPr>
            <w:rFonts w:ascii="Calibri" w:cs="Calibri" w:eastAsia="Calibri" w:hAnsi="Calibri"/>
            <w:color w:val="1F4E5F"/>
            <w:sz w:val="22"/>
            <w:szCs w:val="22"/>
            <w:u w:val="single"/>
          </w:rPr>
          <w:t xml:space="preserve">[1]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Merger Guidelines review page — current EU reform work, including market-power indicators.</w:t>
      </w:r>
      <w:hyperlink w:history="1" r:id="rIdeuhkjbx79qd1k2u1k9uuv">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OECD Competition Committee merger materials — comparative policy discussion and roundtable materials on merger assessment.</w:t>
      </w:r>
      <w:hyperlink w:history="1" r:id="rId4purt1akge42zlrvscm9o">
        <w:r>
          <w:rPr>
            <w:rFonts w:ascii="Calibri" w:cs="Calibri" w:eastAsia="Calibri" w:hAnsi="Calibri"/>
            <w:color w:val="1F4E5F"/>
            <w:sz w:val="22"/>
            <w:szCs w:val="22"/>
            <w:u w:val="single"/>
          </w:rPr>
          <w:t xml:space="preserve">[14]</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EU Merger Control overview — Commission overview of the assessment framework.</w:t>
      </w:r>
      <w:hyperlink w:history="1" r:id="rIdgx6qo_yprmctix7-hosmj">
        <w:r>
          <w:rPr>
            <w:rFonts w:ascii="Calibri" w:cs="Calibri" w:eastAsia="Calibri" w:hAnsi="Calibri"/>
            <w:color w:val="1F4E5F"/>
            <w:sz w:val="22"/>
            <w:szCs w:val="22"/>
            <w:u w:val="single"/>
          </w:rPr>
          <w:t xml:space="preserve">[7]</w:t>
        </w:r>
      </w:hyperlink>
      <w:hyperlink w:history="1" r:id="rIdf0nnnxvnlvt27k8eek_vd">
        <w:r>
          <w:rPr>
            <w:rFonts w:ascii="Calibri" w:cs="Calibri" w:eastAsia="Calibri" w:hAnsi="Calibri"/>
            <w:color w:val="1F4E5F"/>
            <w:sz w:val="22"/>
            <w:szCs w:val="22"/>
            <w:u w:val="single"/>
          </w:rPr>
          <w:t xml:space="preserve">[15]</w:t>
        </w:r>
      </w:hyperlink>
    </w:p>
    <w:p>
      <w:pPr>
        <w:spacing w:after="120" w:before="200"/>
      </w:pPr>
      <w:r>
        <w:rPr>
          <w:rFonts w:ascii="Calibri" w:cs="Calibri" w:eastAsia="Calibri" w:hAnsi="Calibri"/>
          <w:b/>
          <w:bCs/>
          <w:i/>
          <w:iCs/>
          <w:sz w:val="22"/>
          <w:szCs w:val="22"/>
        </w:rPr>
        <w:t xml:space="preserve">Example Case:</w:t>
      </w:r>
    </w:p>
    <w:p>
      <w:pPr>
        <w:spacing w:after="120"/>
      </w:pPr>
      <w:r>
        <w:rPr>
          <w:rFonts w:ascii="Calibri" w:cs="Calibri" w:eastAsia="Calibri" w:hAnsi="Calibri"/>
          <w:i w:val="false"/>
          <w:iCs w:val="false"/>
          <w:sz w:val="22"/>
          <w:szCs w:val="22"/>
        </w:rPr>
        <w:t xml:space="preserve">Here are relevant cases worth your time based on your search query.</w:t>
      </w:r>
    </w:p>
    <w:p>
      <w:pPr>
        <w:spacing w:after="160"/>
      </w:pPr>
      <w:r>
        <w:rPr>
          <w:rFonts w:ascii="Calibri" w:cs="Calibri" w:eastAsia="Calibri" w:hAnsi="Calibri"/>
          <w:b/>
          <w:bCs/>
          <w:i w:val="false"/>
          <w:iCs w:val="false"/>
          <w:sz w:val="22"/>
          <w:szCs w:val="22"/>
        </w:rPr>
        <w:t xml:space="preserve">COMP/M.2416 – Tetra Laval/Sidel</w:t>
      </w:r>
    </w:p>
    <w:p>
      <w:pPr>
        <w:spacing w:after="120" w:before="200"/>
      </w:pPr>
      <w:r>
        <w:rPr>
          <w:rFonts w:ascii="Calibri" w:cs="Calibri" w:eastAsia="Calibri" w:hAnsi="Calibri"/>
          <w:b/>
          <w:bCs/>
          <w:i/>
          <w:iCs/>
          <w:sz w:val="22"/>
          <w:szCs w:val="22"/>
        </w:rPr>
        <w:t xml:space="preserve">Case Background</w:t>
      </w:r>
    </w:p>
    <w:p>
      <w:pPr>
        <w:spacing w:after="160"/>
      </w:pPr>
      <w:r>
        <w:rPr>
          <w:rFonts w:ascii="Calibri" w:cs="Calibri" w:eastAsia="Calibri" w:hAnsi="Calibri"/>
          <w:b w:val="false"/>
          <w:bCs w:val="false"/>
          <w:i w:val="false"/>
          <w:iCs w:val="false"/>
          <w:sz w:val="22"/>
          <w:szCs w:val="22"/>
        </w:rPr>
        <w:t xml:space="preserve">The allegation made in this case is that the proposed concentration raised serious doubts about its compatibility with the common market and the EEA Agreement.</w:t>
      </w:r>
      <w:hyperlink w:history="1" r:id="rIdnxjh2drj3xp85cwjpglwr">
        <w:r>
          <w:rPr>
            <w:rFonts w:ascii="Calibri" w:cs="Calibri" w:eastAsia="Calibri" w:hAnsi="Calibri"/>
            <w:color w:val="1F4E5F"/>
            <w:sz w:val="22"/>
            <w:szCs w:val="22"/>
            <w:u w:val="single"/>
          </w:rPr>
          <w:t xml:space="preserve">[16]</w:t>
        </w:r>
      </w:hyperlink>
    </w:p>
    <w:p>
      <w:pPr>
        <w:spacing w:after="160"/>
      </w:pPr>
      <w:r>
        <w:rPr>
          <w:rFonts w:ascii="Calibri" w:cs="Calibri" w:eastAsia="Calibri" w:hAnsi="Calibri"/>
          <w:b w:val="false"/>
          <w:bCs w:val="false"/>
          <w:i w:val="false"/>
          <w:iCs w:val="false"/>
          <w:sz w:val="22"/>
          <w:szCs w:val="22"/>
        </w:rPr>
        <w:t xml:space="preserve">The allegation is directed against Tetra Laval S.A., which intended to acquire control of the French company Sidel S.A.</w:t>
      </w:r>
      <w:hyperlink w:history="1" r:id="rId-cczipdsouw2ccu8ne6kj">
        <w:r>
          <w:rPr>
            <w:rFonts w:ascii="Calibri" w:cs="Calibri" w:eastAsia="Calibri" w:hAnsi="Calibri"/>
            <w:color w:val="1F4E5F"/>
            <w:sz w:val="22"/>
            <w:szCs w:val="22"/>
            <w:u w:val="single"/>
          </w:rPr>
          <w:t xml:space="preserve">[16]</w:t>
        </w:r>
      </w:hyperlink>
    </w:p>
    <w:p>
      <w:pPr>
        <w:spacing w:after="160"/>
      </w:pPr>
      <w:r>
        <w:rPr>
          <w:rFonts w:ascii="Calibri" w:cs="Calibri" w:eastAsia="Calibri" w:hAnsi="Calibri"/>
          <w:b w:val="false"/>
          <w:bCs w:val="false"/>
          <w:i w:val="false"/>
          <w:iCs w:val="false"/>
          <w:sz w:val="22"/>
          <w:szCs w:val="22"/>
        </w:rPr>
        <w:t xml:space="preserve">The year of case initiation was 2001, specifically on 5 July 2001 when the Commission decided to initiate proceedings.</w:t>
      </w:r>
      <w:hyperlink w:history="1" r:id="rIdd6nxosacpoj3eaoydxhpl">
        <w:r>
          <w:rPr>
            <w:rFonts w:ascii="Calibri" w:cs="Calibri" w:eastAsia="Calibri" w:hAnsi="Calibri"/>
            <w:color w:val="1F4E5F"/>
            <w:sz w:val="22"/>
            <w:szCs w:val="22"/>
            <w:u w:val="single"/>
          </w:rPr>
          <w:t xml:space="preserve">[16]</w:t>
        </w:r>
      </w:hyperlink>
    </w:p>
    <w:p>
      <w:pPr>
        <w:spacing w:after="160"/>
      </w:pPr>
      <w:r>
        <w:rPr>
          <w:rFonts w:ascii="Calibri" w:cs="Calibri" w:eastAsia="Calibri" w:hAnsi="Calibri"/>
          <w:b w:val="false"/>
          <w:bCs w:val="false"/>
          <w:i w:val="false"/>
          <w:iCs w:val="false"/>
          <w:sz w:val="22"/>
          <w:szCs w:val="22"/>
        </w:rPr>
        <w:t xml:space="preserve">The violation pertains to the potential creation of a dominant position in the market for packaging equipment, which could harm competition. This was conducted through a public bid announced by Tetra on 27 March 2001, which aimed to acquire Sidel, a leading company in blow-moulding machinery.</w:t>
      </w:r>
      <w:hyperlink w:history="1" r:id="rIdazechicmciziqbqxeiqgi">
        <w:r>
          <w:rPr>
            <w:rFonts w:ascii="Calibri" w:cs="Calibri" w:eastAsia="Calibri" w:hAnsi="Calibri"/>
            <w:color w:val="1F4E5F"/>
            <w:sz w:val="22"/>
            <w:szCs w:val="22"/>
            <w:u w:val="single"/>
          </w:rPr>
          <w:t xml:space="preserve">[16]</w:t>
        </w:r>
      </w:hyperlink>
    </w:p>
    <w:p>
      <w:pPr>
        <w:spacing w:after="160"/>
      </w:pPr>
      <w:r>
        <w:rPr>
          <w:rFonts w:ascii="Calibri" w:cs="Calibri" w:eastAsia="Calibri" w:hAnsi="Calibri"/>
          <w:b w:val="false"/>
          <w:bCs w:val="false"/>
          <w:i w:val="false"/>
          <w:iCs w:val="false"/>
          <w:sz w:val="22"/>
          <w:szCs w:val="22"/>
        </w:rPr>
        <w:t xml:space="preserve">The Commission's examination concluded that the merger could lead to a strengthening of Tetra's dominant position in both carton and PET packaging equipment, raising barriers to entry for other competitors.</w:t>
      </w:r>
      <w:hyperlink w:history="1" r:id="rIdioniwva59kapw5z3gcu-u">
        <w:r>
          <w:rPr>
            <w:rFonts w:ascii="Calibri" w:cs="Calibri" w:eastAsia="Calibri" w:hAnsi="Calibri"/>
            <w:color w:val="1F4E5F"/>
            <w:sz w:val="22"/>
            <w:szCs w:val="22"/>
            <w:u w:val="single"/>
          </w:rPr>
          <w:t xml:space="preserve">[16]</w:t>
        </w:r>
      </w:hyperlink>
    </w:p>
    <w:p>
      <w:pPr>
        <w:spacing w:after="120" w:before="200"/>
      </w:pPr>
      <w:r>
        <w:rPr>
          <w:rFonts w:ascii="Calibri" w:cs="Calibri" w:eastAsia="Calibri" w:hAnsi="Calibri"/>
          <w:b/>
          <w:bCs/>
          <w:i/>
          <w:iCs/>
          <w:sz w:val="22"/>
          <w:szCs w:val="22"/>
        </w:rPr>
        <w:t xml:space="preserve">Case Progression</w:t>
      </w:r>
    </w:p>
    <w:p>
      <w:pPr>
        <w:pStyle w:val="ListParagraph"/>
        <w:numPr>
          <w:ilvl w:val="0"/>
          <w:numId w:val="1"/>
        </w:numPr>
        <w:spacing w:after="100"/>
      </w:pPr>
      <w:r>
        <w:rPr>
          <w:rFonts w:ascii="Calibri" w:cs="Calibri" w:eastAsia="Calibri" w:hAnsi="Calibri"/>
          <w:b/>
          <w:bCs/>
          <w:sz w:val="22"/>
          <w:szCs w:val="22"/>
        </w:rPr>
        <w:t xml:space="preserve">Case Initiation: </w:t>
      </w:r>
      <w:r>
        <w:rPr>
          <w:rFonts w:ascii="Calibri" w:cs="Calibri" w:eastAsia="Calibri" w:hAnsi="Calibri"/>
          <w:b w:val="false"/>
          <w:bCs w:val="false"/>
          <w:i w:val="false"/>
          <w:iCs w:val="false"/>
          <w:sz w:val="22"/>
          <w:szCs w:val="22"/>
        </w:rPr>
        <w:t xml:space="preserve">The case began with a notification on 18 May 2001 regarding Tetra Laval S.A.'s proposed acquisition of Sidel S.A. This was initiated under Article 4 of the Merger Regulation, raising concerns about compatibility with the common market.</w:t>
      </w:r>
      <w:hyperlink w:history="1" r:id="rIdckeumsxsvnvm3gpk6zvnt">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bCs/>
          <w:sz w:val="22"/>
          <w:szCs w:val="22"/>
        </w:rPr>
        <w:t xml:space="preserve">Preliminary Investigation: </w:t>
      </w:r>
      <w:r>
        <w:rPr>
          <w:rFonts w:ascii="Calibri" w:cs="Calibri" w:eastAsia="Calibri" w:hAnsi="Calibri"/>
          <w:b w:val="false"/>
          <w:bCs w:val="false"/>
          <w:i w:val="false"/>
          <w:iCs w:val="false"/>
          <w:sz w:val="22"/>
          <w:szCs w:val="22"/>
        </w:rPr>
        <w:t xml:space="preserve">The Commission examined the notification and identified serious doubts about the merger's compatibility, leading to the initiation of proceedings on 5 July 2001. Evidence gathered included market shares and competitive positions in the packaging sector.</w:t>
      </w:r>
      <w:hyperlink w:history="1" r:id="rIddsh7nnyxaflktpril6l45">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bCs/>
          <w:sz w:val="22"/>
          <w:szCs w:val="22"/>
        </w:rPr>
        <w:t xml:space="preserve">Statement of Objections issued: </w:t>
      </w:r>
      <w:r>
        <w:rPr>
          <w:rFonts w:ascii="Calibri" w:cs="Calibri" w:eastAsia="Calibri" w:hAnsi="Calibri"/>
          <w:b w:val="false"/>
          <w:bCs w:val="false"/>
          <w:i w:val="false"/>
          <w:iCs w:val="false"/>
          <w:sz w:val="22"/>
          <w:szCs w:val="22"/>
        </w:rPr>
        <w:t xml:space="preserve">Following the preliminary investigation, the Commission issued a Statement of Objections, detailing concerns about Tetra's dominant position in the aseptic carton market and potential anti-competitive effects.</w:t>
      </w:r>
      <w:hyperlink w:history="1" r:id="rIda6yfwtusu2pvr4wy0xhr0">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bCs/>
          <w:sz w:val="22"/>
          <w:szCs w:val="22"/>
        </w:rPr>
        <w:t xml:space="preserve">Defense Phase: </w:t>
      </w:r>
      <w:r>
        <w:rPr>
          <w:rFonts w:ascii="Calibri" w:cs="Calibri" w:eastAsia="Calibri" w:hAnsi="Calibri"/>
          <w:b w:val="false"/>
          <w:bCs w:val="false"/>
          <w:i w:val="false"/>
          <w:iCs w:val="false"/>
          <w:sz w:val="22"/>
          <w:szCs w:val="22"/>
        </w:rPr>
        <w:t xml:space="preserve">Tetra provided a written response to the Statement of Objections, which included arguments about its market position and the competitive landscape. An oral hearing was held to discuss these points further.</w:t>
      </w:r>
      <w:hyperlink w:history="1" r:id="rIdyaguwo7ivap5cize6dxap">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bCs/>
          <w:sz w:val="22"/>
          <w:szCs w:val="22"/>
        </w:rPr>
        <w:t xml:space="preserve">Commission Decision: </w:t>
      </w:r>
      <w:r>
        <w:rPr>
          <w:rFonts w:ascii="Calibri" w:cs="Calibri" w:eastAsia="Calibri" w:hAnsi="Calibri"/>
          <w:b w:val="false"/>
          <w:bCs w:val="false"/>
          <w:i w:val="false"/>
          <w:iCs w:val="false"/>
          <w:sz w:val="22"/>
          <w:szCs w:val="22"/>
        </w:rPr>
        <w:t xml:space="preserve">The Commission concluded that Tetra maintained a dominant position in the aseptic carton market and did not accept the proposed licensing arrangements as sufficient to address competition concerns.</w:t>
      </w:r>
      <w:hyperlink w:history="1" r:id="rIdkfjhp2typiikdkntjck-x">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bCs/>
          <w:sz w:val="22"/>
          <w:szCs w:val="22"/>
        </w:rPr>
        <w:t xml:space="preserve">Company Decision: </w:t>
      </w:r>
      <w:r>
        <w:rPr>
          <w:rFonts w:ascii="Calibri" w:cs="Calibri" w:eastAsia="Calibri" w:hAnsi="Calibri"/>
          <w:b w:val="false"/>
          <w:bCs w:val="false"/>
          <w:i w:val="false"/>
          <w:iCs w:val="false"/>
          <w:sz w:val="22"/>
          <w:szCs w:val="22"/>
        </w:rPr>
        <w:t xml:space="preserve">Tetra acknowledged its dominant position but contested the Commission's findings regarding the merger's implications. The company faced the choice to accept the decision or appeal, which would lead to further legal proceedings.</w:t>
      </w:r>
      <w:hyperlink w:history="1" r:id="rIdt4m4igsbodo2sqphv4a_x">
        <w:r>
          <w:rPr>
            <w:rFonts w:ascii="Calibri" w:cs="Calibri" w:eastAsia="Calibri" w:hAnsi="Calibri"/>
            <w:color w:val="1F4E5F"/>
            <w:sz w:val="22"/>
            <w:szCs w:val="22"/>
            <w:u w:val="single"/>
          </w:rPr>
          <w:t xml:space="preserve">[16]</w:t>
        </w:r>
      </w:hyperlink>
    </w:p>
    <w:p>
      <w:pPr>
        <w:spacing w:after="120" w:before="200"/>
      </w:pPr>
      <w:r>
        <w:rPr>
          <w:rFonts w:ascii="Calibri" w:cs="Calibri" w:eastAsia="Calibri" w:hAnsi="Calibri"/>
          <w:b/>
          <w:bCs/>
          <w:i/>
          <w:iCs/>
          <w:sz w:val="22"/>
          <w:szCs w:val="22"/>
        </w:rPr>
        <w:t xml:space="preserve">Market Definition</w:t>
      </w:r>
    </w:p>
    <w:p>
      <w:pPr>
        <w:spacing w:after="160"/>
      </w:pPr>
      <w:r>
        <w:rPr>
          <w:rFonts w:ascii="Calibri" w:cs="Calibri" w:eastAsia="Calibri" w:hAnsi="Calibri"/>
          <w:b w:val="false"/>
          <w:bCs w:val="false"/>
          <w:i w:val="false"/>
          <w:iCs w:val="false"/>
          <w:sz w:val="22"/>
          <w:szCs w:val="22"/>
        </w:rPr>
        <w:t xml:space="preserve">The market considered in this case was the liquid food packaging sector, specifically focusing on packaging systems for food and beverages, including aseptic and non-aseptic cartons, PET, and other materials.</w:t>
      </w:r>
      <w:hyperlink w:history="1" r:id="rId90zi0mtsrqqo8cx0zrh9e">
        <w:r>
          <w:rPr>
            <w:rFonts w:ascii="Calibri" w:cs="Calibri" w:eastAsia="Calibri" w:hAnsi="Calibri"/>
            <w:color w:val="1F4E5F"/>
            <w:sz w:val="22"/>
            <w:szCs w:val="22"/>
            <w:u w:val="single"/>
          </w:rPr>
          <w:t xml:space="preserve">[16]</w:t>
        </w:r>
      </w:hyperlink>
    </w:p>
    <w:p>
      <w:pPr>
        <w:spacing w:after="160"/>
      </w:pPr>
      <w:r>
        <w:rPr>
          <w:rFonts w:ascii="Calibri" w:cs="Calibri" w:eastAsia="Calibri" w:hAnsi="Calibri"/>
          <w:b w:val="false"/>
          <w:bCs w:val="false"/>
          <w:i w:val="false"/>
          <w:iCs w:val="false"/>
          <w:sz w:val="22"/>
          <w:szCs w:val="22"/>
        </w:rPr>
        <w:t xml:space="preserve">The Commission analyzed the market by examining the substitutability of different packaging systems, determining whether PET and other packaging materials compete sufficiently to be classified within the same relevant product market.</w:t>
      </w:r>
      <w:hyperlink w:history="1" r:id="rIdc4jbasvqqqclxqjsmqser">
        <w:r>
          <w:rPr>
            <w:rFonts w:ascii="Calibri" w:cs="Calibri" w:eastAsia="Calibri" w:hAnsi="Calibri"/>
            <w:color w:val="1F4E5F"/>
            <w:sz w:val="22"/>
            <w:szCs w:val="22"/>
            <w:u w:val="single"/>
          </w:rPr>
          <w:t xml:space="preserve">[16]</w:t>
        </w:r>
      </w:hyperlink>
    </w:p>
    <w:p>
      <w:pPr>
        <w:spacing w:after="160"/>
      </w:pPr>
      <w:r>
        <w:rPr>
          <w:rFonts w:ascii="Calibri" w:cs="Calibri" w:eastAsia="Calibri" w:hAnsi="Calibri"/>
          <w:b w:val="false"/>
          <w:bCs w:val="false"/>
          <w:i w:val="false"/>
          <w:iCs w:val="false"/>
          <w:sz w:val="22"/>
          <w:szCs w:val="22"/>
        </w:rPr>
        <w:t xml:space="preserve">A key technique used was end-use segmentation, which involved assessing the characteristics of liquid foods to determine which packaging materials are suitable for specific products, thereby influencing market definition.</w:t>
      </w:r>
      <w:hyperlink w:history="1" r:id="rIduedefyqfz6wmqy7ze7peu">
        <w:r>
          <w:rPr>
            <w:rFonts w:ascii="Calibri" w:cs="Calibri" w:eastAsia="Calibri" w:hAnsi="Calibri"/>
            <w:color w:val="1F4E5F"/>
            <w:sz w:val="22"/>
            <w:szCs w:val="22"/>
            <w:u w:val="single"/>
          </w:rPr>
          <w:t xml:space="preserve">[16]</w:t>
        </w:r>
      </w:hyperlink>
    </w:p>
    <w:p>
      <w:pPr>
        <w:spacing w:after="160"/>
      </w:pPr>
      <w:r>
        <w:rPr>
          <w:rFonts w:ascii="Calibri" w:cs="Calibri" w:eastAsia="Calibri" w:hAnsi="Calibri"/>
          <w:b w:val="false"/>
          <w:bCs w:val="false"/>
          <w:i w:val="false"/>
          <w:iCs w:val="false"/>
          <w:sz w:val="22"/>
          <w:szCs w:val="22"/>
        </w:rPr>
        <w:t xml:space="preserve">The Commission also evaluated consumer preferences and the distinct nature of downstream markets, recognizing that demand for packaging equipment is derived from the demand for the final packaged products.</w:t>
      </w:r>
      <w:hyperlink w:history="1" r:id="rIddewkxu6rs6bhbhnz8-fyf">
        <w:r>
          <w:rPr>
            <w:rFonts w:ascii="Calibri" w:cs="Calibri" w:eastAsia="Calibri" w:hAnsi="Calibri"/>
            <w:color w:val="1F4E5F"/>
            <w:sz w:val="22"/>
            <w:szCs w:val="22"/>
            <w:u w:val="single"/>
          </w:rPr>
          <w:t xml:space="preserve">[16]</w:t>
        </w:r>
      </w:hyperlink>
    </w:p>
    <w:p>
      <w:pPr>
        <w:spacing w:after="160"/>
      </w:pPr>
      <w:r>
        <w:rPr>
          <w:rFonts w:ascii="Calibri" w:cs="Calibri" w:eastAsia="Calibri" w:hAnsi="Calibri"/>
          <w:b w:val="false"/>
          <w:bCs w:val="false"/>
          <w:i w:val="false"/>
          <w:iCs w:val="false"/>
          <w:sz w:val="22"/>
          <w:szCs w:val="22"/>
        </w:rPr>
        <w:t xml:space="preserve">The analysis included a review of historical market conditions and previous decisions to understand the evolution of the packaging market and the competitive landscape over time.</w:t>
      </w:r>
      <w:hyperlink w:history="1" r:id="rId49iafx0ykjcatp0hvaylm">
        <w:r>
          <w:rPr>
            <w:rFonts w:ascii="Calibri" w:cs="Calibri" w:eastAsia="Calibri" w:hAnsi="Calibri"/>
            <w:color w:val="1F4E5F"/>
            <w:sz w:val="22"/>
            <w:szCs w:val="22"/>
            <w:u w:val="single"/>
          </w:rPr>
          <w:t xml:space="preserve">[16]</w:t>
        </w:r>
      </w:hyperlink>
    </w:p>
    <w:p>
      <w:pPr>
        <w:spacing w:after="160"/>
      </w:pPr>
      <w:r>
        <w:rPr>
          <w:rFonts w:ascii="Calibri" w:cs="Calibri" w:eastAsia="Calibri" w:hAnsi="Calibri"/>
          <w:b w:val="false"/>
          <w:bCs w:val="false"/>
          <w:i w:val="false"/>
          <w:iCs w:val="false"/>
          <w:sz w:val="22"/>
          <w:szCs w:val="22"/>
        </w:rPr>
        <w:t xml:space="preserve">The Commission considered the implications of market power and dominance, particularly how Tetra's position in the aseptic carton market related to its overall influence in the broader packaging market.</w:t>
      </w:r>
      <w:hyperlink w:history="1" r:id="rIdsvis2-fwdc0ogpck1byov">
        <w:r>
          <w:rPr>
            <w:rFonts w:ascii="Calibri" w:cs="Calibri" w:eastAsia="Calibri" w:hAnsi="Calibri"/>
            <w:color w:val="1F4E5F"/>
            <w:sz w:val="22"/>
            <w:szCs w:val="22"/>
            <w:u w:val="single"/>
          </w:rPr>
          <w:t xml:space="preserve">[16]</w:t>
        </w:r>
      </w:hyperlink>
    </w:p>
    <w:p>
      <w:pPr>
        <w:spacing w:after="160"/>
      </w:pPr>
      <w:r>
        <w:rPr>
          <w:rFonts w:ascii="Calibri" w:cs="Calibri" w:eastAsia="Calibri" w:hAnsi="Calibri"/>
          <w:b w:val="false"/>
          <w:bCs w:val="false"/>
          <w:i w:val="false"/>
          <w:iCs w:val="false"/>
          <w:sz w:val="22"/>
          <w:szCs w:val="22"/>
        </w:rPr>
        <w:t xml:space="preserve">The investigation highlighted the importance of specific product characteristics, such as the need for light and oxygen barriers in packaging, which dictate the choice of packaging material for different liquid foods.</w:t>
      </w:r>
      <w:hyperlink w:history="1" r:id="rIdvevlyrl5vfag7v4dmipbo">
        <w:r>
          <w:rPr>
            <w:rFonts w:ascii="Calibri" w:cs="Calibri" w:eastAsia="Calibri" w:hAnsi="Calibri"/>
            <w:color w:val="1F4E5F"/>
            <w:sz w:val="22"/>
            <w:szCs w:val="22"/>
            <w:u w:val="single"/>
          </w:rPr>
          <w:t xml:space="preserve">[16]</w:t>
        </w:r>
      </w:hyperlink>
    </w:p>
    <w:p>
      <w:pPr>
        <w:spacing w:after="120" w:before="200"/>
      </w:pPr>
      <w:r>
        <w:rPr>
          <w:rFonts w:ascii="Calibri" w:cs="Calibri" w:eastAsia="Calibri" w:hAnsi="Calibri"/>
          <w:b/>
          <w:bCs/>
          <w:i/>
          <w:iCs/>
          <w:sz w:val="22"/>
          <w:szCs w:val="22"/>
        </w:rPr>
        <w:t xml:space="preserve">Legal &amp; Economic Tests</w:t>
      </w:r>
    </w:p>
    <w:p>
      <w:pPr>
        <w:pStyle w:val="ListParagraph"/>
        <w:numPr>
          <w:ilvl w:val="0"/>
          <w:numId w:val="1"/>
        </w:numPr>
        <w:spacing w:after="100"/>
      </w:pPr>
      <w:r>
        <w:rPr>
          <w:rFonts w:ascii="Calibri" w:cs="Calibri" w:eastAsia="Calibri" w:hAnsi="Calibri"/>
          <w:b/>
          <w:bCs/>
          <w:sz w:val="22"/>
          <w:szCs w:val="22"/>
        </w:rPr>
        <w:t xml:space="preserve">Market Share Assessment: </w:t>
      </w:r>
      <w:r>
        <w:rPr>
          <w:rFonts w:ascii="Calibri" w:cs="Calibri" w:eastAsia="Calibri" w:hAnsi="Calibri"/>
          <w:b w:val="false"/>
          <w:bCs w:val="false"/>
          <w:i w:val="false"/>
          <w:iCs w:val="false"/>
          <w:sz w:val="22"/>
          <w:szCs w:val="22"/>
        </w:rPr>
        <w:t xml:space="preserve">The analysis involved determining Tetra's market share in the aseptic carton packaging market, which was found to be dominant at approximately 80-90%. This assessment is crucial as it indicates Tetra's ability to operate independently of competitors and customers.</w:t>
      </w:r>
      <w:hyperlink w:history="1" r:id="rIdgc7u-mp4lkwz4nkt_euvw">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bCs/>
          <w:sz w:val="22"/>
          <w:szCs w:val="22"/>
        </w:rPr>
        <w:t xml:space="preserve">Substitutability Analysis: </w:t>
      </w:r>
      <w:r>
        <w:rPr>
          <w:rFonts w:ascii="Calibri" w:cs="Calibri" w:eastAsia="Calibri" w:hAnsi="Calibri"/>
          <w:b w:val="false"/>
          <w:bCs w:val="false"/>
          <w:i w:val="false"/>
          <w:iCs w:val="false"/>
          <w:sz w:val="22"/>
          <w:szCs w:val="22"/>
        </w:rPr>
        <w:t xml:space="preserve">The Commission examined whether different packaging systems, such as PET and carton packaging, are substitutable from both a consumer and market perspective. This involved assessing consumer perceptions and preferences regarding packaging types.</w:t>
      </w:r>
      <w:hyperlink w:history="1" r:id="rIdliozxrvyb53aeskq2h_c0">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bCs/>
          <w:sz w:val="22"/>
          <w:szCs w:val="22"/>
        </w:rPr>
        <w:t xml:space="preserve">Price Discrimination and Heteroscedasticity: </w:t>
      </w:r>
      <w:r>
        <w:rPr>
          <w:rFonts w:ascii="Calibri" w:cs="Calibri" w:eastAsia="Calibri" w:hAnsi="Calibri"/>
          <w:b w:val="false"/>
          <w:bCs w:val="false"/>
          <w:i w:val="false"/>
          <w:iCs w:val="false"/>
          <w:sz w:val="22"/>
          <w:szCs w:val="22"/>
        </w:rPr>
        <w:t xml:space="preserve">The economic analysis included regression models to identify price discrimination practices within the market. The presence of heteroscedasticity in the regression residuals indicated that price variations were influenced by customer-specific factors.</w:t>
      </w:r>
      <w:hyperlink w:history="1" r:id="rIdldplypsdejupipkblgbft">
        <w:r>
          <w:rPr>
            <w:rFonts w:ascii="Calibri" w:cs="Calibri" w:eastAsia="Calibri" w:hAnsi="Calibri"/>
            <w:color w:val="1F4E5F"/>
            <w:sz w:val="22"/>
            <w:szCs w:val="22"/>
            <w:u w:val="single"/>
          </w:rPr>
          <w:t xml:space="preserve">[16]</w:t>
        </w:r>
      </w:hyperlink>
    </w:p>
    <w:p>
      <w:pPr>
        <w:spacing w:after="120" w:before="200"/>
      </w:pPr>
      <w:r>
        <w:rPr>
          <w:rFonts w:ascii="Calibri" w:cs="Calibri" w:eastAsia="Calibri" w:hAnsi="Calibri"/>
          <w:b/>
          <w:bCs/>
          <w:i/>
          <w:iCs/>
          <w:sz w:val="22"/>
          <w:szCs w:val="22"/>
        </w:rPr>
        <w:t xml:space="preserve">Conclusion</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Commission concluded that the proposed concentration between Tetra Laval and Sidel was incompatible with the common market and the EEA Agreement, primarily due to concerns about Tetra's dominant position in the carton packaging market and the potential for anti-competitive practices.</w:t>
      </w:r>
      <w:hyperlink w:history="1" r:id="rIdqp_skuk3wxwrqas77c-wb">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commitments proposed by Tetra, including behavioral promises not to bundle products, were deemed insufficient to address the competition concerns identified.</w:t>
      </w:r>
      <w:hyperlink w:history="1" r:id="rIdlf-gvs2z7g_n3wnca5i-_">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proposed licensing arrangement for Sidel's SBM machines was found inadequate to eliminate the competition concerns, particularly regarding Tetra's ability to leverage its dominant position in carton packaging to gain further dominance in PET packaging.</w:t>
      </w:r>
      <w:hyperlink w:history="1" r:id="rIdqp5ouiddohaihz1aii0f6">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Commission noted that Tetra would continue to hold a dominant position in carton packaging and Sidel would remain a leader in SBM machines, which would allow the merged entity to engage in leveraging practices.</w:t>
      </w:r>
      <w:hyperlink w:history="1" r:id="rId5qkd_s5ggc_rxcpgjdfpj">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Commission emphasized that the licensing arrangement would not ensure the exit of the merged entity from the relevant market, as Sidel could still sell its SBM machines to customers outside the EEA.</w:t>
      </w:r>
      <w:hyperlink w:history="1" r:id="rIdj9rzzka_qxsxsjxi8y1yf">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Overall, the Commission concluded that the merger would not lead to a significant reduction in Tetra's market power, and the proposed remedies were not likely to be viable or workable.</w:t>
      </w:r>
      <w:hyperlink w:history="1" r:id="rIdkxj8uk31vsy7x5p8ho19g">
        <w:r>
          <w:rPr>
            <w:rFonts w:ascii="Calibri" w:cs="Calibri" w:eastAsia="Calibri" w:hAnsi="Calibri"/>
            <w:color w:val="1F4E5F"/>
            <w:sz w:val="22"/>
            <w:szCs w:val="22"/>
            <w:u w:val="single"/>
          </w:rPr>
          <w:t xml:space="preserve">[16]</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No fines were mentioned in the provided context, indicating that the focus was primarily on the incompatibility of the merger rather than on penalizing the companies involved.</w:t>
      </w:r>
      <w:hyperlink w:history="1" r:id="rIdn0m-rv069hpmmggc2vlt6">
        <w:r>
          <w:rPr>
            <w:rFonts w:ascii="Calibri" w:cs="Calibri" w:eastAsia="Calibri" w:hAnsi="Calibri"/>
            <w:color w:val="1F4E5F"/>
            <w:sz w:val="22"/>
            <w:szCs w:val="22"/>
            <w:u w:val="single"/>
          </w:rPr>
          <w:t xml:space="preserve">[16]</w:t>
        </w:r>
      </w:hyperlink>
    </w:p>
    <w:p>
      <w:pPr>
        <w:spacing w:after="16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t4ugccauegm93iyl_qgp1">
        <w:r>
          <w:rPr>
            <w:rFonts w:ascii="Calibri" w:cs="Calibri" w:eastAsia="Calibri" w:hAnsi="Calibri"/>
            <w:color w:val="1F4E5F"/>
            <w:sz w:val="22"/>
            <w:szCs w:val="22"/>
            <w:u w:val="single"/>
          </w:rPr>
          <w:t xml:space="preserve">Horizontal Merger Guidelines</w:t>
        </w:r>
      </w:hyperlink>
    </w:p>
    <w:p>
      <w:pPr>
        <w:pStyle w:val="ListParagraph"/>
        <w:numPr>
          <w:ilvl w:val="0"/>
          <w:numId w:val="2"/>
        </w:numPr>
        <w:spacing w:after="100"/>
      </w:pPr>
      <w:hyperlink w:history="1" r:id="rIdvalytglzb5rwpk-nahmuv">
        <w:r>
          <w:rPr>
            <w:rFonts w:ascii="Calibri" w:cs="Calibri" w:eastAsia="Calibri" w:hAnsi="Calibri"/>
            <w:color w:val="1F4E5F"/>
            <w:sz w:val="22"/>
            <w:szCs w:val="22"/>
            <w:u w:val="single"/>
          </w:rPr>
          <w:t xml:space="preserve">Merger Guidelines - public consultation draft</w:t>
        </w:r>
      </w:hyperlink>
    </w:p>
    <w:p>
      <w:pPr>
        <w:pStyle w:val="ListParagraph"/>
        <w:numPr>
          <w:ilvl w:val="0"/>
          <w:numId w:val="2"/>
        </w:numPr>
        <w:spacing w:after="100"/>
      </w:pPr>
      <w:hyperlink w:history="1" r:id="rIds7hcsbbszf9els50pa5lt">
        <w:r>
          <w:rPr>
            <w:rFonts w:ascii="Calibri" w:cs="Calibri" w:eastAsia="Calibri" w:hAnsi="Calibri"/>
            <w:color w:val="1F4E5F"/>
            <w:sz w:val="22"/>
            <w:szCs w:val="22"/>
            <w:u w:val="single"/>
          </w:rPr>
          <w:t xml:space="preserve">Non-horizontal Merger Guidelines</w:t>
        </w:r>
      </w:hyperlink>
    </w:p>
    <w:p>
      <w:pPr>
        <w:pStyle w:val="ListParagraph"/>
        <w:numPr>
          <w:ilvl w:val="0"/>
          <w:numId w:val="2"/>
        </w:numPr>
        <w:spacing w:after="100"/>
      </w:pPr>
      <w:hyperlink w:history="1" r:id="rIdi2e0gkhmlv6bfxvfm_-t7">
        <w:r>
          <w:rPr>
            <w:rFonts w:ascii="Calibri" w:cs="Calibri" w:eastAsia="Calibri" w:hAnsi="Calibri"/>
            <w:color w:val="1F4E5F"/>
            <w:sz w:val="22"/>
            <w:szCs w:val="22"/>
            <w:u w:val="single"/>
          </w:rPr>
          <w:t xml:space="preserve">Draft Merger Guidelines - Summary of Key Technical Novelties</w:t>
        </w:r>
      </w:hyperlink>
    </w:p>
    <w:p>
      <w:pPr>
        <w:pStyle w:val="ListParagraph"/>
        <w:numPr>
          <w:ilvl w:val="0"/>
          <w:numId w:val="2"/>
        </w:numPr>
        <w:spacing w:after="100"/>
      </w:pPr>
      <w:hyperlink w:history="1" r:id="rIdjjep9dzk0fw12uuazzepx">
        <w:r>
          <w:rPr>
            <w:rFonts w:ascii="Calibri" w:cs="Calibri" w:eastAsia="Calibri" w:hAnsi="Calibri"/>
            <w:color w:val="1F4E5F"/>
            <w:sz w:val="22"/>
            <w:szCs w:val="22"/>
            <w:u w:val="single"/>
          </w:rPr>
          <w:t xml:space="preserve">Sullivan &amp; Cromwell memo on new draft Merger Guidelines</w:t>
        </w:r>
      </w:hyperlink>
    </w:p>
    <w:p>
      <w:pPr>
        <w:pStyle w:val="ListParagraph"/>
        <w:numPr>
          <w:ilvl w:val="0"/>
          <w:numId w:val="2"/>
        </w:numPr>
        <w:spacing w:after="100"/>
      </w:pPr>
      <w:hyperlink w:history="1" r:id="rIdkskn_a_3larb9lurf5scu">
        <w:r>
          <w:rPr>
            <w:rFonts w:ascii="Calibri" w:cs="Calibri" w:eastAsia="Calibri" w:hAnsi="Calibri"/>
            <w:color w:val="1F4E5F"/>
            <w:sz w:val="22"/>
            <w:szCs w:val="22"/>
            <w:u w:val="single"/>
          </w:rPr>
          <w:t xml:space="preserve">Macfarlanes analysis of draft Merger Guidelines</w:t>
        </w:r>
      </w:hyperlink>
    </w:p>
    <w:p>
      <w:pPr>
        <w:pStyle w:val="ListParagraph"/>
        <w:numPr>
          <w:ilvl w:val="0"/>
          <w:numId w:val="2"/>
        </w:numPr>
        <w:spacing w:after="100"/>
      </w:pPr>
      <w:hyperlink w:history="1" r:id="rIdbh3glqha5p53z17i0wawe">
        <w:r>
          <w:rPr>
            <w:rFonts w:ascii="Calibri" w:cs="Calibri" w:eastAsia="Calibri" w:hAnsi="Calibri"/>
            <w:color w:val="1F4E5F"/>
            <w:sz w:val="22"/>
            <w:szCs w:val="22"/>
            <w:u w:val="single"/>
          </w:rPr>
          <w:t xml:space="preserve">EU Merger Control overview</w:t>
        </w:r>
      </w:hyperlink>
    </w:p>
    <w:p>
      <w:pPr>
        <w:pStyle w:val="ListParagraph"/>
        <w:numPr>
          <w:ilvl w:val="0"/>
          <w:numId w:val="2"/>
        </w:numPr>
        <w:spacing w:after="100"/>
      </w:pPr>
      <w:hyperlink w:history="1" r:id="rIdvlpmvt6j7rqeiipv1ibun">
        <w:r>
          <w:rPr>
            <w:rFonts w:ascii="Calibri" w:cs="Calibri" w:eastAsia="Calibri" w:hAnsi="Calibri"/>
            <w:color w:val="1F4E5F"/>
            <w:sz w:val="22"/>
            <w:szCs w:val="22"/>
            <w:u w:val="single"/>
          </w:rPr>
          <w:t xml:space="preserve">EU Mergers portal</w:t>
        </w:r>
      </w:hyperlink>
    </w:p>
    <w:p>
      <w:pPr>
        <w:pStyle w:val="ListParagraph"/>
        <w:numPr>
          <w:ilvl w:val="0"/>
          <w:numId w:val="2"/>
        </w:numPr>
        <w:spacing w:after="100"/>
      </w:pPr>
      <w:hyperlink w:history="1" r:id="rIdht4szjcb1jprlfyzjce5u">
        <w:r>
          <w:rPr>
            <w:rFonts w:ascii="Calibri" w:cs="Calibri" w:eastAsia="Calibri" w:hAnsi="Calibri"/>
            <w:color w:val="1F4E5F"/>
            <w:sz w:val="22"/>
            <w:szCs w:val="22"/>
            <w:u w:val="single"/>
          </w:rPr>
          <w:t xml:space="preserve">EU Merger procedures</w:t>
        </w:r>
      </w:hyperlink>
    </w:p>
    <w:p>
      <w:pPr>
        <w:pStyle w:val="ListParagraph"/>
        <w:numPr>
          <w:ilvl w:val="0"/>
          <w:numId w:val="2"/>
        </w:numPr>
        <w:spacing w:after="100"/>
      </w:pPr>
      <w:hyperlink w:history="1" r:id="rId47mcw0nfa4y4g2mno3ebq">
        <w:r>
          <w:rPr>
            <w:rFonts w:ascii="Calibri" w:cs="Calibri" w:eastAsia="Calibri" w:hAnsi="Calibri"/>
            <w:color w:val="1F4E5F"/>
            <w:sz w:val="22"/>
            <w:szCs w:val="22"/>
            <w:u w:val="single"/>
          </w:rPr>
          <w:t xml:space="preserve">Merger control procedures guide</w:t>
        </w:r>
      </w:hyperlink>
    </w:p>
    <w:p>
      <w:pPr>
        <w:pStyle w:val="ListParagraph"/>
        <w:numPr>
          <w:ilvl w:val="0"/>
          <w:numId w:val="2"/>
        </w:numPr>
        <w:spacing w:after="100"/>
      </w:pPr>
      <w:hyperlink w:history="1" r:id="rIdlalxrqplc5apqhd5lqytf">
        <w:r>
          <w:rPr>
            <w:rFonts w:ascii="Calibri" w:cs="Calibri" w:eastAsia="Calibri" w:hAnsi="Calibri"/>
            <w:color w:val="1F4E5F"/>
            <w:sz w:val="22"/>
            <w:szCs w:val="22"/>
            <w:u w:val="single"/>
          </w:rPr>
          <w:t xml:space="preserve">Article 2 EUMR</w:t>
        </w:r>
      </w:hyperlink>
    </w:p>
    <w:p>
      <w:pPr>
        <w:pStyle w:val="ListParagraph"/>
        <w:numPr>
          <w:ilvl w:val="0"/>
          <w:numId w:val="2"/>
        </w:numPr>
        <w:spacing w:after="100"/>
      </w:pPr>
      <w:hyperlink w:history="1" r:id="rId1rd7piyq2uujekkdbjzxm">
        <w:r>
          <w:rPr>
            <w:rFonts w:ascii="Calibri" w:cs="Calibri" w:eastAsia="Calibri" w:hAnsi="Calibri"/>
            <w:color w:val="1F4E5F"/>
            <w:sz w:val="22"/>
            <w:szCs w:val="22"/>
            <w:u w:val="single"/>
          </w:rPr>
          <w:t xml:space="preserve">Article 22 EUMR</w:t>
        </w:r>
      </w:hyperlink>
    </w:p>
    <w:p>
      <w:pPr>
        <w:pStyle w:val="ListParagraph"/>
        <w:numPr>
          <w:ilvl w:val="0"/>
          <w:numId w:val="2"/>
        </w:numPr>
        <w:spacing w:after="100"/>
      </w:pPr>
      <w:hyperlink w:history="1" r:id="rIdwb_aiekpec5_u1wicptqa">
        <w:r>
          <w:rPr>
            <w:rFonts w:ascii="Calibri" w:cs="Calibri" w:eastAsia="Calibri" w:hAnsi="Calibri"/>
            <w:color w:val="1F4E5F"/>
            <w:sz w:val="22"/>
            <w:szCs w:val="22"/>
            <w:u w:val="single"/>
          </w:rPr>
          <w:t xml:space="preserve">Merger Guidelines review page</w:t>
        </w:r>
      </w:hyperlink>
    </w:p>
    <w:p>
      <w:pPr>
        <w:pStyle w:val="ListParagraph"/>
        <w:numPr>
          <w:ilvl w:val="0"/>
          <w:numId w:val="2"/>
        </w:numPr>
        <w:spacing w:after="100"/>
      </w:pPr>
      <w:hyperlink w:history="1" r:id="rIdnohfulpmcl0byhidkltqc">
        <w:r>
          <w:rPr>
            <w:rFonts w:ascii="Calibri" w:cs="Calibri" w:eastAsia="Calibri" w:hAnsi="Calibri"/>
            <w:color w:val="1F4E5F"/>
            <w:sz w:val="22"/>
            <w:szCs w:val="22"/>
            <w:u w:val="single"/>
          </w:rPr>
          <w:t xml:space="preserve">OECD Competition Committee merger materials</w:t>
        </w:r>
      </w:hyperlink>
    </w:p>
    <w:p>
      <w:pPr>
        <w:pStyle w:val="ListParagraph"/>
        <w:numPr>
          <w:ilvl w:val="0"/>
          <w:numId w:val="2"/>
        </w:numPr>
        <w:spacing w:after="100"/>
      </w:pPr>
      <w:hyperlink w:history="1" r:id="rIdzfb91ve7cdslgqq8lkytd">
        <w:r>
          <w:rPr>
            <w:rFonts w:ascii="Calibri" w:cs="Calibri" w:eastAsia="Calibri" w:hAnsi="Calibri"/>
            <w:color w:val="1F4E5F"/>
            <w:sz w:val="22"/>
            <w:szCs w:val="22"/>
            <w:u w:val="single"/>
          </w:rPr>
          <w:t xml:space="preserve">EU Merger Control overview (OECD comparative)</w:t>
        </w:r>
      </w:hyperlink>
    </w:p>
    <w:p>
      <w:pPr>
        <w:pStyle w:val="ListParagraph"/>
        <w:numPr>
          <w:ilvl w:val="0"/>
          <w:numId w:val="2"/>
        </w:numPr>
        <w:spacing w:after="100"/>
      </w:pPr>
      <w:hyperlink w:history="1" r:id="rIduuk2frvj2zqe4wdpbhqik">
        <w:r>
          <w:rPr>
            <w:rFonts w:ascii="Calibri" w:cs="Calibri" w:eastAsia="Calibri" w:hAnsi="Calibri"/>
            <w:color w:val="1F4E5F"/>
            <w:sz w:val="22"/>
            <w:szCs w:val="22"/>
            <w:u w:val="single"/>
          </w:rPr>
          <w:t xml:space="preserve">COMP/M.2416 – Tetra Laval/Sidel - Case Decision</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aaftlhr2rq8va9el5lz_" Type="http://schemas.openxmlformats.org/officeDocument/2006/relationships/hyperlink" Target="https://competition-policy.ec.europa.eu/mergers/review-merger-guidelines_en" TargetMode="External"/><Relationship Id="rId0jhbbu81g4ku2qsrdfxqf" Type="http://schemas.openxmlformats.org/officeDocument/2006/relationships/hyperlink" Target="https://competition-policy.ec.europa.eu/document/download/46dde10f-85c1-4590-a3f4-2b71f85685ef_en?filename=Merger%20Guidelines%20-%20final%20for%20public%20consultation.pdf" TargetMode="External"/><Relationship Id="rIdvgbpkldreswhsex7ehiiv" Type="http://schemas.openxmlformats.org/officeDocument/2006/relationships/hyperlink" Target="https://eur-lex.europa.eu/legal-content/EN/TXT/HTML/?uri=CELEX:52004XC0205(02)" TargetMode="External"/><Relationship Id="rIdh7j0surcla7ncxbmwnsmh" Type="http://schemas.openxmlformats.org/officeDocument/2006/relationships/hyperlink" Target="https://competition-policy.ec.europa.eu/document/download/46dde10f-85c1-4590-a3f4-2b71f85685ef_en?filename=Merger%20Guidelines%20-%20final%20for%20public%20consultation.pdf" TargetMode="External"/><Relationship Id="rIdvoavtxqjpdbtcwb9t-h7f" Type="http://schemas.openxmlformats.org/officeDocument/2006/relationships/hyperlink" Target="https://competition-policy.ec.europa.eu/document/download/46dde10f-85c1-4590-a3f4-2b71f85685ef_en?filename=Merger%20Guidelines%20-%20final%20for%20public%20consultation.pdf" TargetMode="External"/><Relationship Id="rIdyijytgtkri8h_bf7vw8ar" Type="http://schemas.openxmlformats.org/officeDocument/2006/relationships/hyperlink" Target="https://eur-lex.europa.eu/legal-content/EN/TXT/HTML/?uri=CELEX:52004XC0205(02)" TargetMode="External"/><Relationship Id="rIdww9flh5m4lnp4v7hqlstj" Type="http://schemas.openxmlformats.org/officeDocument/2006/relationships/hyperlink" Target="https://competition-policy.ec.europa.eu/document/download/46dde10f-85c1-4590-a3f4-2b71f85685ef_en?filename=Merger%20Guidelines%20-%20final%20for%20public%20consultation.pdf" TargetMode="External"/><Relationship Id="rIdhsavpi2w1ssdwp0a2o1dy" Type="http://schemas.openxmlformats.org/officeDocument/2006/relationships/hyperlink" Target="https://competition-policy.ec.europa.eu/document/download/46dde10f-85c1-4590-a3f4-2b71f85685ef_en?filename=Merger%20Guidelines%20-%20final%20for%20public%20consultation.pdf" TargetMode="External"/><Relationship Id="rIddqr5fyhvpw_yzi7s6xrbw" Type="http://schemas.openxmlformats.org/officeDocument/2006/relationships/hyperlink" Target="https://competition-policy.ec.europa.eu/document/download/46dde10f-85c1-4590-a3f4-2b71f85685ef_en?filename=Merger%20Guidelines%20-%20final%20for%20public%20consultation.pdf" TargetMode="External"/><Relationship Id="rId_nuy4snwgrxjcy0p-3uta" Type="http://schemas.openxmlformats.org/officeDocument/2006/relationships/hyperlink" Target="https://eur-lex.europa.eu/legal-content/EN/TXT/HTML/?uri=CELEX:52004XC0205(02)" TargetMode="External"/><Relationship Id="rId7hmpn3buqcxj6qn5jv0zk" Type="http://schemas.openxmlformats.org/officeDocument/2006/relationships/hyperlink" Target="https://competition-policy.ec.europa.eu/document/download/46dde10f-85c1-4590-a3f4-2b71f85685ef_en?filename=Merger%20Guidelines%20-%20final%20for%20public%20consultation.pdf" TargetMode="External"/><Relationship Id="rIdz8cxvxd9ghhrn2eukxib6" Type="http://schemas.openxmlformats.org/officeDocument/2006/relationships/hyperlink" Target="https://eur-lex.europa.eu/legal-content/EN/TXT/HTML/?uri=CELEX:52004XC0205(02)" TargetMode="External"/><Relationship Id="rIdvm47nbtgttppjkg8a0o6r" Type="http://schemas.openxmlformats.org/officeDocument/2006/relationships/hyperlink" Target="https://competition-policy.ec.europa.eu/mergers/review-merger-guidelines_en" TargetMode="External"/><Relationship Id="rIdbtfoienkfkljfyqxx8v1s" Type="http://schemas.openxmlformats.org/officeDocument/2006/relationships/hyperlink" Target="https://competition-policy.ec.europa.eu/document/download/46dde10f-85c1-4590-a3f4-2b71f85685ef_en?filename=Merger%20Guidelines%20-%20final%20for%20public%20consultation.pdf" TargetMode="External"/><Relationship Id="rIdntbzviugcllem_y6qtrls" Type="http://schemas.openxmlformats.org/officeDocument/2006/relationships/hyperlink" Target="https://competition-policy.ec.europa.eu/document/download/46dde10f-85c1-4590-a3f4-2b71f85685ef_en?filename=Merger%20Guidelines%20-%20final%20for%20public%20consultation.pdf" TargetMode="External"/><Relationship Id="rId7-bd1vfc7dvynsxuff-rd" Type="http://schemas.openxmlformats.org/officeDocument/2006/relationships/hyperlink" Target="https://eur-lex.europa.eu/legal-content/EN/TXT/HTML/?uri=CELEX:52004XC0205(02)" TargetMode="External"/><Relationship Id="rIdikua8kwsnxkmaopkafe6q" Type="http://schemas.openxmlformats.org/officeDocument/2006/relationships/hyperlink" Target="https://competition-policy.ec.europa.eu/mergers/review-merger-guidelines_en" TargetMode="External"/><Relationship Id="rIda-jaagkmygnxbrh9gvzse" Type="http://schemas.openxmlformats.org/officeDocument/2006/relationships/hyperlink" Target="https://competition-policy.ec.europa.eu/document/download/347618b1-7228-4720-bb0e-520fb461735d_en?filename=Draft_Merger_Guidelines_-_Summary_of_Key_Technical_Novelties.pdf" TargetMode="External"/><Relationship Id="rIdw55ihaxw_r9lzt3rzytcx" Type="http://schemas.openxmlformats.org/officeDocument/2006/relationships/hyperlink" Target="https://www.sullcrom.com/insights/memo/2026/May/EU-Merger-Control-New-Draft-Merger-Guidelines" TargetMode="External"/><Relationship Id="rIdkhyax_ccmczmejmvnibno" Type="http://schemas.openxmlformats.org/officeDocument/2006/relationships/hyperlink" Target="https://www.macfarlanes.com/insights/102mx2y/unpacking-the-european-commissions-draft-new-merger-assessment-guidelines" TargetMode="External"/><Relationship Id="rIdn-8pfbf6bcanl4n7oihjd" Type="http://schemas.openxmlformats.org/officeDocument/2006/relationships/hyperlink" Target="https://competition-policy.ec.europa.eu/document/download/46dde10f-85c1-4590-a3f4-2b71f85685ef_en?filename=Merger%20Guidelines%20-%20final%20for%20public%20consultation.pdf" TargetMode="External"/><Relationship Id="rIdrzgfqn-8zwrooupqpe-h6" Type="http://schemas.openxmlformats.org/officeDocument/2006/relationships/hyperlink" Target="https://competition-policy.ec.europa.eu/document/download/46dde10f-85c1-4590-a3f4-2b71f85685ef_en?filename=Merger%20Guidelines%20-%20final%20for%20public%20consultation.pdf" TargetMode="External"/><Relationship Id="rId9gx0q84m5f2bk3wsrnkss" Type="http://schemas.openxmlformats.org/officeDocument/2006/relationships/hyperlink" Target="https://competition-policy.ec.europa.eu/document/download/46dde10f-85c1-4590-a3f4-2b71f85685ef_en?filename=Merger%20Guidelines%20-%20final%20for%20public%20consultation.pdf" TargetMode="External"/><Relationship Id="rIdecikj4v52r9uhrdmquhnu" Type="http://schemas.openxmlformats.org/officeDocument/2006/relationships/hyperlink" Target="https://competition-policy.ec.europa.eu/mergers/review-merger-guidelines_en" TargetMode="External"/><Relationship Id="rIdqi56fptp27vdlbnaxt7xa" Type="http://schemas.openxmlformats.org/officeDocument/2006/relationships/hyperlink" Target="https://competition-policy.ec.europa.eu/document/download/46dde10f-85c1-4590-a3f4-2b71f85685ef_en?filename=Merger%20Guidelines%20-%20final%20for%20public%20consultation.pdf" TargetMode="External"/><Relationship Id="rIdogmysz5liidc5b_l9kc7n" Type="http://schemas.openxmlformats.org/officeDocument/2006/relationships/hyperlink" Target="https://competition-policy.ec.europa.eu/document/download/347618b1-7228-4720-bb0e-520fb461735d_en?filename=Draft_Merger_Guidelines_-_Summary_of_Key_Technical_Novelties.pdf" TargetMode="External"/><Relationship Id="rIdarcpord5yzw6gy80_znce" Type="http://schemas.openxmlformats.org/officeDocument/2006/relationships/hyperlink" Target="https://www.sullcrom.com/insights/memo/2026/May/EU-Merger-Control-New-Draft-Merger-Guidelines" TargetMode="External"/><Relationship Id="rIdrmb3omh9hoozagnwrbhnf" Type="http://schemas.openxmlformats.org/officeDocument/2006/relationships/hyperlink" Target="https://www.macfarlanes.com/insights/102mx2y/unpacking-the-european-commissions-draft-new-merger-assessment-guidelines" TargetMode="External"/><Relationship Id="rIdy1htgalbhdiu6lmbrtrua" Type="http://schemas.openxmlformats.org/officeDocument/2006/relationships/hyperlink" Target="https://competition-policy.ec.europa.eu/document/download/347618b1-7228-4720-bb0e-520fb461735d_en?filename=Draft_Merger_Guidelines_-_Summary_of_Key_Technical_Novelties.pdf" TargetMode="External"/><Relationship Id="rIdq8phafex0rai5yzsjg5a_" Type="http://schemas.openxmlformats.org/officeDocument/2006/relationships/hyperlink" Target="https://www.sullcrom.com/insights/memo/2026/May/EU-Merger-Control-New-Draft-Merger-Guidelines" TargetMode="External"/><Relationship Id="rIdehalqrqkyw5brkkdspqwo" Type="http://schemas.openxmlformats.org/officeDocument/2006/relationships/hyperlink" Target="https://www.macfarlanes.com/insights/102mx2y/unpacking-the-european-commissions-draft-new-merger-assessment-guidelines" TargetMode="External"/><Relationship Id="rIdqeu_zkp-zlvovpzfx1_kd" Type="http://schemas.openxmlformats.org/officeDocument/2006/relationships/hyperlink" Target="https://eur-lex.europa.eu/legal-content/EN/TXT/HTML/?uri=CELEX:52004XC0205(02)" TargetMode="External"/><Relationship Id="rId3j9mjzyqeedmm0aocypsw" Type="http://schemas.openxmlformats.org/officeDocument/2006/relationships/hyperlink" Target="https://eur-lex.europa.eu/legal-content/EN/TXT/HTML/?uri=CELEX:52004XC0205(02)" TargetMode="External"/><Relationship Id="rIdnmontsa4osknbm5p17qwf" Type="http://schemas.openxmlformats.org/officeDocument/2006/relationships/hyperlink" Target="https://competition-policy.ec.europa.eu/mergers/review-merger-guidelines_en" TargetMode="External"/><Relationship Id="rIdttjjsvsifjr-zzcrqasb5" Type="http://schemas.openxmlformats.org/officeDocument/2006/relationships/hyperlink" Target="https://competition-policy.ec.europa.eu/mergers/overview_en" TargetMode="External"/><Relationship Id="rId4vwj7i2ex2bleftu9f8tw" Type="http://schemas.openxmlformats.org/officeDocument/2006/relationships/hyperlink" Target="https://competition-policy.ec.europa.eu/mergers_en" TargetMode="External"/><Relationship Id="rIdk4n6b2a36rrfmzm3avdcu" Type="http://schemas.openxmlformats.org/officeDocument/2006/relationships/hyperlink" Target="https://competition-policy.ec.europa.eu/mergers/procedures_en" TargetMode="External"/><Relationship Id="rIdfy0dsvg1pebvvtglghib6" Type="http://schemas.openxmlformats.org/officeDocument/2006/relationships/hyperlink" Target="https://competition-policy.ec.europa.eu/system/files/2021-02/merger_control_procedures_en.pdf" TargetMode="External"/><Relationship Id="rIda4ullowm_dpvzgte9hi2o" Type="http://schemas.openxmlformats.org/officeDocument/2006/relationships/hyperlink" Target="https://competition-policy.ec.europa.eu/document/download/46dde10f-85c1-4590-a3f4-2b71f85685ef_en?filename=Merger%20Guidelines%20-%20final%20for%20public%20consultation.pdf" TargetMode="External"/><Relationship Id="rId9xtkvfadwvmy7niwgo1ti" Type="http://schemas.openxmlformats.org/officeDocument/2006/relationships/hyperlink" Target="https://competition-policy.ec.europa.eu/document/download/347618b1-7228-4720-bb0e-520fb461735d_en?filename=Draft_Merger_Guidelines_-_Summary_of_Key_Technical_Novelties.pdf" TargetMode="External"/><Relationship Id="rIdqckasvszi6vyxklmzng7b" Type="http://schemas.openxmlformats.org/officeDocument/2006/relationships/hyperlink" Target="https://www.sullcrom.com/insights/memo/2026/May/EU-Merger-Control-New-Draft-Merger-Guidelines" TargetMode="External"/><Relationship Id="rIdao2ggy8za7o2q1caffhz7" Type="http://schemas.openxmlformats.org/officeDocument/2006/relationships/hyperlink" Target="https://competition-policy.ec.europa.eu/document/download/347618b1-7228-4720-bb0e-520fb461735d_en?filename=Draft_Merger_Guidelines_-_Summary_of_Key_Technical_Novelties.pdf" TargetMode="External"/><Relationship Id="rIdgl6dzzvmluclbbfqbueqe" Type="http://schemas.openxmlformats.org/officeDocument/2006/relationships/hyperlink" Target="https://www.sullcrom.com/insights/memo/2026/May/EU-Merger-Control-New-Draft-Merger-Guidelines" TargetMode="External"/><Relationship Id="rId_mmgrv-kziejybnhg7vvh" Type="http://schemas.openxmlformats.org/officeDocument/2006/relationships/hyperlink" Target="https://competition-policy.ec.europa.eu/mergers/overview_en" TargetMode="External"/><Relationship Id="rId_rjuxlmkxuxriuj8gncfy" Type="http://schemas.openxmlformats.org/officeDocument/2006/relationships/hyperlink" Target="https://competition-policy.ec.europa.eu/mergers_en" TargetMode="External"/><Relationship Id="rId0cgp0petkkizlz-airgjp" Type="http://schemas.openxmlformats.org/officeDocument/2006/relationships/hyperlink" Target="https://competition-policy.ec.europa.eu/document/download/347618b1-7228-4720-bb0e-520fb461735d_en?filename=Draft_Merger_Guidelines_-_Summary_of_Key_Technical_Novelties.pdf" TargetMode="External"/><Relationship Id="rIddvac0hft-suakri90osim" Type="http://schemas.openxmlformats.org/officeDocument/2006/relationships/hyperlink" Target="https://www.macfarlanes.com/insights/102mx2y/unpacking-the-european-commissions-draft-new-merger-assessment-guidelines" TargetMode="External"/><Relationship Id="rIdhw6-zcpondm1dvglyw5h0" Type="http://schemas.openxmlformats.org/officeDocument/2006/relationships/hyperlink" Target="https://competition-policy.ec.europa.eu/document/download/347618b1-7228-4720-bb0e-520fb461735d_en?filename=Draft_Merger_Guidelines_-_Summary_of_Key_Technical_Novelties.pdf" TargetMode="External"/><Relationship Id="rIdatyr8f7yk3sun9a6h3a-e" Type="http://schemas.openxmlformats.org/officeDocument/2006/relationships/hyperlink" Target="https://www.macfarlanes.com/insights/102mx2y/unpacking-the-european-commissions-draft-new-merger-assessment-guidelines" TargetMode="External"/><Relationship Id="rIdtrohqi6mcij3jjpnfgpwm" Type="http://schemas.openxmlformats.org/officeDocument/2006/relationships/hyperlink" Target="https://competition-policy.ec.europa.eu/mergers/overview_en" TargetMode="External"/><Relationship Id="rIdpkys-0ofx0mkj5b9ivvbi" Type="http://schemas.openxmlformats.org/officeDocument/2006/relationships/hyperlink" Target="https://competition-policy.ec.europa.eu/mergers_en" TargetMode="External"/><Relationship Id="rIdpdqbj8du_jy6whlz4ysgr" Type="http://schemas.openxmlformats.org/officeDocument/2006/relationships/hyperlink" Target="https://eur-lex.europa.eu/legal-content/EN/TXT/HTML/?uri=CELEX:32004R0139" TargetMode="External"/><Relationship Id="rIdqof-vcqrabzghkutu1rlx" Type="http://schemas.openxmlformats.org/officeDocument/2006/relationships/hyperlink" Target="https://competition-policy.ec.europa.eu/public-consultations/2021-merger-control_en" TargetMode="External"/><Relationship Id="rIdgvh7yglj3cl-d3uddtoqw" Type="http://schemas.openxmlformats.org/officeDocument/2006/relationships/hyperlink" Target="https://competition-policy.ec.europa.eu/mergers/review-merger-guidelines_en" TargetMode="External"/><Relationship Id="rIdeuhkjbx79qd1k2u1k9uuv" Type="http://schemas.openxmlformats.org/officeDocument/2006/relationships/hyperlink" Target="https://www.oecd.org/en/publications/standard-for-merger-review_4d67d71a-en.html" TargetMode="External"/><Relationship Id="rId4purt1akge42zlrvscm9o" Type="http://schemas.openxmlformats.org/officeDocument/2006/relationships/hyperlink" Target="https://www.oecd.org/en/topics/policy-issues/competition.html" TargetMode="External"/><Relationship Id="rIdgx6qo_yprmctix7-hosmj" Type="http://schemas.openxmlformats.org/officeDocument/2006/relationships/hyperlink" Target="https://competition-policy.ec.europa.eu/mergers/overview_en" TargetMode="External"/><Relationship Id="rIdf0nnnxvnlvt27k8eek_vd" Type="http://schemas.openxmlformats.org/officeDocument/2006/relationships/hyperlink" Target="https://www.oecd.org/en/publications/definition-of-transaction-for-the-purpose-of-merger-control-review_36e27703-en.html" TargetMode="External"/><Relationship Id="rIdnxjh2drj3xp85cwjpglwr" Type="http://schemas.openxmlformats.org/officeDocument/2006/relationships/hyperlink" Target="https://ec.europa.eu/competition/mergers/cases1/202520/M_2416_10624385_39_6.pdf" TargetMode="External"/><Relationship Id="rId-cczipdsouw2ccu8ne6kj" Type="http://schemas.openxmlformats.org/officeDocument/2006/relationships/hyperlink" Target="https://ec.europa.eu/competition/mergers/cases1/202520/M_2416_10624385_39_6.pdf" TargetMode="External"/><Relationship Id="rIdd6nxosacpoj3eaoydxhpl" Type="http://schemas.openxmlformats.org/officeDocument/2006/relationships/hyperlink" Target="https://ec.europa.eu/competition/mergers/cases1/202520/M_2416_10624385_39_6.pdf" TargetMode="External"/><Relationship Id="rIdazechicmciziqbqxeiqgi" Type="http://schemas.openxmlformats.org/officeDocument/2006/relationships/hyperlink" Target="https://ec.europa.eu/competition/mergers/cases1/202520/M_2416_10624385_39_6.pdf" TargetMode="External"/><Relationship Id="rIdioniwva59kapw5z3gcu-u" Type="http://schemas.openxmlformats.org/officeDocument/2006/relationships/hyperlink" Target="https://ec.europa.eu/competition/mergers/cases1/202520/M_2416_10624385_39_6.pdf" TargetMode="External"/><Relationship Id="rIdckeumsxsvnvm3gpk6zvnt" Type="http://schemas.openxmlformats.org/officeDocument/2006/relationships/hyperlink" Target="https://ec.europa.eu/competition/mergers/cases1/202520/M_2416_10624385_39_6.pdf" TargetMode="External"/><Relationship Id="rIddsh7nnyxaflktpril6l45" Type="http://schemas.openxmlformats.org/officeDocument/2006/relationships/hyperlink" Target="https://ec.europa.eu/competition/mergers/cases1/202520/M_2416_10624385_39_6.pdf" TargetMode="External"/><Relationship Id="rIda6yfwtusu2pvr4wy0xhr0" Type="http://schemas.openxmlformats.org/officeDocument/2006/relationships/hyperlink" Target="https://ec.europa.eu/competition/mergers/cases1/202520/M_2416_10624385_39_6.pdf" TargetMode="External"/><Relationship Id="rIdyaguwo7ivap5cize6dxap" Type="http://schemas.openxmlformats.org/officeDocument/2006/relationships/hyperlink" Target="https://ec.europa.eu/competition/mergers/cases1/202520/M_2416_10624385_39_6.pdf" TargetMode="External"/><Relationship Id="rIdkfjhp2typiikdkntjck-x" Type="http://schemas.openxmlformats.org/officeDocument/2006/relationships/hyperlink" Target="https://ec.europa.eu/competition/mergers/cases1/202520/M_2416_10624385_39_6.pdf" TargetMode="External"/><Relationship Id="rIdt4m4igsbodo2sqphv4a_x" Type="http://schemas.openxmlformats.org/officeDocument/2006/relationships/hyperlink" Target="https://ec.europa.eu/competition/mergers/cases1/202520/M_2416_10624385_39_6.pdf" TargetMode="External"/><Relationship Id="rId90zi0mtsrqqo8cx0zrh9e" Type="http://schemas.openxmlformats.org/officeDocument/2006/relationships/hyperlink" Target="https://ec.europa.eu/competition/mergers/cases1/202520/M_2416_10624385_39_6.pdf" TargetMode="External"/><Relationship Id="rIdc4jbasvqqqclxqjsmqser" Type="http://schemas.openxmlformats.org/officeDocument/2006/relationships/hyperlink" Target="https://ec.europa.eu/competition/mergers/cases1/202520/M_2416_10624385_39_6.pdf" TargetMode="External"/><Relationship Id="rIduedefyqfz6wmqy7ze7peu" Type="http://schemas.openxmlformats.org/officeDocument/2006/relationships/hyperlink" Target="https://ec.europa.eu/competition/mergers/cases1/202520/M_2416_10624385_39_6.pdf" TargetMode="External"/><Relationship Id="rIddewkxu6rs6bhbhnz8-fyf" Type="http://schemas.openxmlformats.org/officeDocument/2006/relationships/hyperlink" Target="https://ec.europa.eu/competition/mergers/cases1/202520/M_2416_10624385_39_6.pdf" TargetMode="External"/><Relationship Id="rId49iafx0ykjcatp0hvaylm" Type="http://schemas.openxmlformats.org/officeDocument/2006/relationships/hyperlink" Target="https://ec.europa.eu/competition/mergers/cases1/202520/M_2416_10624385_39_6.pdf" TargetMode="External"/><Relationship Id="rIdsvis2-fwdc0ogpck1byov" Type="http://schemas.openxmlformats.org/officeDocument/2006/relationships/hyperlink" Target="https://ec.europa.eu/competition/mergers/cases1/202520/M_2416_10624385_39_6.pdf" TargetMode="External"/><Relationship Id="rIdvevlyrl5vfag7v4dmipbo" Type="http://schemas.openxmlformats.org/officeDocument/2006/relationships/hyperlink" Target="https://ec.europa.eu/competition/mergers/cases1/202520/M_2416_10624385_39_6.pdf" TargetMode="External"/><Relationship Id="rIdgc7u-mp4lkwz4nkt_euvw" Type="http://schemas.openxmlformats.org/officeDocument/2006/relationships/hyperlink" Target="https://ec.europa.eu/competition/mergers/cases1/202520/M_2416_10624385_39_6.pdf" TargetMode="External"/><Relationship Id="rIdliozxrvyb53aeskq2h_c0" Type="http://schemas.openxmlformats.org/officeDocument/2006/relationships/hyperlink" Target="https://ec.europa.eu/competition/mergers/cases1/202520/M_2416_10624385_39_6.pdf" TargetMode="External"/><Relationship Id="rIdldplypsdejupipkblgbft" Type="http://schemas.openxmlformats.org/officeDocument/2006/relationships/hyperlink" Target="https://ec.europa.eu/competition/mergers/cases1/202520/M_2416_10624385_39_6.pdf" TargetMode="External"/><Relationship Id="rIdqp_skuk3wxwrqas77c-wb" Type="http://schemas.openxmlformats.org/officeDocument/2006/relationships/hyperlink" Target="https://ec.europa.eu/competition/mergers/cases1/202520/M_2416_10624385_39_6.pdf" TargetMode="External"/><Relationship Id="rIdlf-gvs2z7g_n3wnca5i-_" Type="http://schemas.openxmlformats.org/officeDocument/2006/relationships/hyperlink" Target="https://ec.europa.eu/competition/mergers/cases1/202520/M_2416_10624385_39_6.pdf" TargetMode="External"/><Relationship Id="rIdqp5ouiddohaihz1aii0f6" Type="http://schemas.openxmlformats.org/officeDocument/2006/relationships/hyperlink" Target="https://ec.europa.eu/competition/mergers/cases1/202520/M_2416_10624385_39_6.pdf" TargetMode="External"/><Relationship Id="rId5qkd_s5ggc_rxcpgjdfpj" Type="http://schemas.openxmlformats.org/officeDocument/2006/relationships/hyperlink" Target="https://ec.europa.eu/competition/mergers/cases1/202520/M_2416_10624385_39_6.pdf" TargetMode="External"/><Relationship Id="rIdj9rzzka_qxsxsjxi8y1yf" Type="http://schemas.openxmlformats.org/officeDocument/2006/relationships/hyperlink" Target="https://ec.europa.eu/competition/mergers/cases1/202520/M_2416_10624385_39_6.pdf" TargetMode="External"/><Relationship Id="rIdkxj8uk31vsy7x5p8ho19g" Type="http://schemas.openxmlformats.org/officeDocument/2006/relationships/hyperlink" Target="https://ec.europa.eu/competition/mergers/cases1/202520/M_2416_10624385_39_6.pdf" TargetMode="External"/><Relationship Id="rIdn0m-rv069hpmmggc2vlt6" Type="http://schemas.openxmlformats.org/officeDocument/2006/relationships/hyperlink" Target="https://ec.europa.eu/competition/mergers/cases1/202520/M_2416_10624385_39_6.pdf" TargetMode="External"/><Relationship Id="rIdt4ugccauegm93iyl_qgp1" Type="http://schemas.openxmlformats.org/officeDocument/2006/relationships/hyperlink" Target="https://competition-policy.ec.europa.eu/mergers/review-merger-guidelines_en" TargetMode="External"/><Relationship Id="rIdvalytglzb5rwpk-nahmuv" Type="http://schemas.openxmlformats.org/officeDocument/2006/relationships/hyperlink" Target="https://competition-policy.ec.europa.eu/document/download/46dde10f-85c1-4590-a3f4-2b71f85685ef_en?filename=Merger%20Guidelines%20-%20final%20for%20public%20consultation.pdf" TargetMode="External"/><Relationship Id="rIds7hcsbbszf9els50pa5lt" Type="http://schemas.openxmlformats.org/officeDocument/2006/relationships/hyperlink" Target="https://eur-lex.europa.eu/legal-content/EN/TXT/HTML/?uri=CELEX:52004XC0205(02)" TargetMode="External"/><Relationship Id="rIdi2e0gkhmlv6bfxvfm_-t7" Type="http://schemas.openxmlformats.org/officeDocument/2006/relationships/hyperlink" Target="https://competition-policy.ec.europa.eu/document/download/347618b1-7228-4720-bb0e-520fb461735d_en?filename=Draft_Merger_Guidelines_-_Summary_of_Key_Technical_Novelties.pdf" TargetMode="External"/><Relationship Id="rIdjjep9dzk0fw12uuazzepx" Type="http://schemas.openxmlformats.org/officeDocument/2006/relationships/hyperlink" Target="https://www.sullcrom.com/insights/memo/2026/May/EU-Merger-Control-New-Draft-Merger-Guidelines" TargetMode="External"/><Relationship Id="rIdkskn_a_3larb9lurf5scu" Type="http://schemas.openxmlformats.org/officeDocument/2006/relationships/hyperlink" Target="https://www.macfarlanes.com/insights/102mx2y/unpacking-the-european-commissions-draft-new-merger-assessment-guidelines" TargetMode="External"/><Relationship Id="rIdbh3glqha5p53z17i0wawe" Type="http://schemas.openxmlformats.org/officeDocument/2006/relationships/hyperlink" Target="https://competition-policy.ec.europa.eu/mergers/overview_en" TargetMode="External"/><Relationship Id="rIdvlpmvt6j7rqeiipv1ibun" Type="http://schemas.openxmlformats.org/officeDocument/2006/relationships/hyperlink" Target="https://competition-policy.ec.europa.eu/mergers_en" TargetMode="External"/><Relationship Id="rIdht4szjcb1jprlfyzjce5u" Type="http://schemas.openxmlformats.org/officeDocument/2006/relationships/hyperlink" Target="https://competition-policy.ec.europa.eu/mergers/procedures_en" TargetMode="External"/><Relationship Id="rId47mcw0nfa4y4g2mno3ebq" Type="http://schemas.openxmlformats.org/officeDocument/2006/relationships/hyperlink" Target="https://competition-policy.ec.europa.eu/system/files/2021-02/merger_control_procedures_en.pdf" TargetMode="External"/><Relationship Id="rIdlalxrqplc5apqhd5lqytf" Type="http://schemas.openxmlformats.org/officeDocument/2006/relationships/hyperlink" Target="https://eur-lex.europa.eu/legal-content/EN/TXT/HTML/?uri=CELEX:32004R0139" TargetMode="External"/><Relationship Id="rId1rd7piyq2uujekkdbjzxm" Type="http://schemas.openxmlformats.org/officeDocument/2006/relationships/hyperlink" Target="https://competition-policy.ec.europa.eu/public-consultations/2021-merger-control_en" TargetMode="External"/><Relationship Id="rIdwb_aiekpec5_u1wicptqa" Type="http://schemas.openxmlformats.org/officeDocument/2006/relationships/hyperlink" Target="https://www.oecd.org/en/publications/standard-for-merger-review_4d67d71a-en.html" TargetMode="External"/><Relationship Id="rIdnohfulpmcl0byhidkltqc" Type="http://schemas.openxmlformats.org/officeDocument/2006/relationships/hyperlink" Target="https://www.oecd.org/en/topics/policy-issues/competition.html" TargetMode="External"/><Relationship Id="rIdzfb91ve7cdslgqq8lkytd" Type="http://schemas.openxmlformats.org/officeDocument/2006/relationships/hyperlink" Target="https://www.oecd.org/en/publications/definition-of-transaction-for-the-purpose-of-merger-control-review_36e27703-en.html" TargetMode="External"/><Relationship Id="rIduuk2frvj2zqe4wdpbhqik" Type="http://schemas.openxmlformats.org/officeDocument/2006/relationships/hyperlink" Target="https://ec.europa.eu/competition/mergers/cases1/202520/M_2416_10624385_39_6.pdf" TargetMode="External"/><Relationship Id="rId1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2026-09-02T11:31:59.538Z</dcterms:created>
  <dcterms:modified xsi:type="dcterms:W3CDTF">2026-09-02T11:31:59.538Z</dcterms:modified>
</cp:coreProperties>
</file>

<file path=docProps/custom.xml><?xml version="1.0" encoding="utf-8"?>
<Properties xmlns="http://schemas.openxmlformats.org/officeDocument/2006/custom-properties" xmlns:vt="http://schemas.openxmlformats.org/officeDocument/2006/docPropsVTypes"/>
</file>