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Calibri" w:cs="Calibri" w:eastAsia="Calibri" w:hAnsi="Calibri"/>
          <w:b/>
          <w:bCs/>
          <w:color w:val="1F4E5F"/>
          <w:sz w:val="40"/>
          <w:szCs w:val="40"/>
        </w:rPr>
        <w:t xml:space="preserve">Response Transcript — Sample 2</w:t>
      </w:r>
    </w:p>
    <w:p>
      <w:pPr>
        <w:pBdr>
          <w:bottom w:val="single" w:color="CCCCCC" w:sz="6" w:space="4"/>
        </w:pBdr>
        <w:spacing w:after="300"/>
      </w:pPr>
    </w:p>
    <w:p>
      <w:pPr>
        <w:pStyle w:val="Heading1"/>
        <w:spacing w:after="140" w:before="280"/>
      </w:pPr>
      <w:r>
        <w:rPr>
          <w:rFonts w:ascii="Calibri" w:cs="Calibri" w:eastAsia="Calibri" w:hAnsi="Calibri"/>
          <w:b/>
          <w:bCs/>
          <w:color w:val="1F4E5F"/>
          <w:sz w:val="26"/>
          <w:szCs w:val="26"/>
        </w:rPr>
        <w:t xml:space="preserve">User Query</w:t>
      </w:r>
    </w:p>
    <w:p>
      <w:pPr>
        <w:pBdr>
          <w:left w:val="single" w:color="1F4E5F" w:sz="18" w:space="8"/>
        </w:pBdr>
        <w:spacing w:after="240"/>
        <w:ind w:left="360"/>
      </w:pPr>
      <w:r>
        <w:rPr>
          <w:rFonts w:ascii="Calibri" w:cs="Calibri" w:eastAsia="Calibri" w:hAnsi="Calibri"/>
          <w:i/>
          <w:iCs/>
          <w:sz w:val="24"/>
          <w:szCs w:val="24"/>
        </w:rPr>
        <w:t xml:space="preserve">What are the most important indicators used in merger assessment?</w:t>
      </w:r>
    </w:p>
    <w:p>
      <w:pPr>
        <w:pStyle w:val="Heading1"/>
        <w:spacing w:after="140" w:before="280"/>
      </w:pPr>
      <w:r>
        <w:rPr>
          <w:rFonts w:ascii="Calibri" w:cs="Calibri" w:eastAsia="Calibri" w:hAnsi="Calibri"/>
          <w:b/>
          <w:bCs/>
          <w:color w:val="1F4E5F"/>
          <w:sz w:val="26"/>
          <w:szCs w:val="26"/>
        </w:rPr>
        <w:t xml:space="preserve">System Response</w:t>
      </w:r>
    </w:p>
    <w:p>
      <w:pPr>
        <w:spacing w:after="140"/>
      </w:pPr>
      <w:r>
        <w:rPr>
          <w:rFonts w:ascii="Calibri" w:cs="Calibri" w:eastAsia="Calibri" w:hAnsi="Calibri"/>
          <w:i w:val="false"/>
          <w:iCs w:val="false"/>
          <w:sz w:val="22"/>
          <w:szCs w:val="22"/>
        </w:rPr>
        <w:t xml:space="preserve">The most important indicators used in merger assessment include market concentration, rea-cussive mergers with competition, barriers to entry, buyer power, and seller power. Market concentration is determined by calculating the Herfindahl-Hirschman Index (HHI), which takes into account the market share of all firms, while, rea-cussive mergers with competition cannot lead to higher prices and reduced output, and barriers to entry refer to the degree of difficulty in entering the market, which impacts competition. Buyer power refers to the ability of purchasers to have a significant impact on the market, while seller power refers to the degree of competition that exists in the upstream market, which influences firms' bargaining power.</w:t>
      </w:r>
    </w:p>
    <w:p>
      <w:pPr>
        <w:pStyle w:val="Heading1"/>
        <w:spacing w:after="140" w:before="280"/>
      </w:pPr>
      <w:r>
        <w:rPr>
          <w:rFonts w:ascii="Calibri" w:cs="Calibri" w:eastAsia="Calibri" w:hAnsi="Calibri"/>
          <w:b/>
          <w:bCs/>
          <w:color w:val="1F4E5F"/>
          <w:sz w:val="26"/>
          <w:szCs w:val="26"/>
        </w:rPr>
        <w:t xml:space="preserve">Cited Sources</w:t>
      </w:r>
    </w:p>
    <w:p>
      <w:pPr>
        <w:spacing w:after="140"/>
      </w:pPr>
      <w:r>
        <w:rPr>
          <w:rFonts w:ascii="Calibri" w:cs="Calibri" w:eastAsia="Calibri" w:hAnsi="Calibri"/>
          <w:i/>
          <w:iCs/>
          <w:sz w:val="22"/>
          <w:szCs w:val="22"/>
        </w:rPr>
        <w:t xml:space="preserve">No source links were included in the original response.</w:t>
      </w:r>
    </w:p>
    <w:sectPr>
      <w:headerReference w:type="default" r:id="rId7"/>
      <w:footerReference w:type="default" r:id="rId8"/>
      <w:pgSz w:w="12240" w:h="15840" w:orient="portrait"/>
      <w:pgMar w:top="1080" w:right="1350" w:bottom="108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Competition-Law Assistant Evaluation — Blinded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2026-09-02T10:46:34.904Z</dcterms:created>
  <dcterms:modified xsi:type="dcterms:W3CDTF">2026-09-02T10:46:34.904Z</dcterms:modified>
</cp:coreProperties>
</file>

<file path=docProps/custom.xml><?xml version="1.0" encoding="utf-8"?>
<Properties xmlns="http://schemas.openxmlformats.org/officeDocument/2006/custom-properties" xmlns:vt="http://schemas.openxmlformats.org/officeDocument/2006/docPropsVTypes"/>
</file>