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Calibri" w:cs="Calibri" w:eastAsia="Calibri" w:hAnsi="Calibri"/>
          <w:b/>
          <w:bCs/>
          <w:color w:val="1F4E5F"/>
          <w:sz w:val="32"/>
          <w:szCs w:val="32"/>
        </w:rPr>
        <w:t xml:space="preserve">Response Transcript — Sample 5</w:t>
      </w:r>
    </w:p>
    <w:p>
      <w:pPr>
        <w:pBdr>
          <w:bottom w:val="single" w:color="AAAAAA" w:sz="6" w:space="4"/>
        </w:pBdr>
        <w:spacing w:after="200" w:before="200"/>
      </w:pPr>
    </w:p>
    <w:p>
      <w:pPr>
        <w:spacing w:after="120" w:before="240"/>
      </w:pPr>
      <w:r>
        <w:rPr>
          <w:rFonts w:ascii="Calibri" w:cs="Calibri" w:eastAsia="Calibri" w:hAnsi="Calibri"/>
          <w:b/>
          <w:bCs/>
          <w:color w:val="1F4E5F"/>
          <w:sz w:val="24"/>
          <w:szCs w:val="24"/>
        </w:rPr>
        <w:t xml:space="preserve">User Query</w:t>
      </w:r>
    </w:p>
    <w:p>
      <w:pPr>
        <w:pBdr>
          <w:left w:val="single" w:color="1F4E5F" w:sz="12" w:space="8"/>
        </w:pBdr>
        <w:spacing w:after="200"/>
        <w:ind w:left="360"/>
      </w:pPr>
      <w:r>
        <w:rPr>
          <w:rFonts w:ascii="Calibri" w:cs="Calibri" w:eastAsia="Calibri" w:hAnsi="Calibri"/>
          <w:i/>
          <w:iCs/>
          <w:sz w:val="22"/>
          <w:szCs w:val="22"/>
        </w:rPr>
        <w:t xml:space="preserve">What are the most important indicators used in merger assessment?</w:t>
      </w:r>
    </w:p>
    <w:p>
      <w:pPr>
        <w:spacing w:after="120" w:before="240"/>
      </w:pPr>
      <w:r>
        <w:rPr>
          <w:rFonts w:ascii="Calibri" w:cs="Calibri" w:eastAsia="Calibri" w:hAnsi="Calibri"/>
          <w:b/>
          <w:bCs/>
          <w:color w:val="1F4E5F"/>
          <w:sz w:val="24"/>
          <w:szCs w:val="24"/>
        </w:rPr>
        <w:t xml:space="preserve">System Response</w:t>
      </w:r>
    </w:p>
    <w:p>
      <w:pPr>
        <w:spacing w:after="120"/>
      </w:pPr>
      <w:r>
        <w:rPr>
          <w:rFonts w:ascii="Calibri" w:cs="Calibri" w:eastAsia="Calibri" w:hAnsi="Calibri"/>
          <w:b w:val="false"/>
          <w:bCs w:val="false"/>
          <w:i w:val="false"/>
          <w:iCs w:val="false"/>
          <w:sz w:val="22"/>
          <w:szCs w:val="22"/>
        </w:rPr>
        <w:t xml:space="preserve">Merger assessment (antitrust/competition review of mergers and acquisitions) typically draws on a mix of market-structure, competitive-effects, and efficiency indicators. Here's an overview of the main ones:</w:t>
      </w:r>
    </w:p>
    <w:p>
      <w:pPr>
        <w:spacing w:after="120" w:before="240"/>
      </w:pPr>
      <w:r>
        <w:rPr>
          <w:rFonts w:ascii="Calibri" w:cs="Calibri" w:eastAsia="Calibri" w:hAnsi="Calibri"/>
          <w:b/>
          <w:bCs/>
          <w:sz w:val="22"/>
          <w:szCs w:val="22"/>
        </w:rPr>
        <w:t xml:space="preserve">Market Definition &amp; Structure</w:t>
      </w:r>
    </w:p>
    <w:p>
      <w:pPr>
        <w:pStyle w:val="ListParagraph"/>
        <w:numPr>
          <w:ilvl w:val="0"/>
          <w:numId w:val="2"/>
        </w:numPr>
        <w:spacing w:after="100"/>
      </w:pPr>
      <w:r>
        <w:rPr>
          <w:rFonts w:ascii="Calibri" w:cs="Calibri" w:eastAsia="Calibri" w:hAnsi="Calibri"/>
          <w:b/>
          <w:bCs/>
          <w:i w:val="false"/>
          <w:iCs w:val="false"/>
          <w:sz w:val="22"/>
          <w:szCs w:val="22"/>
        </w:rPr>
        <w:t xml:space="preserve">Relevant market definition</w:t>
      </w:r>
      <w:r>
        <w:rPr>
          <w:rFonts w:ascii="Calibri" w:cs="Calibri" w:eastAsia="Calibri" w:hAnsi="Calibri"/>
          <w:b w:val="false"/>
          <w:bCs w:val="false"/>
          <w:i w:val="false"/>
          <w:iCs w:val="false"/>
          <w:sz w:val="22"/>
          <w:szCs w:val="22"/>
        </w:rPr>
        <w:t xml:space="preserve"> — product and geographic market boundaries, often using the "SSNIP" test (Small but Significant Non-transitory Increase in Price) or hypothetical monopolist test</w:t>
      </w:r>
    </w:p>
    <w:p>
      <w:pPr>
        <w:pStyle w:val="ListParagraph"/>
        <w:numPr>
          <w:ilvl w:val="0"/>
          <w:numId w:val="2"/>
        </w:numPr>
        <w:spacing w:after="100"/>
      </w:pPr>
      <w:r>
        <w:rPr>
          <w:rFonts w:ascii="Calibri" w:cs="Calibri" w:eastAsia="Calibri" w:hAnsi="Calibri"/>
          <w:b/>
          <w:bCs/>
          <w:i w:val="false"/>
          <w:iCs w:val="false"/>
          <w:sz w:val="22"/>
          <w:szCs w:val="22"/>
        </w:rPr>
        <w:t xml:space="preserve">Market shares</w:t>
      </w:r>
      <w:r>
        <w:rPr>
          <w:rFonts w:ascii="Calibri" w:cs="Calibri" w:eastAsia="Calibri" w:hAnsi="Calibri"/>
          <w:b w:val="false"/>
          <w:bCs w:val="false"/>
          <w:i w:val="false"/>
          <w:iCs w:val="false"/>
          <w:sz w:val="22"/>
          <w:szCs w:val="22"/>
        </w:rPr>
        <w:t xml:space="preserve"> — of the merging parties and rivals, pre- and post-merger</w:t>
      </w:r>
    </w:p>
    <w:p>
      <w:pPr>
        <w:pStyle w:val="ListParagraph"/>
        <w:numPr>
          <w:ilvl w:val="0"/>
          <w:numId w:val="2"/>
        </w:numPr>
        <w:spacing w:after="100"/>
      </w:pPr>
      <w:r>
        <w:rPr>
          <w:rFonts w:ascii="Calibri" w:cs="Calibri" w:eastAsia="Calibri" w:hAnsi="Calibri"/>
          <w:b/>
          <w:bCs/>
          <w:i w:val="false"/>
          <w:iCs w:val="false"/>
          <w:sz w:val="22"/>
          <w:szCs w:val="22"/>
        </w:rPr>
        <w:t xml:space="preserve">Concentration measures</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r>
    </w:p>
    <w:p>
      <w:pPr>
        <w:pStyle w:val="ListParagraph"/>
        <w:numPr>
          <w:ilvl w:val="1"/>
          <w:numId w:val="2"/>
        </w:numPr>
        <w:spacing w:after="100"/>
      </w:pPr>
      <w:r>
        <w:rPr>
          <w:rFonts w:ascii="Calibri" w:cs="Calibri" w:eastAsia="Calibri" w:hAnsi="Calibri"/>
          <w:b/>
          <w:bCs/>
          <w:i w:val="false"/>
          <w:iCs w:val="false"/>
          <w:sz w:val="22"/>
          <w:szCs w:val="22"/>
        </w:rPr>
        <w:t xml:space="preserve">HHI (Herfindahl-Hirschman Index)</w:t>
      </w:r>
      <w:r>
        <w:rPr>
          <w:rFonts w:ascii="Calibri" w:cs="Calibri" w:eastAsia="Calibri" w:hAnsi="Calibri"/>
          <w:b w:val="false"/>
          <w:bCs w:val="false"/>
          <w:i w:val="false"/>
          <w:iCs w:val="false"/>
          <w:sz w:val="22"/>
          <w:szCs w:val="22"/>
        </w:rPr>
        <w:t xml:space="preserve"> — sum of squared market shares; used to classify markets as unconcentrated, moderately concentrated, or highly concentrated, and to measure the </w:t>
      </w:r>
      <w:r>
        <w:rPr>
          <w:rFonts w:ascii="Calibri" w:cs="Calibri" w:eastAsia="Calibri" w:hAnsi="Calibri"/>
          <w:b w:val="false"/>
          <w:bCs w:val="false"/>
          <w:i/>
          <w:iCs/>
          <w:sz w:val="22"/>
          <w:szCs w:val="22"/>
        </w:rPr>
        <w:t xml:space="preserve">change</w:t>
      </w:r>
      <w:r>
        <w:rPr>
          <w:rFonts w:ascii="Calibri" w:cs="Calibri" w:eastAsia="Calibri" w:hAnsi="Calibri"/>
          <w:b w:val="false"/>
          <w:bCs w:val="false"/>
          <w:i w:val="false"/>
          <w:iCs w:val="false"/>
          <w:sz w:val="22"/>
          <w:szCs w:val="22"/>
        </w:rPr>
        <w:t xml:space="preserve"> in HHI (delta) from the merger</w:t>
      </w:r>
    </w:p>
    <w:p>
      <w:pPr>
        <w:pStyle w:val="ListParagraph"/>
        <w:numPr>
          <w:ilvl w:val="1"/>
          <w:numId w:val="2"/>
        </w:numPr>
        <w:spacing w:after="100"/>
      </w:pPr>
      <w:r>
        <w:rPr>
          <w:rFonts w:ascii="Calibri" w:cs="Calibri" w:eastAsia="Calibri" w:hAnsi="Calibri"/>
          <w:b/>
          <w:bCs/>
          <w:i w:val="false"/>
          <w:iCs w:val="false"/>
          <w:sz w:val="22"/>
          <w:szCs w:val="22"/>
        </w:rPr>
        <w:t xml:space="preserve">CR4/CR8</w:t>
      </w:r>
      <w:r>
        <w:rPr>
          <w:rFonts w:ascii="Calibri" w:cs="Calibri" w:eastAsia="Calibri" w:hAnsi="Calibri"/>
          <w:b w:val="false"/>
          <w:bCs w:val="false"/>
          <w:i w:val="false"/>
          <w:iCs w:val="false"/>
          <w:sz w:val="22"/>
          <w:szCs w:val="22"/>
        </w:rPr>
        <w:t xml:space="preserve"> — concentration ratios of the top 4 or 8 firms</w:t>
      </w:r>
    </w:p>
    <w:p>
      <w:pPr>
        <w:spacing w:after="120" w:before="240"/>
      </w:pPr>
      <w:r>
        <w:rPr>
          <w:rFonts w:ascii="Calibri" w:cs="Calibri" w:eastAsia="Calibri" w:hAnsi="Calibri"/>
          <w:b/>
          <w:bCs/>
          <w:sz w:val="22"/>
          <w:szCs w:val="22"/>
        </w:rPr>
        <w:t xml:space="preserve">Competitive Effects</w:t>
      </w:r>
    </w:p>
    <w:p>
      <w:pPr>
        <w:pStyle w:val="ListParagraph"/>
        <w:numPr>
          <w:ilvl w:val="0"/>
          <w:numId w:val="2"/>
        </w:numPr>
        <w:spacing w:after="100"/>
      </w:pPr>
      <w:r>
        <w:rPr>
          <w:rFonts w:ascii="Calibri" w:cs="Calibri" w:eastAsia="Calibri" w:hAnsi="Calibri"/>
          <w:b/>
          <w:bCs/>
          <w:i w:val="false"/>
          <w:iCs w:val="false"/>
          <w:sz w:val="22"/>
          <w:szCs w:val="22"/>
        </w:rPr>
        <w:t xml:space="preserve">Unilateral effects</w:t>
      </w:r>
      <w:r>
        <w:rPr>
          <w:rFonts w:ascii="Calibri" w:cs="Calibri" w:eastAsia="Calibri" w:hAnsi="Calibri"/>
          <w:b w:val="false"/>
          <w:bCs w:val="false"/>
          <w:i w:val="false"/>
          <w:iCs w:val="false"/>
          <w:sz w:val="22"/>
          <w:szCs w:val="22"/>
        </w:rPr>
        <w:t xml:space="preserve"> — whether the merger removes a close competitor, especially measured via: </w:t>
      </w:r>
      <w:r>
        <w:rPr>
          <w:rFonts w:ascii="Calibri" w:cs="Calibri" w:eastAsia="Calibri" w:hAnsi="Calibri"/>
          <w:b w:val="false"/>
          <w:bCs w:val="false"/>
          <w:i w:val="false"/>
          <w:iCs w:val="false"/>
          <w:sz w:val="22"/>
          <w:szCs w:val="22"/>
        </w:rPr>
        <w:t xml:space="preserve"/>
      </w:r>
    </w:p>
    <w:p>
      <w:pPr>
        <w:pStyle w:val="ListParagraph"/>
        <w:numPr>
          <w:ilvl w:val="1"/>
          <w:numId w:val="2"/>
        </w:numPr>
        <w:spacing w:after="100"/>
      </w:pPr>
      <w:r>
        <w:rPr>
          <w:rFonts w:ascii="Calibri" w:cs="Calibri" w:eastAsia="Calibri" w:hAnsi="Calibri"/>
          <w:b/>
          <w:bCs/>
          <w:i w:val="false"/>
          <w:iCs w:val="false"/>
          <w:sz w:val="22"/>
          <w:szCs w:val="22"/>
        </w:rPr>
        <w:t xml:space="preserve">Diversion ratios</w:t>
      </w:r>
      <w:r>
        <w:rPr>
          <w:rFonts w:ascii="Calibri" w:cs="Calibri" w:eastAsia="Calibri" w:hAnsi="Calibri"/>
          <w:b w:val="false"/>
          <w:bCs w:val="false"/>
          <w:i w:val="false"/>
          <w:iCs w:val="false"/>
          <w:sz w:val="22"/>
          <w:szCs w:val="22"/>
        </w:rPr>
        <w:t xml:space="preserve"> — the share of customers who would switch to the merging partner if one firm raised prices</w:t>
      </w:r>
    </w:p>
    <w:p>
      <w:pPr>
        <w:pStyle w:val="ListParagraph"/>
        <w:numPr>
          <w:ilvl w:val="1"/>
          <w:numId w:val="2"/>
        </w:numPr>
        <w:spacing w:after="100"/>
      </w:pPr>
      <w:r>
        <w:rPr>
          <w:rFonts w:ascii="Calibri" w:cs="Calibri" w:eastAsia="Calibri" w:hAnsi="Calibri"/>
          <w:b/>
          <w:bCs/>
          <w:i w:val="false"/>
          <w:iCs w:val="false"/>
          <w:sz w:val="22"/>
          <w:szCs w:val="22"/>
        </w:rPr>
        <w:t xml:space="preserve">Upward Pricing Pressure (UPP) / GUPPI</w:t>
      </w:r>
      <w:r>
        <w:rPr>
          <w:rFonts w:ascii="Calibri" w:cs="Calibri" w:eastAsia="Calibri" w:hAnsi="Calibri"/>
          <w:b w:val="false"/>
          <w:bCs w:val="false"/>
          <w:i w:val="false"/>
          <w:iCs w:val="false"/>
          <w:sz w:val="22"/>
          <w:szCs w:val="22"/>
        </w:rPr>
        <w:t xml:space="preserve"> (Gross Upward Pricing Pressure Index) — estimates incentive to raise prices post-merger based on diversion and margins</w:t>
      </w:r>
    </w:p>
    <w:p>
      <w:pPr>
        <w:pStyle w:val="ListParagraph"/>
        <w:numPr>
          <w:ilvl w:val="1"/>
          <w:numId w:val="2"/>
        </w:numPr>
        <w:spacing w:after="100"/>
      </w:pPr>
      <w:r>
        <w:rPr>
          <w:rFonts w:ascii="Calibri" w:cs="Calibri" w:eastAsia="Calibri" w:hAnsi="Calibri"/>
          <w:b/>
          <w:bCs/>
          <w:i w:val="false"/>
          <w:iCs w:val="false"/>
          <w:sz w:val="22"/>
          <w:szCs w:val="22"/>
        </w:rPr>
        <w:t xml:space="preserve">Critical loss analysis</w:t>
      </w:r>
    </w:p>
    <w:p>
      <w:pPr>
        <w:pStyle w:val="ListParagraph"/>
        <w:numPr>
          <w:ilvl w:val="0"/>
          <w:numId w:val="2"/>
        </w:numPr>
        <w:spacing w:after="100"/>
      </w:pPr>
      <w:r>
        <w:rPr>
          <w:rFonts w:ascii="Calibri" w:cs="Calibri" w:eastAsia="Calibri" w:hAnsi="Calibri"/>
          <w:b/>
          <w:bCs/>
          <w:i w:val="false"/>
          <w:iCs w:val="false"/>
          <w:sz w:val="22"/>
          <w:szCs w:val="22"/>
        </w:rPr>
        <w:t xml:space="preserve">Coordinated effects</w:t>
      </w:r>
      <w:r>
        <w:rPr>
          <w:rFonts w:ascii="Calibri" w:cs="Calibri" w:eastAsia="Calibri" w:hAnsi="Calibri"/>
          <w:b w:val="false"/>
          <w:bCs w:val="false"/>
          <w:i w:val="false"/>
          <w:iCs w:val="false"/>
          <w:sz w:val="22"/>
          <w:szCs w:val="22"/>
        </w:rPr>
        <w:t xml:space="preserve"> — likelihood the merger makes tacit collusion or coordination among remaining firms easier (market transparency, symmetry, frequency of interaction)</w:t>
      </w:r>
    </w:p>
    <w:p>
      <w:pPr>
        <w:pStyle w:val="ListParagraph"/>
        <w:numPr>
          <w:ilvl w:val="0"/>
          <w:numId w:val="2"/>
        </w:numPr>
        <w:spacing w:after="100"/>
      </w:pPr>
      <w:r>
        <w:rPr>
          <w:rFonts w:ascii="Calibri" w:cs="Calibri" w:eastAsia="Calibri" w:hAnsi="Calibri"/>
          <w:b/>
          <w:bCs/>
          <w:i w:val="false"/>
          <w:iCs w:val="false"/>
          <w:sz w:val="22"/>
          <w:szCs w:val="22"/>
        </w:rPr>
        <w:t xml:space="preserve">Barriers to entry and expansion</w:t>
      </w:r>
      <w:r>
        <w:rPr>
          <w:rFonts w:ascii="Calibri" w:cs="Calibri" w:eastAsia="Calibri" w:hAnsi="Calibri"/>
          <w:b w:val="false"/>
          <w:bCs w:val="false"/>
          <w:i w:val="false"/>
          <w:iCs w:val="false"/>
          <w:sz w:val="22"/>
          <w:szCs w:val="22"/>
        </w:rPr>
        <w:t xml:space="preserve"> — how easily new firms could enter or existing rivals expand to discipline price increases</w:t>
      </w:r>
    </w:p>
    <w:p>
      <w:pPr>
        <w:pStyle w:val="ListParagraph"/>
        <w:numPr>
          <w:ilvl w:val="0"/>
          <w:numId w:val="2"/>
        </w:numPr>
        <w:spacing w:after="100"/>
      </w:pPr>
      <w:r>
        <w:rPr>
          <w:rFonts w:ascii="Calibri" w:cs="Calibri" w:eastAsia="Calibri" w:hAnsi="Calibri"/>
          <w:b/>
          <w:bCs/>
          <w:i w:val="false"/>
          <w:iCs w:val="false"/>
          <w:sz w:val="22"/>
          <w:szCs w:val="22"/>
        </w:rPr>
        <w:t xml:space="preserve">Countervailing buyer power</w:t>
      </w:r>
      <w:r>
        <w:rPr>
          <w:rFonts w:ascii="Calibri" w:cs="Calibri" w:eastAsia="Calibri" w:hAnsi="Calibri"/>
          <w:b w:val="false"/>
          <w:bCs w:val="false"/>
          <w:i w:val="false"/>
          <w:iCs w:val="false"/>
          <w:sz w:val="22"/>
          <w:szCs w:val="22"/>
        </w:rPr>
        <w:t xml:space="preserve"> — bargaining strength of large customers</w:t>
      </w:r>
    </w:p>
    <w:p>
      <w:pPr>
        <w:pStyle w:val="ListParagraph"/>
        <w:numPr>
          <w:ilvl w:val="0"/>
          <w:numId w:val="2"/>
        </w:numPr>
        <w:spacing w:after="100"/>
      </w:pPr>
      <w:r>
        <w:rPr>
          <w:rFonts w:ascii="Calibri" w:cs="Calibri" w:eastAsia="Calibri" w:hAnsi="Calibri"/>
          <w:b/>
          <w:bCs/>
          <w:i w:val="false"/>
          <w:iCs w:val="false"/>
          <w:sz w:val="22"/>
          <w:szCs w:val="22"/>
        </w:rPr>
        <w:t xml:space="preserve">Vertical/conglomerate effects</w:t>
      </w:r>
      <w:r>
        <w:rPr>
          <w:rFonts w:ascii="Calibri" w:cs="Calibri" w:eastAsia="Calibri" w:hAnsi="Calibri"/>
          <w:b w:val="false"/>
          <w:bCs w:val="false"/>
          <w:i w:val="false"/>
          <w:iCs w:val="false"/>
          <w:sz w:val="22"/>
          <w:szCs w:val="22"/>
        </w:rPr>
        <w:t xml:space="preserve"> — foreclosure risk (input or customer foreclosure) in non-horizontal mergers</w:t>
      </w:r>
    </w:p>
    <w:p>
      <w:pPr>
        <w:spacing w:after="120" w:before="240"/>
      </w:pPr>
      <w:r>
        <w:rPr>
          <w:rFonts w:ascii="Calibri" w:cs="Calibri" w:eastAsia="Calibri" w:hAnsi="Calibri"/>
          <w:b/>
          <w:bCs/>
          <w:sz w:val="22"/>
          <w:szCs w:val="22"/>
        </w:rPr>
        <w:t xml:space="preserve">Dynamic &amp; Innovation Factors</w:t>
      </w:r>
    </w:p>
    <w:p>
      <w:pPr>
        <w:pStyle w:val="ListParagraph"/>
        <w:numPr>
          <w:ilvl w:val="0"/>
          <w:numId w:val="2"/>
        </w:numPr>
        <w:spacing w:after="100"/>
      </w:pPr>
      <w:r>
        <w:rPr>
          <w:rFonts w:ascii="Calibri" w:cs="Calibri" w:eastAsia="Calibri" w:hAnsi="Calibri"/>
          <w:b/>
          <w:bCs/>
          <w:i w:val="false"/>
          <w:iCs w:val="false"/>
          <w:sz w:val="22"/>
          <w:szCs w:val="22"/>
        </w:rPr>
        <w:t xml:space="preserve">Innovation effects</w:t>
      </w:r>
      <w:r>
        <w:rPr>
          <w:rFonts w:ascii="Calibri" w:cs="Calibri" w:eastAsia="Calibri" w:hAnsi="Calibri"/>
          <w:b w:val="false"/>
          <w:bCs w:val="false"/>
          <w:i w:val="false"/>
          <w:iCs w:val="false"/>
          <w:sz w:val="22"/>
          <w:szCs w:val="22"/>
        </w:rPr>
        <w:t xml:space="preserve"> — impact on R&amp;D incentives, especially in tech/pharma mergers (sometimes called "innovation markets" analysis)</w:t>
      </w:r>
    </w:p>
    <w:p>
      <w:pPr>
        <w:pStyle w:val="ListParagraph"/>
        <w:numPr>
          <w:ilvl w:val="0"/>
          <w:numId w:val="2"/>
        </w:numPr>
        <w:spacing w:after="100"/>
      </w:pPr>
      <w:r>
        <w:rPr>
          <w:rFonts w:ascii="Calibri" w:cs="Calibri" w:eastAsia="Calibri" w:hAnsi="Calibri"/>
          <w:b/>
          <w:bCs/>
          <w:i w:val="false"/>
          <w:iCs w:val="false"/>
          <w:sz w:val="22"/>
          <w:szCs w:val="22"/>
        </w:rPr>
        <w:t xml:space="preserve">Potential/nascent competition</w:t>
      </w:r>
      <w:r>
        <w:rPr>
          <w:rFonts w:ascii="Calibri" w:cs="Calibri" w:eastAsia="Calibri" w:hAnsi="Calibri"/>
          <w:b w:val="false"/>
          <w:bCs w:val="false"/>
          <w:i w:val="false"/>
          <w:iCs w:val="false"/>
          <w:sz w:val="22"/>
          <w:szCs w:val="22"/>
        </w:rPr>
        <w:t xml:space="preserve"> — whether a merging party is a likely future entrant or disruptive threat (increasingly scrutinized, e.g., "killer acquisitions")</w:t>
      </w:r>
    </w:p>
    <w:p>
      <w:pPr>
        <w:spacing w:after="120" w:before="240"/>
      </w:pPr>
      <w:r>
        <w:rPr>
          <w:rFonts w:ascii="Calibri" w:cs="Calibri" w:eastAsia="Calibri" w:hAnsi="Calibri"/>
          <w:b/>
          <w:bCs/>
          <w:sz w:val="22"/>
          <w:szCs w:val="22"/>
        </w:rPr>
        <w:t xml:space="preserve">Efficiencies &amp; Failing Firm</w:t>
      </w:r>
    </w:p>
    <w:p>
      <w:pPr>
        <w:pStyle w:val="ListParagraph"/>
        <w:numPr>
          <w:ilvl w:val="0"/>
          <w:numId w:val="2"/>
        </w:numPr>
        <w:spacing w:after="100"/>
      </w:pPr>
      <w:r>
        <w:rPr>
          <w:rFonts w:ascii="Calibri" w:cs="Calibri" w:eastAsia="Calibri" w:hAnsi="Calibri"/>
          <w:b/>
          <w:bCs/>
          <w:i w:val="false"/>
          <w:iCs w:val="false"/>
          <w:sz w:val="22"/>
          <w:szCs w:val="22"/>
        </w:rPr>
        <w:t xml:space="preserve">Merger-specific efficiencies</w:t>
      </w:r>
      <w:r>
        <w:rPr>
          <w:rFonts w:ascii="Calibri" w:cs="Calibri" w:eastAsia="Calibri" w:hAnsi="Calibri"/>
          <w:b w:val="false"/>
          <w:bCs w:val="false"/>
          <w:i w:val="false"/>
          <w:iCs w:val="false"/>
          <w:sz w:val="22"/>
          <w:szCs w:val="22"/>
        </w:rPr>
        <w:t xml:space="preserve"> — cost savings, quality improvements that are verifiable and merger-specific, weighed against anti-competitive harm</w:t>
      </w:r>
    </w:p>
    <w:p>
      <w:pPr>
        <w:pStyle w:val="ListParagraph"/>
        <w:numPr>
          <w:ilvl w:val="0"/>
          <w:numId w:val="2"/>
        </w:numPr>
        <w:spacing w:after="100"/>
      </w:pPr>
      <w:r>
        <w:rPr>
          <w:rFonts w:ascii="Calibri" w:cs="Calibri" w:eastAsia="Calibri" w:hAnsi="Calibri"/>
          <w:b/>
          <w:bCs/>
          <w:i w:val="false"/>
          <w:iCs w:val="false"/>
          <w:sz w:val="22"/>
          <w:szCs w:val="22"/>
        </w:rPr>
        <w:t xml:space="preserve">Failing firm defense</w:t>
      </w:r>
      <w:r>
        <w:rPr>
          <w:rFonts w:ascii="Calibri" w:cs="Calibri" w:eastAsia="Calibri" w:hAnsi="Calibri"/>
          <w:b w:val="false"/>
          <w:bCs w:val="false"/>
          <w:i w:val="false"/>
          <w:iCs w:val="false"/>
          <w:sz w:val="22"/>
          <w:szCs w:val="22"/>
        </w:rPr>
        <w:t xml:space="preserve"> — whether one party would exit the market absent the merger anyway</w:t>
      </w:r>
    </w:p>
    <w:p>
      <w:pPr>
        <w:spacing w:after="120" w:before="240"/>
      </w:pPr>
      <w:r>
        <w:rPr>
          <w:rFonts w:ascii="Calibri" w:cs="Calibri" w:eastAsia="Calibri" w:hAnsi="Calibri"/>
          <w:b/>
          <w:bCs/>
          <w:sz w:val="22"/>
          <w:szCs w:val="22"/>
        </w:rPr>
        <w:t xml:space="preserve">Data &amp; Evidence Sources</w:t>
      </w:r>
    </w:p>
    <w:p>
      <w:pPr>
        <w:pStyle w:val="ListParagraph"/>
        <w:numPr>
          <w:ilvl w:val="0"/>
          <w:numId w:val="2"/>
        </w:numPr>
        <w:spacing w:after="100"/>
      </w:pPr>
      <w:r>
        <w:rPr>
          <w:rFonts w:ascii="Calibri" w:cs="Calibri" w:eastAsia="Calibri" w:hAnsi="Calibri"/>
          <w:b w:val="false"/>
          <w:bCs w:val="false"/>
          <w:i w:val="false"/>
          <w:iCs w:val="false"/>
          <w:sz w:val="22"/>
          <w:szCs w:val="22"/>
        </w:rPr>
        <w:t xml:space="preserve">Internal business documents (strategic plans, competitor analysis)</w:t>
      </w:r>
    </w:p>
    <w:p>
      <w:pPr>
        <w:pStyle w:val="ListParagraph"/>
        <w:numPr>
          <w:ilvl w:val="0"/>
          <w:numId w:val="2"/>
        </w:numPr>
        <w:spacing w:after="100"/>
      </w:pPr>
      <w:r>
        <w:rPr>
          <w:rFonts w:ascii="Calibri" w:cs="Calibri" w:eastAsia="Calibri" w:hAnsi="Calibri"/>
          <w:b w:val="false"/>
          <w:bCs w:val="false"/>
          <w:i w:val="false"/>
          <w:iCs w:val="false"/>
          <w:sz w:val="22"/>
          <w:szCs w:val="22"/>
        </w:rPr>
        <w:t xml:space="preserve">Customer and competitor surveys/testimony</w:t>
      </w:r>
    </w:p>
    <w:p>
      <w:pPr>
        <w:pStyle w:val="ListParagraph"/>
        <w:numPr>
          <w:ilvl w:val="0"/>
          <w:numId w:val="2"/>
        </w:numPr>
        <w:spacing w:after="100"/>
      </w:pPr>
      <w:r>
        <w:rPr>
          <w:rFonts w:ascii="Calibri" w:cs="Calibri" w:eastAsia="Calibri" w:hAnsi="Calibri"/>
          <w:b w:val="false"/>
          <w:bCs w:val="false"/>
          <w:i w:val="false"/>
          <w:iCs w:val="false"/>
          <w:sz w:val="22"/>
          <w:szCs w:val="22"/>
        </w:rPr>
        <w:t xml:space="preserve">Bid/tender data (in bidding markets)</w:t>
      </w:r>
    </w:p>
    <w:p>
      <w:pPr>
        <w:pStyle w:val="ListParagraph"/>
        <w:numPr>
          <w:ilvl w:val="0"/>
          <w:numId w:val="2"/>
        </w:numPr>
        <w:spacing w:after="100"/>
      </w:pPr>
      <w:r>
        <w:rPr>
          <w:rFonts w:ascii="Calibri" w:cs="Calibri" w:eastAsia="Calibri" w:hAnsi="Calibri"/>
          <w:b w:val="false"/>
          <w:bCs w:val="false"/>
          <w:i w:val="false"/>
          <w:iCs w:val="false"/>
          <w:sz w:val="22"/>
          <w:szCs w:val="22"/>
        </w:rPr>
        <w:t xml:space="preserve">Econometric analysis (merger simulation models, price-concentration studies)</w:t>
      </w:r>
    </w:p>
    <w:p>
      <w:pPr>
        <w:spacing w:after="120"/>
      </w:pPr>
      <w:r>
        <w:rPr>
          <w:rFonts w:ascii="Calibri" w:cs="Calibri" w:eastAsia="Calibri" w:hAnsi="Calibri"/>
          <w:b w:val="false"/>
          <w:bCs w:val="false"/>
          <w:i w:val="false"/>
          <w:iCs w:val="false"/>
          <w:sz w:val="22"/>
          <w:szCs w:val="22"/>
        </w:rPr>
        <w:t xml:space="preserve">The specific weight given to each varies by jurisdiction — the US (Horizontal Merger Guidelines), EU (European Commission guidelines), and other regulators emphasize these tools somewhat differently, and the framework continues to evolve (e.g., growing focus on nascent competition and killer acquisitions in tech markets). If you're looking at a specific jurisdiction or industry, I can go deeper on how the analysis is applied there.</w:t>
      </w:r>
    </w:p>
    <w:p>
      <w:pPr>
        <w:spacing w:after="120" w:before="240"/>
      </w:pPr>
      <w:r>
        <w:rPr>
          <w:rFonts w:ascii="Calibri" w:cs="Calibri" w:eastAsia="Calibri" w:hAnsi="Calibri"/>
          <w:b/>
          <w:bCs/>
          <w:color w:val="1F4E5F"/>
          <w:sz w:val="24"/>
          <w:szCs w:val="24"/>
        </w:rPr>
        <w:t xml:space="preserve">Cited Sources</w:t>
      </w:r>
    </w:p>
    <w:p>
      <w:r>
        <w:rPr>
          <w:rFonts w:ascii="Calibri" w:cs="Calibri" w:eastAsia="Calibri" w:hAnsi="Calibri"/>
          <w:i/>
          <w:iCs/>
          <w:sz w:val="22"/>
          <w:szCs w:val="22"/>
        </w:rPr>
        <w:t xml:space="preserve">No source links were included in the original response.</w:t>
      </w:r>
    </w:p>
    <w:sectPr>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2026-09-02T12:08:09.834Z</dcterms:created>
  <dcterms:modified xsi:type="dcterms:W3CDTF">2026-09-02T12:08:09.834Z</dcterms:modified>
</cp:coreProperties>
</file>

<file path=docProps/custom.xml><?xml version="1.0" encoding="utf-8"?>
<Properties xmlns="http://schemas.openxmlformats.org/officeDocument/2006/custom-properties" xmlns:vt="http://schemas.openxmlformats.org/officeDocument/2006/docPropsVTypes"/>
</file>