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Response Transcript — Sample 4</w:t>
      </w:r>
    </w:p>
    <w:p>
      <w:pPr>
        <w:pBdr>
          <w:bottom w:val="single" w:color="AAAAAA" w:sz="6" w:space="4"/>
        </w:pBdr>
        <w:spacing w:after="200" w:before="2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User Query</w:t>
      </w:r>
    </w:p>
    <w:p>
      <w:pPr>
        <w:pBdr>
          <w:left w:val="single" w:color="1F4E5F" w:sz="12" w:space="8"/>
        </w:pBdr>
        <w:spacing w:after="2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What are the theories of harm in merger cases in digital market?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System Response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 digital markets, competition authorities and economists have developed several theories of harm to assess mergers—many going beyond the traditional horizontal/vertical framework because of network effects, data, and platform dynamics. Here's an overview: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Horizontal unilateral effects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classic theory: merging with a direct competitor removes a rival and allows the merged firm to raise prices, reduce quality, or reduce innovation. In digital markets this often shows up 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Loss of a competing platform/app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 two-sided markets (e.g., ride-hailing, food delivery)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Reduced innovation competition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harder to measure than price effects, since many digital products are "free," so the focus shifts to quality, privacy, or innovation degradation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Killer acquisitions / nascent competitor theory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dominant firm acquires a small, early-stage rival not to integrate it, but to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eliminate a future competitive threat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before it matures. Key features: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target may have negligible current revenue or market share, which traditional merger thresholds can miss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Harm is prospective — the counterfactual is a world where the startup grew into a serious competitor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has driven reforms to merger notification thresholds (e.g., value-based thresholds in Germany/Austria, the EU's use of Article 22 referrals for sub-threshold deals)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Conglomerate/ecosystem effects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Common in platform mergers where the target isn't a direct competitor but operates in an adjacent market: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Bundling and tying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combining products to leverage dominance from one market into another (e.g., bundling a dominant OS with a new app/service)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Self-preferencing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favoring the acquired product in search results, app stores, or defaults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Ecosystem lock-in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increasing switching costs across a suite of interoperable products/services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Vertical foreclosure theories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Especially relevant given platforms' control over infrastructure, data, or distribution: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Input foreclosure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acquiring a key input (e.g., ad tech, cloud infrastructure, a data broker) and denying/degrading access to rivals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Customer foreclosure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acquiring a major customer/distribution channel and diverting it away from rivals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Example: ad-tech mergers (ad server + demand-side platform) raising foreclosure concerns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Data-driven theories of harm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Unique to digital markets: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Data aggregation/data advantage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combining datasets creates an insurmountable data advantage that raises barriers to entry for rivals needing data to compete (e.g., for ad targeting or ML training)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Privacy as a quality dimension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reduced privacy protections post-merger treated as a form of consumer harm, distinct from price effects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Multi-sided market / network effects theories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Mergers that increase network effects can entrench dominance faster than in single-sided markets—more users attracts more of the other side (advertisers, developers, sellers), creating a feedback loop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Envelopment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using a dominant position in one market to enter and dominate an adjacent multi-sided market by leveraging a shared user base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Innovation/potential competition harm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Focus not on current products but on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R&amp;D pipelines and future product roadmaps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the target might have pursued independently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Common in pharma-adjacent tech and AI acquisitions, where the concern is suppression of a parallel innovation path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Practical/evidentiary challenges these raise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Zero-price markets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make standard SSNIP (price-based) tests unworkable, pushing authorities toward quality, innovation, or attention-based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Dynamic/prospective harm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inherently more speculative than static price effects, raising evidentiary and legal standard-of-proof questions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Multi-market screening thresholds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often fail to capture "killer acquisitions" (this motivated tools like the UK CMA's more flexible jurisdictional thresholds and EU Article 22)</w:t>
      </w:r>
    </w:p>
    <w:p>
      <w:pPr>
        <w:pBdr>
          <w:bottom w:val="single" w:color="AAAAAA" w:sz="6" w:space="4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Would you like me to go deeper on any of these—for example, specific case examples (Facebook/Instagram, Google/Fitbit, Microsoft/Activision, Meta/Within), or how a particular jurisdiction (EU, US, UK, India) has operationalized these theories in practice?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Cited Sources</w:t>
      </w:r>
    </w:p>
    <w:p>
      <w:r>
        <w:rPr>
          <w:rFonts w:ascii="Calibri" w:cs="Calibri" w:eastAsia="Calibri" w:hAnsi="Calibri"/>
          <w:i/>
          <w:iCs/>
          <w:sz w:val="22"/>
          <w:szCs w:val="22"/>
        </w:rPr>
        <w:t xml:space="preserve">No source links were included in the original response.</w:t>
      </w:r>
    </w:p>
    <w:sectPr>
      <w:pgSz w:w="12240" w:h="15840" w:orient="portrait"/>
      <w:pgMar w:top="1350" w:right="1080" w:bottom="13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2026-09-02T12:08:09.504Z</dcterms:created>
  <dcterms:modified xsi:type="dcterms:W3CDTF">2026-09-02T12:08:09.504Z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