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5F"/>
          <w:sz w:val="32"/>
          <w:szCs w:val="32"/>
        </w:rPr>
        <w:t xml:space="preserve">Response Transcript — Sample 5</w:t>
      </w:r>
    </w:p>
    <w:p>
      <w:pPr>
        <w:pBdr>
          <w:bottom w:val="single" w:color="1F4E5F" w:sz="6" w:space="1"/>
        </w:pBdr>
        <w:spacing w:after="200"/>
      </w:pPr>
    </w:p>
    <w:p>
      <w:pPr>
        <w:spacing w:after="160" w:before="280"/>
      </w:pPr>
      <w:r>
        <w:rPr>
          <w:rFonts w:ascii="Calibri" w:cs="Calibri" w:eastAsia="Calibri" w:hAnsi="Calibri"/>
          <w:b/>
          <w:bCs/>
          <w:color w:val="1F4E5F"/>
          <w:sz w:val="22"/>
          <w:szCs w:val="22"/>
        </w:rPr>
        <w:t xml:space="preserve">User Query</w:t>
      </w:r>
    </w:p>
    <w:p>
      <w:pPr>
        <w:pBdr>
          <w:left w:val="single" w:color="1F4E5F" w:sz="12" w:space="8"/>
        </w:pBdr>
        <w:spacing w:after="200"/>
        <w:ind w:left="431"/>
      </w:pPr>
      <w:r>
        <w:rPr>
          <w:rFonts w:ascii="Calibri" w:cs="Calibri" w:eastAsia="Calibri" w:hAnsi="Calibri"/>
          <w:i/>
          <w:iCs/>
          <w:sz w:val="22"/>
          <w:szCs w:val="22"/>
        </w:rPr>
        <w:t xml:space="preserve">what are the theories of harm in merger cases in digital market?</w:t>
      </w:r>
    </w:p>
    <w:p>
      <w:pPr>
        <w:spacing w:after="160" w:before="28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b w:val="false"/>
          <w:bCs w:val="false"/>
          <w:i w:val="false"/>
          <w:iCs w:val="false"/>
          <w:sz w:val="22"/>
          <w:szCs w:val="22"/>
        </w:rPr>
        <w:t xml:space="preserve">In digital merger control, the main theories of harm are still horizontal, vertical, and conglomerate effects, but the digital context pushes authorities to focus more on data, network effects, tipping, interoperability, and the loss of innovation or potential competition.</w:t>
      </w:r>
      <w:hyperlink w:history="1" r:id="rIdopfg7kyavrd21qs5esmmp">
        <w:r>
          <w:rPr>
            <w:rFonts w:ascii="Calibri" w:cs="Calibri" w:eastAsia="Calibri" w:hAnsi="Calibri"/>
            <w:color w:val="1F4E5F"/>
            <w:sz w:val="22"/>
            <w:szCs w:val="22"/>
            <w:u w:val="single"/>
          </w:rPr>
          <w:t xml:space="preserve">[1]</w:t>
        </w:r>
      </w:hyperlink>
      <w:hyperlink w:history="1" r:id="rIdxaxhxiv1ugs85zno4hpjk">
        <w:r>
          <w:rPr>
            <w:rFonts w:ascii="Calibri" w:cs="Calibri" w:eastAsia="Calibri" w:hAnsi="Calibri"/>
            <w:color w:val="1F4E5F"/>
            <w:sz w:val="22"/>
            <w:szCs w:val="22"/>
            <w:u w:val="single"/>
          </w:rPr>
          <w:t xml:space="preserve">[3]</w:t>
        </w:r>
      </w:hyperlink>
      <w:hyperlink w:history="1" r:id="rIdupbkq84svhx88bqg7nfbp">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The OECD notes that digital mergers often require adapting existing theories rather than replacing them entirely, while the European Commission's draft merger guidelines frame the theory of harm as the prospective explanation of how a merger may lessen competitive constraints and harm consumers.</w:t>
      </w:r>
      <w:hyperlink w:history="1" r:id="rIdv6ifsxdad2m0i3vct7h-m">
        <w:r>
          <w:rPr>
            <w:rFonts w:ascii="Calibri" w:cs="Calibri" w:eastAsia="Calibri" w:hAnsi="Calibri"/>
            <w:color w:val="1F4E5F"/>
            <w:sz w:val="22"/>
            <w:szCs w:val="22"/>
            <w:u w:val="single"/>
          </w:rPr>
          <w:t xml:space="preserve">[1]</w:t>
        </w:r>
      </w:hyperlink>
      <w:hyperlink w:history="1" r:id="rIdiusfkwqeyijkikkokcbuu">
        <w:r>
          <w:rPr>
            <w:rFonts w:ascii="Calibri" w:cs="Calibri" w:eastAsia="Calibri" w:hAnsi="Calibri"/>
            <w:color w:val="1F4E5F"/>
            <w:sz w:val="22"/>
            <w:szCs w:val="22"/>
            <w:u w:val="single"/>
          </w:rPr>
          <w:t xml:space="preserve">[4]</w:t>
        </w:r>
      </w:hyperlink>
      <w:hyperlink w:history="1" r:id="rId0uijq4iyrtou0zuinpnol">
        <w:r>
          <w:rPr>
            <w:rFonts w:ascii="Calibri" w:cs="Calibri" w:eastAsia="Calibri" w:hAnsi="Calibri"/>
            <w:color w:val="1F4E5F"/>
            <w:sz w:val="22"/>
            <w:szCs w:val="22"/>
            <w:u w:val="single"/>
          </w:rPr>
          <w:t xml:space="preserve">[5]</w:t>
        </w:r>
      </w:hyperlink>
    </w:p>
    <w:p>
      <w:pPr>
        <w:spacing w:after="120" w:before="200"/>
      </w:pPr>
      <w:r>
        <w:rPr>
          <w:rFonts w:ascii="Calibri" w:cs="Calibri" w:eastAsia="Calibri" w:hAnsi="Calibri"/>
          <w:b/>
          <w:bCs/>
          <w:i/>
          <w:iCs/>
          <w:sz w:val="22"/>
          <w:szCs w:val="22"/>
        </w:rPr>
        <w:t xml:space="preserve">1. Horizontal theories of harm</w:t>
      </w:r>
    </w:p>
    <w:p>
      <w:pPr>
        <w:spacing w:after="160"/>
      </w:pPr>
      <w:r>
        <w:rPr>
          <w:rFonts w:ascii="Calibri" w:cs="Calibri" w:eastAsia="Calibri" w:hAnsi="Calibri"/>
          <w:b w:val="false"/>
          <w:bCs w:val="false"/>
          <w:i w:val="false"/>
          <w:iCs w:val="false"/>
          <w:sz w:val="22"/>
          <w:szCs w:val="22"/>
        </w:rPr>
        <w:t xml:space="preserve">Horizontal harm arises where the merging firms are actual or potential competitors in the same market.</w:t>
      </w:r>
      <w:hyperlink w:history="1" r:id="rId90sarejj1z7gf_bvdueor">
        <w:r>
          <w:rPr>
            <w:rFonts w:ascii="Calibri" w:cs="Calibri" w:eastAsia="Calibri" w:hAnsi="Calibri"/>
            <w:color w:val="1F4E5F"/>
            <w:sz w:val="22"/>
            <w:szCs w:val="22"/>
            <w:u w:val="single"/>
          </w:rPr>
          <w:t xml:space="preserve">[1]</w:t>
        </w:r>
      </w:hyperlink>
      <w:hyperlink w:history="1" r:id="rIdhs2v1amg9z8l5jtozg3ez">
        <w:r>
          <w:rPr>
            <w:rFonts w:ascii="Calibri" w:cs="Calibri" w:eastAsia="Calibri" w:hAnsi="Calibri"/>
            <w:color w:val="1F4E5F"/>
            <w:sz w:val="22"/>
            <w:szCs w:val="22"/>
            <w:u w:val="single"/>
          </w:rPr>
          <w:t xml:space="preserve">[6]</w:t>
        </w:r>
      </w:hyperlink>
    </w:p>
    <w:p>
      <w:pPr>
        <w:spacing w:after="160"/>
      </w:pPr>
      <w:r>
        <w:rPr>
          <w:rFonts w:ascii="Calibri" w:cs="Calibri" w:eastAsia="Calibri" w:hAnsi="Calibri"/>
          <w:b w:val="false"/>
          <w:bCs w:val="false"/>
          <w:i w:val="false"/>
          <w:iCs w:val="false"/>
          <w:sz w:val="22"/>
          <w:szCs w:val="22"/>
        </w:rPr>
        <w:t xml:space="preserve">In digital markets, this often matters even if one party is not yet a major current rival, because competitive pressure may come from nascent entry, product development, or multi-sided platform expansion.</w:t>
      </w:r>
      <w:hyperlink w:history="1" r:id="rIdzh8myroia9che-oekuryb">
        <w:r>
          <w:rPr>
            <w:rFonts w:ascii="Calibri" w:cs="Calibri" w:eastAsia="Calibri" w:hAnsi="Calibri"/>
            <w:color w:val="1F4E5F"/>
            <w:sz w:val="22"/>
            <w:szCs w:val="22"/>
            <w:u w:val="single"/>
          </w:rPr>
          <w:t xml:space="preserve">[1]</w:t>
        </w:r>
      </w:hyperlink>
      <w:hyperlink w:history="1" r:id="rIdarwgcngjhee6cmdllzqkl">
        <w:r>
          <w:rPr>
            <w:rFonts w:ascii="Calibri" w:cs="Calibri" w:eastAsia="Calibri" w:hAnsi="Calibri"/>
            <w:color w:val="1F4E5F"/>
            <w:sz w:val="22"/>
            <w:szCs w:val="22"/>
            <w:u w:val="single"/>
          </w:rPr>
          <w:t xml:space="preserve">[6]</w:t>
        </w:r>
      </w:hyperlink>
      <w:hyperlink w:history="1" r:id="rIdck1gwa09crmbvqxtvsyye">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Loss of actual competition: </w:t>
      </w:r>
      <w:r>
        <w:rPr>
          <w:rFonts w:ascii="Calibri" w:cs="Calibri" w:eastAsia="Calibri" w:hAnsi="Calibri"/>
          <w:b w:val="false"/>
          <w:bCs w:val="false"/>
          <w:i w:val="false"/>
          <w:iCs w:val="false"/>
          <w:sz w:val="22"/>
          <w:szCs w:val="22"/>
        </w:rPr>
        <w:t xml:space="preserve">the merger removes a direct rival that constrains price, quality, privacy, innovation, or user experience.</w:t>
      </w:r>
      <w:hyperlink w:history="1" r:id="rIdk-tdmwxdgv91grqjzv1fa">
        <w:r>
          <w:rPr>
            <w:rFonts w:ascii="Calibri" w:cs="Calibri" w:eastAsia="Calibri" w:hAnsi="Calibri"/>
            <w:color w:val="1F4E5F"/>
            <w:sz w:val="22"/>
            <w:szCs w:val="22"/>
            <w:u w:val="single"/>
          </w:rPr>
          <w:t xml:space="preserve">[1]</w:t>
        </w:r>
      </w:hyperlink>
      <w:hyperlink w:history="1" r:id="rIdovsr36twl-_c4x8xjtoqo">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bCs/>
          <w:sz w:val="22"/>
          <w:szCs w:val="22"/>
        </w:rPr>
        <w:t xml:space="preserve">Loss of potential competition: </w:t>
      </w:r>
      <w:r>
        <w:rPr>
          <w:rFonts w:ascii="Calibri" w:cs="Calibri" w:eastAsia="Calibri" w:hAnsi="Calibri"/>
          <w:b w:val="false"/>
          <w:bCs w:val="false"/>
          <w:i w:val="false"/>
          <w:iCs w:val="false"/>
          <w:sz w:val="22"/>
          <w:szCs w:val="22"/>
        </w:rPr>
        <w:t xml:space="preserve">one party could have entered or expanded into the other's market, and the merger eliminates that future rivalry.</w:t>
      </w:r>
      <w:hyperlink w:history="1" r:id="rIdsocqour-tclg1_myzybzj">
        <w:r>
          <w:rPr>
            <w:rFonts w:ascii="Calibri" w:cs="Calibri" w:eastAsia="Calibri" w:hAnsi="Calibri"/>
            <w:color w:val="1F4E5F"/>
            <w:sz w:val="22"/>
            <w:szCs w:val="22"/>
            <w:u w:val="single"/>
          </w:rPr>
          <w:t xml:space="preserve">[1]</w:t>
        </w:r>
      </w:hyperlink>
      <w:hyperlink w:history="1" r:id="rId5_f6qkvci6quqqdwpfxmt">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bCs/>
          <w:sz w:val="22"/>
          <w:szCs w:val="22"/>
        </w:rPr>
        <w:t xml:space="preserve">Killer-acquisition style concern: </w:t>
      </w:r>
      <w:r>
        <w:rPr>
          <w:rFonts w:ascii="Calibri" w:cs="Calibri" w:eastAsia="Calibri" w:hAnsi="Calibri"/>
          <w:b w:val="false"/>
          <w:bCs w:val="false"/>
          <w:i w:val="false"/>
          <w:iCs w:val="false"/>
          <w:sz w:val="22"/>
          <w:szCs w:val="22"/>
        </w:rPr>
        <w:t xml:space="preserve">an incumbent acquires a small or emerging digital challenger to neutralize future competitive pressure.</w:t>
      </w:r>
      <w:hyperlink w:history="1" r:id="rIdasurbet9tqh1k6ahvezoe">
        <w:r>
          <w:rPr>
            <w:rFonts w:ascii="Calibri" w:cs="Calibri" w:eastAsia="Calibri" w:hAnsi="Calibri"/>
            <w:color w:val="1F4E5F"/>
            <w:sz w:val="22"/>
            <w:szCs w:val="22"/>
            <w:u w:val="single"/>
          </w:rPr>
          <w:t xml:space="preserve">[1]</w:t>
        </w:r>
      </w:hyperlink>
      <w:hyperlink w:history="1" r:id="rIdqtgwp47nu0yys1mq6odif">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bCs/>
          <w:sz w:val="22"/>
          <w:szCs w:val="22"/>
        </w:rPr>
        <w:t xml:space="preserve">Innovation rivalry: </w:t>
      </w:r>
      <w:r>
        <w:rPr>
          <w:rFonts w:ascii="Calibri" w:cs="Calibri" w:eastAsia="Calibri" w:hAnsi="Calibri"/>
          <w:b w:val="false"/>
          <w:bCs w:val="false"/>
          <w:i w:val="false"/>
          <w:iCs w:val="false"/>
          <w:sz w:val="22"/>
          <w:szCs w:val="22"/>
        </w:rPr>
        <w:t xml:space="preserve">the merger reduces incentives to develop new products, features, or technologies, even where the parties are not currently close substitutes.</w:t>
      </w:r>
      <w:hyperlink w:history="1" r:id="rId6ppi_vugzx6mj5p6sge8z">
        <w:r>
          <w:rPr>
            <w:rFonts w:ascii="Calibri" w:cs="Calibri" w:eastAsia="Calibri" w:hAnsi="Calibri"/>
            <w:color w:val="1F4E5F"/>
            <w:sz w:val="22"/>
            <w:szCs w:val="22"/>
            <w:u w:val="single"/>
          </w:rPr>
          <w:t xml:space="preserve">[1]</w:t>
        </w:r>
      </w:hyperlink>
      <w:hyperlink w:history="1" r:id="rIdivkkq-vtoth-6-czhpeme">
        <w:r>
          <w:rPr>
            <w:rFonts w:ascii="Calibri" w:cs="Calibri" w:eastAsia="Calibri" w:hAnsi="Calibri"/>
            <w:color w:val="1F4E5F"/>
            <w:sz w:val="22"/>
            <w:szCs w:val="22"/>
            <w:u w:val="single"/>
          </w:rPr>
          <w:t xml:space="preserve">[4]</w:t>
        </w:r>
      </w:hyperlink>
    </w:p>
    <w:p>
      <w:pPr>
        <w:spacing w:after="120" w:before="200"/>
      </w:pPr>
      <w:r>
        <w:rPr>
          <w:rFonts w:ascii="Calibri" w:cs="Calibri" w:eastAsia="Calibri" w:hAnsi="Calibri"/>
          <w:b/>
          <w:bCs/>
          <w:i/>
          <w:iCs/>
          <w:sz w:val="22"/>
          <w:szCs w:val="22"/>
        </w:rPr>
        <w:t xml:space="preserve">2. Data-related theories of harm</w:t>
      </w:r>
    </w:p>
    <w:p>
      <w:pPr>
        <w:spacing w:after="160"/>
      </w:pPr>
      <w:r>
        <w:rPr>
          <w:rFonts w:ascii="Calibri" w:cs="Calibri" w:eastAsia="Calibri" w:hAnsi="Calibri"/>
          <w:b w:val="false"/>
          <w:bCs w:val="false"/>
          <w:i w:val="false"/>
          <w:iCs w:val="false"/>
          <w:sz w:val="22"/>
          <w:szCs w:val="22"/>
        </w:rPr>
        <w:t xml:space="preserve">Data is often treated as a core competitive asset in digital mergers because it can improve targeting, recommendations, product quality, and machine-learning performance.</w:t>
      </w:r>
      <w:hyperlink w:history="1" r:id="rIdxpfa_ndy2rpkqalmvp-om">
        <w:r>
          <w:rPr>
            <w:rFonts w:ascii="Calibri" w:cs="Calibri" w:eastAsia="Calibri" w:hAnsi="Calibri"/>
            <w:color w:val="1F4E5F"/>
            <w:sz w:val="22"/>
            <w:szCs w:val="22"/>
            <w:u w:val="single"/>
          </w:rPr>
          <w:t xml:space="preserve">[3]</w:t>
        </w:r>
      </w:hyperlink>
      <w:hyperlink w:history="1" r:id="rIdasiung2tvxsocc7imqigi">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A merger may be harmful if it combines datasets in a way that materially strengthens market power, raises rivals' costs, or creates an insurmountable advantage through scale or learning effects.</w:t>
      </w:r>
      <w:hyperlink w:history="1" r:id="rIdvwxc6hnlgylgjsawnsm2y">
        <w:r>
          <w:rPr>
            <w:rFonts w:ascii="Calibri" w:cs="Calibri" w:eastAsia="Calibri" w:hAnsi="Calibri"/>
            <w:color w:val="1F4E5F"/>
            <w:sz w:val="22"/>
            <w:szCs w:val="22"/>
            <w:u w:val="single"/>
          </w:rPr>
          <w:t xml:space="preserve">[3]</w:t>
        </w:r>
      </w:hyperlink>
      <w:hyperlink w:history="1" r:id="rIdg65v5yzpwyjlhfwu90qms">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Data aggregation advantages: </w:t>
      </w:r>
      <w:r>
        <w:rPr>
          <w:rFonts w:ascii="Calibri" w:cs="Calibri" w:eastAsia="Calibri" w:hAnsi="Calibri"/>
          <w:b w:val="false"/>
          <w:bCs w:val="false"/>
          <w:i w:val="false"/>
          <w:iCs w:val="false"/>
          <w:sz w:val="22"/>
          <w:szCs w:val="22"/>
        </w:rPr>
        <w:t xml:space="preserve">combining complementary datasets can improve relevance, personalization, or ad performance.</w:t>
      </w:r>
      <w:hyperlink w:history="1" r:id="rIdqlbn-ht-2tmrv-xl1hoco">
        <w:r>
          <w:rPr>
            <w:rFonts w:ascii="Calibri" w:cs="Calibri" w:eastAsia="Calibri" w:hAnsi="Calibri"/>
            <w:color w:val="1F4E5F"/>
            <w:sz w:val="22"/>
            <w:szCs w:val="22"/>
            <w:u w:val="single"/>
          </w:rPr>
          <w:t xml:space="preserve">[3]</w:t>
        </w:r>
      </w:hyperlink>
      <w:hyperlink w:history="1" r:id="rIdq_lnyx5vqw6gsgxjy-zwc">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Access foreclosure: </w:t>
      </w:r>
      <w:r>
        <w:rPr>
          <w:rFonts w:ascii="Calibri" w:cs="Calibri" w:eastAsia="Calibri" w:hAnsi="Calibri"/>
          <w:b w:val="false"/>
          <w:bCs w:val="false"/>
          <w:i w:val="false"/>
          <w:iCs w:val="false"/>
          <w:sz w:val="22"/>
          <w:szCs w:val="22"/>
        </w:rPr>
        <w:t xml:space="preserve">a merged firm may deny or degrade access to data needed by rivals or business users.</w:t>
      </w:r>
      <w:hyperlink w:history="1" r:id="rIdj7jz0g_ozu1lkdzynligu">
        <w:r>
          <w:rPr>
            <w:rFonts w:ascii="Calibri" w:cs="Calibri" w:eastAsia="Calibri" w:hAnsi="Calibri"/>
            <w:color w:val="1F4E5F"/>
            <w:sz w:val="22"/>
            <w:szCs w:val="22"/>
            <w:u w:val="single"/>
          </w:rPr>
          <w:t xml:space="preserve">[3]</w:t>
        </w:r>
      </w:hyperlink>
      <w:hyperlink w:history="1" r:id="rIdm2nx87cwtjikz0qpm4vtm">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Entry barriers: </w:t>
      </w:r>
      <w:r>
        <w:rPr>
          <w:rFonts w:ascii="Calibri" w:cs="Calibri" w:eastAsia="Calibri" w:hAnsi="Calibri"/>
          <w:b w:val="false"/>
          <w:bCs w:val="false"/>
          <w:i w:val="false"/>
          <w:iCs w:val="false"/>
          <w:sz w:val="22"/>
          <w:szCs w:val="22"/>
        </w:rPr>
        <w:t xml:space="preserve">large accumulated datasets and feedback loops can make entry harder and reinforce incumbent advantages.</w:t>
      </w:r>
      <w:hyperlink w:history="1" r:id="rId1bpoin5o2lgp7mhtewmtx">
        <w:r>
          <w:rPr>
            <w:rFonts w:ascii="Calibri" w:cs="Calibri" w:eastAsia="Calibri" w:hAnsi="Calibri"/>
            <w:color w:val="1F4E5F"/>
            <w:sz w:val="22"/>
            <w:szCs w:val="22"/>
            <w:u w:val="single"/>
          </w:rPr>
          <w:t xml:space="preserve">[1]</w:t>
        </w:r>
      </w:hyperlink>
      <w:hyperlink w:history="1" r:id="rId4mqxozijy9dfbgisq7vec">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3. Network effects and tipping</w:t>
      </w:r>
    </w:p>
    <w:p>
      <w:pPr>
        <w:spacing w:after="160"/>
      </w:pPr>
      <w:r>
        <w:rPr>
          <w:rFonts w:ascii="Calibri" w:cs="Calibri" w:eastAsia="Calibri" w:hAnsi="Calibri"/>
          <w:b w:val="false"/>
          <w:bCs w:val="false"/>
          <w:i w:val="false"/>
          <w:iCs w:val="false"/>
          <w:sz w:val="22"/>
          <w:szCs w:val="22"/>
        </w:rPr>
        <w:t xml:space="preserve">Digital markets often exhibit strong direct or indirect network effects, where a service becomes more valuable as more users join.</w:t>
      </w:r>
      <w:hyperlink w:history="1" r:id="rIdg5kytp3ccygefnhwgdum9">
        <w:r>
          <w:rPr>
            <w:rFonts w:ascii="Calibri" w:cs="Calibri" w:eastAsia="Calibri" w:hAnsi="Calibri"/>
            <w:color w:val="1F4E5F"/>
            <w:sz w:val="22"/>
            <w:szCs w:val="22"/>
            <w:u w:val="single"/>
          </w:rPr>
          <w:t xml:space="preserve">[1]</w:t>
        </w:r>
      </w:hyperlink>
      <w:hyperlink w:history="1" r:id="rIdiy7o59m9p0rbxhlz_qjwc">
        <w:r>
          <w:rPr>
            <w:rFonts w:ascii="Calibri" w:cs="Calibri" w:eastAsia="Calibri" w:hAnsi="Calibri"/>
            <w:color w:val="1F4E5F"/>
            <w:sz w:val="22"/>
            <w:szCs w:val="22"/>
            <w:u w:val="single"/>
          </w:rPr>
          <w:t xml:space="preserve">[5]</w:t>
        </w:r>
      </w:hyperlink>
    </w:p>
    <w:p>
      <w:pPr>
        <w:spacing w:after="160"/>
      </w:pPr>
      <w:r>
        <w:rPr>
          <w:rFonts w:ascii="Calibri" w:cs="Calibri" w:eastAsia="Calibri" w:hAnsi="Calibri"/>
          <w:b w:val="false"/>
          <w:bCs w:val="false"/>
          <w:i w:val="false"/>
          <w:iCs w:val="false"/>
          <w:sz w:val="22"/>
          <w:szCs w:val="22"/>
        </w:rPr>
        <w:t xml:space="preserve">In merger review, the concern is that a transaction may accelerate market tipping, entrench a dominant platform, or make competitive reversal difficult once scale advantages reinforce themselves.</w:t>
      </w:r>
      <w:hyperlink w:history="1" r:id="rIds33pagmweevu9duwoexkb">
        <w:r>
          <w:rPr>
            <w:rFonts w:ascii="Calibri" w:cs="Calibri" w:eastAsia="Calibri" w:hAnsi="Calibri"/>
            <w:color w:val="1F4E5F"/>
            <w:sz w:val="22"/>
            <w:szCs w:val="22"/>
            <w:u w:val="single"/>
          </w:rPr>
          <w:t xml:space="preserve">[1]</w:t>
        </w:r>
      </w:hyperlink>
      <w:hyperlink w:history="1" r:id="rIdmi0ihcvcrt9sa3npdutlc">
        <w:r>
          <w:rPr>
            <w:rFonts w:ascii="Calibri" w:cs="Calibri" w:eastAsia="Calibri" w:hAnsi="Calibri"/>
            <w:color w:val="1F4E5F"/>
            <w:sz w:val="22"/>
            <w:szCs w:val="22"/>
            <w:u w:val="single"/>
          </w:rPr>
          <w:t xml:space="preserve">[4]</w:t>
        </w:r>
      </w:hyperlink>
      <w:hyperlink w:history="1" r:id="rId0dr7yi7sauljm_lml2inf">
        <w:r>
          <w:rPr>
            <w:rFonts w:ascii="Calibri" w:cs="Calibri" w:eastAsia="Calibri" w:hAnsi="Calibri"/>
            <w:color w:val="1F4E5F"/>
            <w:sz w:val="22"/>
            <w:szCs w:val="22"/>
            <w:u w:val="single"/>
          </w:rPr>
          <w:t xml:space="preserve">[5]</w:t>
        </w:r>
      </w:hyperlink>
    </w:p>
    <w:p>
      <w:pPr>
        <w:spacing w:after="160"/>
      </w:pPr>
      <w:r>
        <w:rPr>
          <w:rFonts w:ascii="Calibri" w:cs="Calibri" w:eastAsia="Calibri" w:hAnsi="Calibri"/>
          <w:b w:val="false"/>
          <w:bCs w:val="false"/>
          <w:i w:val="false"/>
          <w:iCs w:val="false"/>
          <w:sz w:val="22"/>
          <w:szCs w:val="22"/>
        </w:rPr>
        <w:t xml:space="preserve">The competition assessment usually asks whether the merger: strengthens an already strong user base, reduces the chance of effective multi-homing or switching, increases lock-in, or intensifies barriers to scaling by rivals.</w:t>
      </w:r>
      <w:hyperlink w:history="1" r:id="rIdzvjypnxkmvagxk0qs49ag">
        <w:r>
          <w:rPr>
            <w:rFonts w:ascii="Calibri" w:cs="Calibri" w:eastAsia="Calibri" w:hAnsi="Calibri"/>
            <w:color w:val="1F4E5F"/>
            <w:sz w:val="22"/>
            <w:szCs w:val="22"/>
            <w:u w:val="single"/>
          </w:rPr>
          <w:t xml:space="preserve">[1]</w:t>
        </w:r>
      </w:hyperlink>
      <w:hyperlink w:history="1" r:id="rIdzgfnlrnttwrpzyirlb76s">
        <w:r>
          <w:rPr>
            <w:rFonts w:ascii="Calibri" w:cs="Calibri" w:eastAsia="Calibri" w:hAnsi="Calibri"/>
            <w:color w:val="1F4E5F"/>
            <w:sz w:val="22"/>
            <w:szCs w:val="22"/>
            <w:u w:val="single"/>
          </w:rPr>
          <w:t xml:space="preserve">[5]</w:t>
        </w:r>
      </w:hyperlink>
      <w:hyperlink w:history="1" r:id="rIdvy5sn57hblithwccyu1ev">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4. Vertical theories of harm</w:t>
      </w:r>
    </w:p>
    <w:p>
      <w:pPr>
        <w:spacing w:after="160"/>
      </w:pPr>
      <w:r>
        <w:rPr>
          <w:rFonts w:ascii="Calibri" w:cs="Calibri" w:eastAsia="Calibri" w:hAnsi="Calibri"/>
          <w:b w:val="false"/>
          <w:bCs w:val="false"/>
          <w:i w:val="false"/>
          <w:iCs w:val="false"/>
          <w:sz w:val="22"/>
          <w:szCs w:val="22"/>
        </w:rPr>
        <w:t xml:space="preserve">Vertical harm arises where one party is upstream and the other downstream, or where the merger integrates a platform with an input, distribution channel, or complementary service.</w:t>
      </w:r>
      <w:hyperlink w:history="1" r:id="rIdca5ohz7swtka2r9txu7-l">
        <w:r>
          <w:rPr>
            <w:rFonts w:ascii="Calibri" w:cs="Calibri" w:eastAsia="Calibri" w:hAnsi="Calibri"/>
            <w:color w:val="1F4E5F"/>
            <w:sz w:val="22"/>
            <w:szCs w:val="22"/>
            <w:u w:val="single"/>
          </w:rPr>
          <w:t xml:space="preserve">[1]</w:t>
        </w:r>
      </w:hyperlink>
      <w:hyperlink w:history="1" r:id="rIdz-5i4aox7yocsfkkdxe6d">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In digital markets, vertical issues often involve access to data, interoperability, app stores, operating systems, cloud services, advertising technology, or device ecosystems.</w:t>
      </w:r>
      <w:hyperlink w:history="1" r:id="rIda55rtw3irk5h70bteptyp">
        <w:r>
          <w:rPr>
            <w:rFonts w:ascii="Calibri" w:cs="Calibri" w:eastAsia="Calibri" w:hAnsi="Calibri"/>
            <w:color w:val="1F4E5F"/>
            <w:sz w:val="22"/>
            <w:szCs w:val="22"/>
            <w:u w:val="single"/>
          </w:rPr>
          <w:t xml:space="preserve">[3]</w:t>
        </w:r>
      </w:hyperlink>
      <w:hyperlink w:history="1" r:id="rIdymqva9sdmkqzohgnrdmae">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Input foreclosure: </w:t>
      </w:r>
      <w:r>
        <w:rPr>
          <w:rFonts w:ascii="Calibri" w:cs="Calibri" w:eastAsia="Calibri" w:hAnsi="Calibri"/>
          <w:b w:val="false"/>
          <w:bCs w:val="false"/>
          <w:i w:val="false"/>
          <w:iCs w:val="false"/>
          <w:sz w:val="22"/>
          <w:szCs w:val="22"/>
        </w:rPr>
        <w:t xml:space="preserve">the merged firm withholds a key input from rivals.</w:t>
      </w:r>
      <w:hyperlink w:history="1" r:id="rIdujutmuwfnedajozstxecu">
        <w:r>
          <w:rPr>
            <w:rFonts w:ascii="Calibri" w:cs="Calibri" w:eastAsia="Calibri" w:hAnsi="Calibri"/>
            <w:color w:val="1F4E5F"/>
            <w:sz w:val="22"/>
            <w:szCs w:val="22"/>
            <w:u w:val="single"/>
          </w:rPr>
          <w:t xml:space="preserve">[3]</w:t>
        </w:r>
      </w:hyperlink>
      <w:hyperlink w:history="1" r:id="rIdhvu_r6tv7dtyngoc_ajd1">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Customer foreclosure: </w:t>
      </w:r>
      <w:r>
        <w:rPr>
          <w:rFonts w:ascii="Calibri" w:cs="Calibri" w:eastAsia="Calibri" w:hAnsi="Calibri"/>
          <w:b w:val="false"/>
          <w:bCs w:val="false"/>
          <w:i w:val="false"/>
          <w:iCs w:val="false"/>
          <w:sz w:val="22"/>
          <w:szCs w:val="22"/>
        </w:rPr>
        <w:t xml:space="preserve">the merged firm diverts demand away from rival suppliers.</w:t>
      </w:r>
      <w:hyperlink w:history="1" r:id="rIdebvmkz6whgje9oaibv1ck">
        <w:r>
          <w:rPr>
            <w:rFonts w:ascii="Calibri" w:cs="Calibri" w:eastAsia="Calibri" w:hAnsi="Calibri"/>
            <w:color w:val="1F4E5F"/>
            <w:sz w:val="22"/>
            <w:szCs w:val="22"/>
            <w:u w:val="single"/>
          </w:rPr>
          <w:t xml:space="preserve">[3]</w:t>
        </w:r>
      </w:hyperlink>
      <w:hyperlink w:history="1" r:id="rIdbhiv4knl61obaswnnqrno">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Raising rivals' costs: </w:t>
      </w:r>
      <w:r>
        <w:rPr>
          <w:rFonts w:ascii="Calibri" w:cs="Calibri" w:eastAsia="Calibri" w:hAnsi="Calibri"/>
          <w:b w:val="false"/>
          <w:bCs w:val="false"/>
          <w:i w:val="false"/>
          <w:iCs w:val="false"/>
          <w:sz w:val="22"/>
          <w:szCs w:val="22"/>
        </w:rPr>
        <w:t xml:space="preserve">the merged firm worsens rivals' access terms, quality, interoperability, or ranking.</w:t>
      </w:r>
      <w:hyperlink w:history="1" r:id="rId7l5mptzbeghye9tqtbw4z">
        <w:r>
          <w:rPr>
            <w:rFonts w:ascii="Calibri" w:cs="Calibri" w:eastAsia="Calibri" w:hAnsi="Calibri"/>
            <w:color w:val="1F4E5F"/>
            <w:sz w:val="22"/>
            <w:szCs w:val="22"/>
            <w:u w:val="single"/>
          </w:rPr>
          <w:t xml:space="preserve">[3]</w:t>
        </w:r>
      </w:hyperlink>
      <w:hyperlink w:history="1" r:id="rIduxqsq0iwczzvn_sinto6q">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Degradation of interoperability or access: </w:t>
      </w:r>
      <w:r>
        <w:rPr>
          <w:rFonts w:ascii="Calibri" w:cs="Calibri" w:eastAsia="Calibri" w:hAnsi="Calibri"/>
          <w:b w:val="false"/>
          <w:bCs w:val="false"/>
          <w:i w:val="false"/>
          <w:iCs w:val="false"/>
          <w:sz w:val="22"/>
          <w:szCs w:val="22"/>
        </w:rPr>
        <w:t xml:space="preserve">the merged firm uses technical control to reduce rival functionality or increase dependence.</w:t>
      </w:r>
      <w:hyperlink w:history="1" r:id="rId2x3sygqhd6zpowhraqi49">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5. Conglomerate and ecosystem effects</w:t>
      </w:r>
    </w:p>
    <w:p>
      <w:pPr>
        <w:spacing w:after="160"/>
      </w:pPr>
      <w:r>
        <w:rPr>
          <w:rFonts w:ascii="Calibri" w:cs="Calibri" w:eastAsia="Calibri" w:hAnsi="Calibri"/>
          <w:b w:val="false"/>
          <w:bCs w:val="false"/>
          <w:i w:val="false"/>
          <w:iCs w:val="false"/>
          <w:sz w:val="22"/>
          <w:szCs w:val="22"/>
        </w:rPr>
        <w:t xml:space="preserve">Conglomerate harm is especially important in digital ecosystems because products may be complementary rather than substitutable.</w:t>
      </w:r>
      <w:hyperlink w:history="1" r:id="rIdpzplr6xrivprbfhaginjp">
        <w:r>
          <w:rPr>
            <w:rFonts w:ascii="Calibri" w:cs="Calibri" w:eastAsia="Calibri" w:hAnsi="Calibri"/>
            <w:color w:val="1F4E5F"/>
            <w:sz w:val="22"/>
            <w:szCs w:val="22"/>
            <w:u w:val="single"/>
          </w:rPr>
          <w:t xml:space="preserve">[5]</w:t>
        </w:r>
      </w:hyperlink>
      <w:hyperlink w:history="1" r:id="rIdbczemxgvyr6blxiadpgmj">
        <w:r>
          <w:rPr>
            <w:rFonts w:ascii="Calibri" w:cs="Calibri" w:eastAsia="Calibri" w:hAnsi="Calibri"/>
            <w:color w:val="1F4E5F"/>
            <w:sz w:val="22"/>
            <w:szCs w:val="22"/>
            <w:u w:val="single"/>
          </w:rPr>
          <w:t xml:space="preserve">[3]</w:t>
        </w:r>
      </w:hyperlink>
      <w:hyperlink w:history="1" r:id="rIdu6makcx0c8wymdkz1wniw">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The issue is not immediate overlap but whether the merger lets a firm leverage power across adjacent services, bundle strategically, or strengthen an ecosystem in ways that foreclose rivals.</w:t>
      </w:r>
      <w:hyperlink w:history="1" r:id="rIdiimxqw9qscpezkkjdoni1">
        <w:r>
          <w:rPr>
            <w:rFonts w:ascii="Calibri" w:cs="Calibri" w:eastAsia="Calibri" w:hAnsi="Calibri"/>
            <w:color w:val="1F4E5F"/>
            <w:sz w:val="22"/>
            <w:szCs w:val="22"/>
            <w:u w:val="single"/>
          </w:rPr>
          <w:t xml:space="preserve">[5]</w:t>
        </w:r>
      </w:hyperlink>
      <w:hyperlink w:history="1" r:id="rId9c5gr-htuwmr6upl0zhoq">
        <w:r>
          <w:rPr>
            <w:rFonts w:ascii="Calibri" w:cs="Calibri" w:eastAsia="Calibri" w:hAnsi="Calibri"/>
            <w:color w:val="1F4E5F"/>
            <w:sz w:val="22"/>
            <w:szCs w:val="22"/>
            <w:u w:val="single"/>
          </w:rPr>
          <w:t xml:space="preserve">[3]</w:t>
        </w:r>
      </w:hyperlink>
      <w:hyperlink w:history="1" r:id="rIdvenpounduh5ey0n55yyl-">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Tying and bundling across services or devices.</w:t>
      </w:r>
    </w:p>
    <w:p>
      <w:pPr>
        <w:pStyle w:val="ListParagraph"/>
        <w:numPr>
          <w:ilvl w:val="0"/>
          <w:numId w:val="1"/>
        </w:numPr>
        <w:spacing w:after="100"/>
      </w:pPr>
      <w:r>
        <w:rPr>
          <w:rFonts w:ascii="Calibri" w:cs="Calibri" w:eastAsia="Calibri" w:hAnsi="Calibri"/>
          <w:b/>
          <w:bCs/>
          <w:sz w:val="22"/>
          <w:szCs w:val="22"/>
        </w:rPr>
        <w:t xml:space="preserve">Ecosystem leverage from one strong platform into adjacent markets.</w:t>
      </w:r>
      <w:r>
        <w:rPr>
          <w:rFonts w:ascii="Calibri" w:cs="Calibri" w:eastAsia="Calibri" w:hAnsi="Calibri"/>
          <w:b w:val="false"/>
          <w:bCs w:val="false"/>
          <w:i w:val="false"/>
          <w:iCs w:val="false"/>
          <w:sz w:val="22"/>
          <w:szCs w:val="22"/>
        </w:rPr>
        <w:t xml:space="preserve"/>
      </w:r>
      <w:hyperlink w:history="1" r:id="rIdfto3rpvhjzux_d143vazn">
        <w:r>
          <w:rPr>
            <w:rFonts w:ascii="Calibri" w:cs="Calibri" w:eastAsia="Calibri" w:hAnsi="Calibri"/>
            <w:color w:val="1F4E5F"/>
            <w:sz w:val="22"/>
            <w:szCs w:val="22"/>
            <w:u w:val="single"/>
          </w:rPr>
          <w:t xml:space="preserve">[8]</w:t>
        </w:r>
      </w:hyperlink>
      <w:hyperlink w:history="1" r:id="rIdv1ld6gawxqhjfvuubomti">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Loss of independent competitive pressure from a complementary product that helps discipline the core platform.</w:t>
      </w:r>
      <w:r>
        <w:rPr>
          <w:rFonts w:ascii="Calibri" w:cs="Calibri" w:eastAsia="Calibri" w:hAnsi="Calibri"/>
          <w:b w:val="false"/>
          <w:bCs w:val="false"/>
          <w:i w:val="false"/>
          <w:iCs w:val="false"/>
          <w:sz w:val="22"/>
          <w:szCs w:val="22"/>
        </w:rPr>
        <w:t xml:space="preserve"/>
      </w:r>
      <w:hyperlink w:history="1" r:id="rIdqgs2gvhz_h-icgfelxp8y">
        <w:r>
          <w:rPr>
            <w:rFonts w:ascii="Calibri" w:cs="Calibri" w:eastAsia="Calibri" w:hAnsi="Calibri"/>
            <w:color w:val="1F4E5F"/>
            <w:sz w:val="22"/>
            <w:szCs w:val="22"/>
            <w:u w:val="single"/>
          </w:rPr>
          <w:t xml:space="preserve">[1]</w:t>
        </w:r>
      </w:hyperlink>
      <w:hyperlink w:history="1" r:id="rIddhhuzsnrs9beude3d0uu0">
        <w:r>
          <w:rPr>
            <w:rFonts w:ascii="Calibri" w:cs="Calibri" w:eastAsia="Calibri" w:hAnsi="Calibri"/>
            <w:color w:val="1F4E5F"/>
            <w:sz w:val="22"/>
            <w:szCs w:val="22"/>
            <w:u w:val="single"/>
          </w:rPr>
          <w:t xml:space="preserve">[8]</w:t>
        </w:r>
      </w:hyperlink>
    </w:p>
    <w:p>
      <w:pPr>
        <w:spacing w:after="120" w:before="200"/>
      </w:pPr>
      <w:r>
        <w:rPr>
          <w:rFonts w:ascii="Calibri" w:cs="Calibri" w:eastAsia="Calibri" w:hAnsi="Calibri"/>
          <w:b/>
          <w:bCs/>
          <w:i/>
          <w:iCs/>
          <w:sz w:val="22"/>
          <w:szCs w:val="22"/>
        </w:rPr>
        <w:t xml:space="preserve">6. Multi-sided platform concerns</w:t>
      </w:r>
    </w:p>
    <w:p>
      <w:pPr>
        <w:spacing w:after="160"/>
      </w:pPr>
      <w:r>
        <w:rPr>
          <w:rFonts w:ascii="Calibri" w:cs="Calibri" w:eastAsia="Calibri" w:hAnsi="Calibri"/>
          <w:b w:val="false"/>
          <w:bCs w:val="false"/>
          <w:i w:val="false"/>
          <w:iCs w:val="false"/>
          <w:sz w:val="22"/>
          <w:szCs w:val="22"/>
        </w:rPr>
        <w:t xml:space="preserve">Digital platforms frequently serve multiple user groups, so harm may arise on one side even if pricing on another side appears unchanged.</w:t>
      </w:r>
      <w:hyperlink w:history="1" r:id="rIdizadu_ht7gue7vws0gqso">
        <w:r>
          <w:rPr>
            <w:rFonts w:ascii="Calibri" w:cs="Calibri" w:eastAsia="Calibri" w:hAnsi="Calibri"/>
            <w:color w:val="1F4E5F"/>
            <w:sz w:val="22"/>
            <w:szCs w:val="22"/>
            <w:u w:val="single"/>
          </w:rPr>
          <w:t xml:space="preserve">[1]</w:t>
        </w:r>
      </w:hyperlink>
      <w:hyperlink w:history="1" r:id="rIdyyl17j7cocgul3unbrnpw">
        <w:r>
          <w:rPr>
            <w:rFonts w:ascii="Calibri" w:cs="Calibri" w:eastAsia="Calibri" w:hAnsi="Calibri"/>
            <w:color w:val="1F4E5F"/>
            <w:sz w:val="22"/>
            <w:szCs w:val="22"/>
            <w:u w:val="single"/>
          </w:rPr>
          <w:t xml:space="preserve">[6]</w:t>
        </w:r>
      </w:hyperlink>
    </w:p>
    <w:p>
      <w:pPr>
        <w:spacing w:after="160"/>
      </w:pPr>
      <w:r>
        <w:rPr>
          <w:rFonts w:ascii="Calibri" w:cs="Calibri" w:eastAsia="Calibri" w:hAnsi="Calibri"/>
          <w:b w:val="false"/>
          <w:bCs w:val="false"/>
          <w:i w:val="false"/>
          <w:iCs w:val="false"/>
          <w:sz w:val="22"/>
          <w:szCs w:val="22"/>
        </w:rPr>
        <w:t xml:space="preserve">Authorities therefore assess cross-side effects, such as whether the merger worsens conditions for advertisers, sellers, app developers, consumers, or workers, depending on the platform design.</w:t>
      </w:r>
      <w:hyperlink w:history="1" r:id="rIduhzkxc2c6wbyzc_fxeljq">
        <w:r>
          <w:rPr>
            <w:rFonts w:ascii="Calibri" w:cs="Calibri" w:eastAsia="Calibri" w:hAnsi="Calibri"/>
            <w:color w:val="1F4E5F"/>
            <w:sz w:val="22"/>
            <w:szCs w:val="22"/>
            <w:u w:val="single"/>
          </w:rPr>
          <w:t xml:space="preserve">[1]</w:t>
        </w:r>
      </w:hyperlink>
      <w:hyperlink w:history="1" r:id="rIdvfuq4kujysnsirarzlucj">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This is where traditional price-based analysis is often too narrow, because the relevant harm may involve quality, privacy, attention, ad load, matching efficiency, choice, or innovation.</w:t>
      </w:r>
      <w:hyperlink w:history="1" r:id="rIdusevhirwagzrvniw8xgfc">
        <w:r>
          <w:rPr>
            <w:rFonts w:ascii="Calibri" w:cs="Calibri" w:eastAsia="Calibri" w:hAnsi="Calibri"/>
            <w:color w:val="1F4E5F"/>
            <w:sz w:val="22"/>
            <w:szCs w:val="22"/>
            <w:u w:val="single"/>
          </w:rPr>
          <w:t xml:space="preserve">[1]</w:t>
        </w:r>
      </w:hyperlink>
      <w:hyperlink w:history="1" r:id="rIdggphpwk1xasdslpcm-usx">
        <w:r>
          <w:rPr>
            <w:rFonts w:ascii="Calibri" w:cs="Calibri" w:eastAsia="Calibri" w:hAnsi="Calibri"/>
            <w:color w:val="1F4E5F"/>
            <w:sz w:val="22"/>
            <w:szCs w:val="22"/>
            <w:u w:val="single"/>
          </w:rPr>
          <w:t xml:space="preserve">[4]</w:t>
        </w:r>
      </w:hyperlink>
      <w:hyperlink w:history="1" r:id="rId_b7nqitjbzgwlqmuegds_">
        <w:r>
          <w:rPr>
            <w:rFonts w:ascii="Calibri" w:cs="Calibri" w:eastAsia="Calibri" w:hAnsi="Calibri"/>
            <w:color w:val="1F4E5F"/>
            <w:sz w:val="22"/>
            <w:szCs w:val="22"/>
            <w:u w:val="single"/>
          </w:rPr>
          <w:t xml:space="preserve">[5]</w:t>
        </w:r>
      </w:hyperlink>
    </w:p>
    <w:p>
      <w:pPr>
        <w:spacing w:after="120" w:before="200"/>
      </w:pPr>
      <w:r>
        <w:rPr>
          <w:rFonts w:ascii="Calibri" w:cs="Calibri" w:eastAsia="Calibri" w:hAnsi="Calibri"/>
          <w:b/>
          <w:bCs/>
          <w:i/>
          <w:iCs/>
          <w:sz w:val="22"/>
          <w:szCs w:val="22"/>
        </w:rPr>
        <w:t xml:space="preserve">7. Innovation and dynamic competition</w:t>
      </w:r>
    </w:p>
    <w:p>
      <w:pPr>
        <w:spacing w:after="160"/>
      </w:pPr>
      <w:r>
        <w:rPr>
          <w:rFonts w:ascii="Calibri" w:cs="Calibri" w:eastAsia="Calibri" w:hAnsi="Calibri"/>
          <w:b w:val="false"/>
          <w:bCs w:val="false"/>
          <w:i w:val="false"/>
          <w:iCs w:val="false"/>
          <w:sz w:val="22"/>
          <w:szCs w:val="22"/>
        </w:rPr>
        <w:t xml:space="preserve">Innovation harm is a central digital-merger theory because many platform markets compete through product development rather than immediate price rivalry.</w:t>
      </w:r>
      <w:hyperlink w:history="1" r:id="rIdmgo_7xo70_wj-a4uwmwdl">
        <w:r>
          <w:rPr>
            <w:rFonts w:ascii="Calibri" w:cs="Calibri" w:eastAsia="Calibri" w:hAnsi="Calibri"/>
            <w:color w:val="1F4E5F"/>
            <w:sz w:val="22"/>
            <w:szCs w:val="22"/>
            <w:u w:val="single"/>
          </w:rPr>
          <w:t xml:space="preserve">[1]</w:t>
        </w:r>
      </w:hyperlink>
      <w:hyperlink w:history="1" r:id="rId1h6ow_uorman7mdgrx6yg">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The question is whether the merger removes a meaningful source of innovation pressure, reduces R&amp;D incentives, or slows the pace of feature development, product improvement, or entry by adjacent innovation.</w:t>
      </w:r>
      <w:hyperlink w:history="1" r:id="rIdskalnehd7pr3is_3npukz">
        <w:r>
          <w:rPr>
            <w:rFonts w:ascii="Calibri" w:cs="Calibri" w:eastAsia="Calibri" w:hAnsi="Calibri"/>
            <w:color w:val="1F4E5F"/>
            <w:sz w:val="22"/>
            <w:szCs w:val="22"/>
            <w:u w:val="single"/>
          </w:rPr>
          <w:t xml:space="preserve">[1]</w:t>
        </w:r>
      </w:hyperlink>
      <w:hyperlink w:history="1" r:id="rIdo5iw4kuk-gtdwhglilzbq">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The OECD materials emphasise that digital merger review should be capable of capturing harms to future innovation, not just static price effects.</w:t>
      </w:r>
      <w:hyperlink w:history="1" r:id="rIdy5v6mh37l2nojcuqgizfk">
        <w:r>
          <w:rPr>
            <w:rFonts w:ascii="Calibri" w:cs="Calibri" w:eastAsia="Calibri" w:hAnsi="Calibri"/>
            <w:color w:val="1F4E5F"/>
            <w:sz w:val="22"/>
            <w:szCs w:val="22"/>
            <w:u w:val="single"/>
          </w:rPr>
          <w:t xml:space="preserve">[1]</w:t>
        </w:r>
      </w:hyperlink>
      <w:hyperlink w:history="1" r:id="rIdh_dlph9e-k7phispykn8a">
        <w:r>
          <w:rPr>
            <w:rFonts w:ascii="Calibri" w:cs="Calibri" w:eastAsia="Calibri" w:hAnsi="Calibri"/>
            <w:color w:val="1F4E5F"/>
            <w:sz w:val="22"/>
            <w:szCs w:val="22"/>
            <w:u w:val="single"/>
          </w:rPr>
          <w:t xml:space="preserve">[2]</w:t>
        </w:r>
      </w:hyperlink>
      <w:hyperlink w:history="1" r:id="rIdbvjss5llcb85zevxiysxc">
        <w:r>
          <w:rPr>
            <w:rFonts w:ascii="Calibri" w:cs="Calibri" w:eastAsia="Calibri" w:hAnsi="Calibri"/>
            <w:color w:val="1F4E5F"/>
            <w:sz w:val="22"/>
            <w:szCs w:val="22"/>
            <w:u w:val="single"/>
          </w:rPr>
          <w:t xml:space="preserve">[5]</w:t>
        </w:r>
      </w:hyperlink>
    </w:p>
    <w:p>
      <w:pPr>
        <w:spacing w:after="120" w:before="200"/>
      </w:pPr>
      <w:r>
        <w:rPr>
          <w:rFonts w:ascii="Calibri" w:cs="Calibri" w:eastAsia="Calibri" w:hAnsi="Calibri"/>
          <w:b/>
          <w:bCs/>
          <w:i/>
          <w:iCs/>
          <w:sz w:val="22"/>
          <w:szCs w:val="22"/>
        </w:rPr>
        <w:t xml:space="preserve">8. Non-price dimensions and quality competition</w:t>
      </w:r>
    </w:p>
    <w:p>
      <w:pPr>
        <w:spacing w:after="160"/>
      </w:pPr>
      <w:r>
        <w:rPr>
          <w:rFonts w:ascii="Calibri" w:cs="Calibri" w:eastAsia="Calibri" w:hAnsi="Calibri"/>
          <w:b w:val="false"/>
          <w:bCs w:val="false"/>
          <w:i w:val="false"/>
          <w:iCs w:val="false"/>
          <w:sz w:val="22"/>
          <w:szCs w:val="22"/>
        </w:rPr>
        <w:t xml:space="preserve">Digital services are often monetized indirectly, so competition may occur on quality, privacy, data protection, ranking, trust, security, and user experience.</w:t>
      </w:r>
      <w:hyperlink w:history="1" r:id="rIdskbuy0ntnk71xpjvaggl1">
        <w:r>
          <w:rPr>
            <w:rFonts w:ascii="Calibri" w:cs="Calibri" w:eastAsia="Calibri" w:hAnsi="Calibri"/>
            <w:color w:val="1F4E5F"/>
            <w:sz w:val="22"/>
            <w:szCs w:val="22"/>
            <w:u w:val="single"/>
          </w:rPr>
          <w:t xml:space="preserve">[1]</w:t>
        </w:r>
      </w:hyperlink>
      <w:hyperlink w:history="1" r:id="rIdtbqcty_gcgn0mmfe6oedr">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A merger can therefore harm competition even if there is no obvious price increase, because it may reduce choice or degrade service quality.</w:t>
      </w:r>
      <w:hyperlink w:history="1" r:id="rIdmzvu2qkezoguyg7zmzv2c">
        <w:r>
          <w:rPr>
            <w:rFonts w:ascii="Calibri" w:cs="Calibri" w:eastAsia="Calibri" w:hAnsi="Calibri"/>
            <w:color w:val="1F4E5F"/>
            <w:sz w:val="22"/>
            <w:szCs w:val="22"/>
            <w:u w:val="single"/>
          </w:rPr>
          <w:t xml:space="preserve">[1]</w:t>
        </w:r>
      </w:hyperlink>
      <w:hyperlink w:history="1" r:id="rIdomny4cl61jd5xbnuhp3dp">
        <w:r>
          <w:rPr>
            <w:rFonts w:ascii="Calibri" w:cs="Calibri" w:eastAsia="Calibri" w:hAnsi="Calibri"/>
            <w:color w:val="1F4E5F"/>
            <w:sz w:val="22"/>
            <w:szCs w:val="22"/>
            <w:u w:val="single"/>
          </w:rPr>
          <w:t xml:space="preserve">[4]</w:t>
        </w:r>
      </w:hyperlink>
      <w:hyperlink w:history="1" r:id="rId2rlel6dm1wi450ti_jbft">
        <w:r>
          <w:rPr>
            <w:rFonts w:ascii="Calibri" w:cs="Calibri" w:eastAsia="Calibri" w:hAnsi="Calibri"/>
            <w:color w:val="1F4E5F"/>
            <w:sz w:val="22"/>
            <w:szCs w:val="22"/>
            <w:u w:val="single"/>
          </w:rPr>
          <w:t xml:space="preserve">[3]</w:t>
        </w:r>
      </w:hyperlink>
    </w:p>
    <w:p>
      <w:pPr>
        <w:spacing w:after="120" w:before="200"/>
      </w:pPr>
      <w:r>
        <w:rPr>
          <w:rFonts w:ascii="Calibri" w:cs="Calibri" w:eastAsia="Calibri" w:hAnsi="Calibri"/>
          <w:b/>
          <w:bCs/>
          <w:i/>
          <w:iCs/>
          <w:sz w:val="22"/>
          <w:szCs w:val="22"/>
        </w:rPr>
        <w:t xml:space="preserve">9. Legal and economic test structure</w:t>
      </w:r>
    </w:p>
    <w:p>
      <w:pPr>
        <w:spacing w:after="160"/>
      </w:pPr>
      <w:r>
        <w:rPr>
          <w:rFonts w:ascii="Calibri" w:cs="Calibri" w:eastAsia="Calibri" w:hAnsi="Calibri"/>
          <w:b w:val="false"/>
          <w:bCs w:val="false"/>
          <w:i w:val="false"/>
          <w:iCs w:val="false"/>
          <w:sz w:val="22"/>
          <w:szCs w:val="22"/>
        </w:rPr>
        <w:t xml:space="preserve">The legal frame in EU merger control is whether the transaction significantly impedes effective competition, and the theory of harm is the mechanism showing how that effect may occur.</w:t>
      </w:r>
      <w:hyperlink w:history="1" r:id="rIdyq5ne7qlzpz262cfen3sq">
        <w:r>
          <w:rPr>
            <w:rFonts w:ascii="Calibri" w:cs="Calibri" w:eastAsia="Calibri" w:hAnsi="Calibri"/>
            <w:color w:val="1F4E5F"/>
            <w:sz w:val="22"/>
            <w:szCs w:val="22"/>
            <w:u w:val="single"/>
          </w:rPr>
          <w:t xml:space="preserve">[4]</w:t>
        </w:r>
      </w:hyperlink>
    </w:p>
    <w:p>
      <w:pPr>
        <w:spacing w:after="160"/>
      </w:pPr>
      <w:r>
        <w:rPr>
          <w:rFonts w:ascii="Calibri" w:cs="Calibri" w:eastAsia="Calibri" w:hAnsi="Calibri"/>
          <w:b w:val="false"/>
          <w:bCs w:val="false"/>
          <w:i w:val="false"/>
          <w:iCs w:val="false"/>
          <w:sz w:val="22"/>
          <w:szCs w:val="22"/>
        </w:rPr>
        <w:t xml:space="preserve">Economically, the analysis usually asks whether the merger changes competitive constraints in a way that allows the merged firm to profitably worsen terms or reduce innovation, taking account of market structure, entry barriers, switching costs, multi-homing, and network effects.</w:t>
      </w:r>
      <w:hyperlink w:history="1" r:id="rIdfbkd4regzng9d1hxdgv6d">
        <w:r>
          <w:rPr>
            <w:rFonts w:ascii="Calibri" w:cs="Calibri" w:eastAsia="Calibri" w:hAnsi="Calibri"/>
            <w:color w:val="1F4E5F"/>
            <w:sz w:val="22"/>
            <w:szCs w:val="22"/>
            <w:u w:val="single"/>
          </w:rPr>
          <w:t xml:space="preserve">[1]</w:t>
        </w:r>
      </w:hyperlink>
      <w:hyperlink w:history="1" r:id="rIdtngazgpy0mw2akslmqwki">
        <w:r>
          <w:rPr>
            <w:rFonts w:ascii="Calibri" w:cs="Calibri" w:eastAsia="Calibri" w:hAnsi="Calibri"/>
            <w:color w:val="1F4E5F"/>
            <w:sz w:val="22"/>
            <w:szCs w:val="22"/>
            <w:u w:val="single"/>
          </w:rPr>
          <w:t xml:space="preserve">[4]</w:t>
        </w:r>
      </w:hyperlink>
      <w:hyperlink w:history="1" r:id="rIdcddgfpd3kpwl5jtphbwip">
        <w:r>
          <w:rPr>
            <w:rFonts w:ascii="Calibri" w:cs="Calibri" w:eastAsia="Calibri" w:hAnsi="Calibri"/>
            <w:color w:val="1F4E5F"/>
            <w:sz w:val="22"/>
            <w:szCs w:val="22"/>
            <w:u w:val="single"/>
          </w:rPr>
          <w:t xml:space="preserve">[5]</w:t>
        </w:r>
      </w:hyperlink>
    </w:p>
    <w:p>
      <w:pPr>
        <w:spacing w:after="120" w:before="200"/>
      </w:pPr>
      <w:r>
        <w:rPr>
          <w:rFonts w:ascii="Calibri" w:cs="Calibri" w:eastAsia="Calibri" w:hAnsi="Calibri"/>
          <w:b/>
          <w:bCs/>
          <w:i/>
          <w:iCs/>
          <w:sz w:val="22"/>
          <w:szCs w:val="22"/>
        </w:rPr>
        <w:t xml:space="preserve">10. Special considerations in financial markets adjacent to digital markets</w:t>
      </w:r>
    </w:p>
    <w:p>
      <w:pPr>
        <w:spacing w:after="160"/>
      </w:pPr>
      <w:r>
        <w:rPr>
          <w:rFonts w:ascii="Calibri" w:cs="Calibri" w:eastAsia="Calibri" w:hAnsi="Calibri"/>
          <w:b w:val="false"/>
          <w:bCs w:val="false"/>
          <w:i w:val="false"/>
          <w:iCs w:val="false"/>
          <w:sz w:val="22"/>
          <w:szCs w:val="22"/>
        </w:rPr>
        <w:t xml:space="preserve">Where digital platforms are used in fintech, payments, trading, or market infrastructure, the same merger concerns can be amplified by scale, data concentration, and interoperability dependence.</w:t>
      </w:r>
      <w:hyperlink w:history="1" r:id="rIdhr-256kcasqawwiobzybp">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Competition authorities may pay close attention to access control, platform governance, and the risk that a merged firm can shape transaction flows or degrade rival access in ways that affect financial market participants.</w:t>
      </w:r>
      <w:hyperlink w:history="1" r:id="rIdingkpranzhdndlgti4cyw">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Further reading</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digital mergers note</w:t>
      </w:r>
      <w:hyperlink w:history="1" r:id="rIdpjzkl8qp4i4vxw2emvke5">
        <w:r>
          <w:rPr>
            <w:rFonts w:ascii="Calibri" w:cs="Calibri" w:eastAsia="Calibri" w:hAnsi="Calibri"/>
            <w:color w:val="1F4E5F"/>
            <w:sz w:val="22"/>
            <w:szCs w:val="22"/>
            <w:u w:val="single"/>
          </w:rPr>
          <w:t xml:space="preserve">[2]</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roundtable materials</w:t>
      </w:r>
      <w:hyperlink w:history="1" r:id="rIdwhjxiv_8ugmtvbqadvhow">
        <w:r>
          <w:rPr>
            <w:rFonts w:ascii="Calibri" w:cs="Calibri" w:eastAsia="Calibri" w:hAnsi="Calibri"/>
            <w:color w:val="1F4E5F"/>
            <w:sz w:val="22"/>
            <w:szCs w:val="22"/>
            <w:u w:val="single"/>
          </w:rPr>
          <w:t xml:space="preserve">[5]</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European Commission's merger guidelines consultation text</w:t>
      </w:r>
      <w:hyperlink w:history="1" r:id="rIdrzzubolb--wzscxp9eoop">
        <w:r>
          <w:rPr>
            <w:rFonts w:ascii="Calibri" w:cs="Calibri" w:eastAsia="Calibri" w:hAnsi="Calibri"/>
            <w:color w:val="1F4E5F"/>
            <w:sz w:val="22"/>
            <w:szCs w:val="22"/>
            <w:u w:val="single"/>
          </w:rPr>
          <w:t xml:space="preserve">[4]</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Commission's digital and tech merger review publication</w:t>
      </w:r>
      <w:hyperlink w:history="1" r:id="rIda8zivv9tqttzco88xghws">
        <w:r>
          <w:rPr>
            <w:rFonts w:ascii="Calibri" w:cs="Calibri" w:eastAsia="Calibri" w:hAnsi="Calibri"/>
            <w:color w:val="1F4E5F"/>
            <w:sz w:val="22"/>
            <w:szCs w:val="22"/>
            <w:u w:val="single"/>
          </w:rPr>
          <w:t xml:space="preserve">[3]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roundtable summary</w:t>
      </w:r>
      <w:hyperlink w:history="1" r:id="rIdytvtzqb5cnkaiukwcv3ys">
        <w:r>
          <w:rPr>
            <w:rFonts w:ascii="Calibri" w:cs="Calibri" w:eastAsia="Calibri" w:hAnsi="Calibri"/>
            <w:color w:val="1F4E5F"/>
            <w:sz w:val="22"/>
            <w:szCs w:val="22"/>
            <w:u w:val="single"/>
          </w:rPr>
          <w:t xml:space="preserve">[2]</w:t>
        </w:r>
      </w:hyperlink>
    </w:p>
    <w:p>
      <w:pPr>
        <w:spacing w:after="120" w:before="200"/>
      </w:pPr>
      <w:r>
        <w:rPr>
          <w:rFonts w:ascii="Calibri" w:cs="Calibri" w:eastAsia="Calibri" w:hAnsi="Calibri"/>
          <w:b/>
          <w:bCs/>
          <w:i/>
          <w:iCs/>
          <w:sz w:val="22"/>
          <w:szCs w:val="22"/>
        </w:rPr>
        <w:t xml:space="preserve">Example Case:</w:t>
      </w:r>
    </w:p>
    <w:p>
      <w:pPr>
        <w:spacing w:after="120"/>
      </w:pPr>
      <w:r>
        <w:rPr>
          <w:rFonts w:ascii="Calibri" w:cs="Calibri" w:eastAsia="Calibri" w:hAnsi="Calibri"/>
          <w:i w:val="false"/>
          <w:iCs w:val="false"/>
          <w:sz w:val="22"/>
          <w:szCs w:val="22"/>
        </w:rPr>
        <w:t xml:space="preserve">Here are relevant cases worth your time based on your search query.</w:t>
      </w:r>
    </w:p>
    <w:p>
      <w:pPr>
        <w:spacing w:after="160"/>
      </w:pPr>
      <w:r>
        <w:rPr>
          <w:rFonts w:ascii="Calibri" w:cs="Calibri" w:eastAsia="Calibri" w:hAnsi="Calibri"/>
          <w:b/>
          <w:bCs/>
          <w:i w:val="false"/>
          <w:iCs w:val="false"/>
          <w:sz w:val="22"/>
          <w:szCs w:val="22"/>
        </w:rPr>
        <w:t xml:space="preserve">Case M.8124 – Microsoft / LinkedIn</w:t>
      </w:r>
    </w:p>
    <w:p>
      <w:pPr>
        <w:spacing w:after="120" w:before="200"/>
      </w:pPr>
      <w:r>
        <w:rPr>
          <w:rFonts w:ascii="Calibri" w:cs="Calibri" w:eastAsia="Calibri" w:hAnsi="Calibri"/>
          <w:b/>
          <w:bCs/>
          <w:i/>
          <w:iCs/>
          <w:sz w:val="22"/>
          <w:szCs w:val="22"/>
        </w:rPr>
        <w:t xml:space="preserve">Case Background</w:t>
      </w:r>
    </w:p>
    <w:p>
      <w:pPr>
        <w:spacing w:after="160"/>
      </w:pPr>
      <w:r>
        <w:rPr>
          <w:rFonts w:ascii="Calibri" w:cs="Calibri" w:eastAsia="Calibri" w:hAnsi="Calibri"/>
          <w:b w:val="false"/>
          <w:bCs w:val="false"/>
          <w:i w:val="false"/>
          <w:iCs w:val="false"/>
          <w:sz w:val="22"/>
          <w:szCs w:val="22"/>
        </w:rPr>
        <w:t xml:space="preserve">The allegation made in this case is that the merged entity would have the ability and incentive to foreclose competition in the market for productivity software solutions and CRM software solutions.</w:t>
      </w:r>
      <w:hyperlink w:history="1" r:id="rIdxvjtkjjtslxkq07ln9wkd">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companies involved in this case are Microsoft and LinkedIn.</w:t>
      </w:r>
      <w:hyperlink w:history="1" r:id="rIdn5km5htrk5yuxnwl643sy">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year of case initiation is 2016.</w:t>
      </w:r>
      <w:hyperlink w:history="1" r:id="rId1ghdmbjpp6xitfp0gqwko">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violation pertains to concerns that Microsoft, post-Transaction, could potentially limit access to LinkedIn's full data, which may affect competition in the provision of machine learning (ML) functionalities within productivity and CRM software solutions. However, it was assessed that LinkedIn does not have significant market power and that the data in question is not essential for ML applications, as competitors already provide such functionalities without relying on LinkedIn data.</w:t>
      </w:r>
      <w:hyperlink w:history="1" r:id="rIdfdcfpve12xguqtknpc0pb">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Additionally, data protection regulations in the European Economic Area (EEA) may restrict Microsoft's access to LinkedIn's full data, further mitigating the potential for anti-competitive behavior.</w:t>
      </w:r>
      <w:hyperlink w:history="1" r:id="rIdzfcalbu9xnz0vp4pj6xzt">
        <w:r>
          <w:rPr>
            <w:rFonts w:ascii="Calibri" w:cs="Calibri" w:eastAsia="Calibri" w:hAnsi="Calibri"/>
            <w:color w:val="1F4E5F"/>
            <w:sz w:val="22"/>
            <w:szCs w:val="22"/>
            <w:u w:val="single"/>
          </w:rPr>
          <w:t xml:space="preserve">[9]</w:t>
        </w:r>
      </w:hyperlink>
    </w:p>
    <w:p>
      <w:pPr>
        <w:spacing w:after="120" w:before="200"/>
      </w:pPr>
      <w:r>
        <w:rPr>
          <w:rFonts w:ascii="Calibri" w:cs="Calibri" w:eastAsia="Calibri" w:hAnsi="Calibri"/>
          <w:b/>
          <w:bCs/>
          <w:i/>
          <w:iCs/>
          <w:sz w:val="22"/>
          <w:szCs w:val="22"/>
        </w:rPr>
        <w:t xml:space="preserve">Case Progression</w:t>
      </w:r>
    </w:p>
    <w:p>
      <w:pPr>
        <w:pStyle w:val="ListParagraph"/>
        <w:numPr>
          <w:ilvl w:val="0"/>
          <w:numId w:val="1"/>
        </w:numPr>
        <w:spacing w:after="100"/>
      </w:pPr>
      <w:r>
        <w:rPr>
          <w:rFonts w:ascii="Calibri" w:cs="Calibri" w:eastAsia="Calibri" w:hAnsi="Calibri"/>
          <w:b/>
          <w:bCs/>
          <w:sz w:val="22"/>
          <w:szCs w:val="22"/>
        </w:rPr>
        <w:t xml:space="preserve">Case Initiation: </w:t>
      </w:r>
      <w:r>
        <w:rPr>
          <w:rFonts w:ascii="Calibri" w:cs="Calibri" w:eastAsia="Calibri" w:hAnsi="Calibri"/>
          <w:b w:val="false"/>
          <w:bCs w:val="false"/>
          <w:i w:val="false"/>
          <w:iCs w:val="false"/>
          <w:sz w:val="22"/>
          <w:szCs w:val="22"/>
        </w:rPr>
        <w:t xml:space="preserve">The case was initiated when Microsoft notified the European Commission of its proposed acquisition of LinkedIn on 14 October 2016.</w:t>
      </w:r>
      <w:hyperlink w:history="1" r:id="rIdicjlgu6pcr0igjrpncs6c">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Preliminary Investigation: </w:t>
      </w:r>
      <w:r>
        <w:rPr>
          <w:rFonts w:ascii="Calibri" w:cs="Calibri" w:eastAsia="Calibri" w:hAnsi="Calibri"/>
          <w:b w:val="false"/>
          <w:bCs w:val="false"/>
          <w:i w:val="false"/>
          <w:iCs w:val="false"/>
          <w:sz w:val="22"/>
          <w:szCs w:val="22"/>
        </w:rPr>
        <w:t xml:space="preserve">The Commission conducted a preliminary investigation to assess the potential impact of the merger on competition. Concerns were raised regarding the possibility of Microsoft foreclosing competing providers of Professional Social Networking (PSN) services by pre-installing LinkedIn applications and integrating features into Office.</w:t>
      </w:r>
      <w:hyperlink w:history="1" r:id="rIdjo_ethbhp9scbhj3-rrqd">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Statement of Objections issued: </w:t>
      </w:r>
      <w:r>
        <w:rPr>
          <w:rFonts w:ascii="Calibri" w:cs="Calibri" w:eastAsia="Calibri" w:hAnsi="Calibri"/>
          <w:b w:val="false"/>
          <w:bCs w:val="false"/>
          <w:i w:val="false"/>
          <w:iCs w:val="false"/>
          <w:sz w:val="22"/>
          <w:szCs w:val="22"/>
        </w:rPr>
        <w:t xml:space="preserve">Following the preliminary investigation, the Commission identified serious doubts about the merger's compatibility with the internal market, particularly regarding the potential for anti-competitive practices.</w:t>
      </w:r>
      <w:hyperlink w:history="1" r:id="rIdyjzi8unikfn515gaxjpnd">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Defense Phase: </w:t>
      </w:r>
      <w:r>
        <w:rPr>
          <w:rFonts w:ascii="Calibri" w:cs="Calibri" w:eastAsia="Calibri" w:hAnsi="Calibri"/>
          <w:b w:val="false"/>
          <w:bCs w:val="false"/>
          <w:i w:val="false"/>
          <w:iCs w:val="false"/>
          <w:sz w:val="22"/>
          <w:szCs w:val="22"/>
        </w:rPr>
        <w:t xml:space="preserve">Microsoft provided a written response to the Commission's concerns and participated in an oral hearing. The company presented evidence and commitments aimed at addressing the identified issues, including assurances about not foreclosing competitors.</w:t>
      </w:r>
      <w:hyperlink w:history="1" r:id="rIdkw9a16jag5b7p6kmotou7">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Commission Decision: </w:t>
      </w:r>
      <w:r>
        <w:rPr>
          <w:rFonts w:ascii="Calibri" w:cs="Calibri" w:eastAsia="Calibri" w:hAnsi="Calibri"/>
          <w:b w:val="false"/>
          <w:bCs w:val="false"/>
          <w:i w:val="false"/>
          <w:iCs w:val="false"/>
          <w:sz w:val="22"/>
          <w:szCs w:val="22"/>
        </w:rPr>
        <w:t xml:space="preserve">The Commission ultimately decided not to oppose the merger, declaring it compatible with the internal market, contingent upon Microsoft's compliance with the Final Commitments designed to mitigate competitive concerns.</w:t>
      </w:r>
      <w:hyperlink w:history="1" r:id="rIdmzrpzph8kg0ia79e1ksox">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General Court (T-xxx/xx): </w:t>
      </w:r>
      <w:r>
        <w:rPr>
          <w:rFonts w:ascii="Calibri" w:cs="Calibri" w:eastAsia="Calibri" w:hAnsi="Calibri"/>
          <w:b w:val="false"/>
          <w:bCs w:val="false"/>
          <w:i w:val="false"/>
          <w:iCs w:val="false"/>
          <w:sz w:val="22"/>
          <w:szCs w:val="22"/>
        </w:rPr>
        <w:t xml:space="preserve">Should Microsoft breach the commitments, the Commission retains the right to revoke the clearance decision, which could lead to further legal proceedings, including potential fines.</w:t>
      </w:r>
      <w:hyperlink w:history="1" r:id="rIdw1ai4lomdnknetbklpofp">
        <w:r>
          <w:rPr>
            <w:rFonts w:ascii="Calibri" w:cs="Calibri" w:eastAsia="Calibri" w:hAnsi="Calibri"/>
            <w:color w:val="1F4E5F"/>
            <w:sz w:val="22"/>
            <w:szCs w:val="22"/>
            <w:u w:val="single"/>
          </w:rPr>
          <w:t xml:space="preserve">[9]</w:t>
        </w:r>
      </w:hyperlink>
    </w:p>
    <w:p>
      <w:pPr>
        <w:spacing w:after="120" w:before="200"/>
      </w:pPr>
      <w:r>
        <w:rPr>
          <w:rFonts w:ascii="Calibri" w:cs="Calibri" w:eastAsia="Calibri" w:hAnsi="Calibri"/>
          <w:b/>
          <w:bCs/>
          <w:i/>
          <w:iCs/>
          <w:sz w:val="22"/>
          <w:szCs w:val="22"/>
        </w:rPr>
        <w:t xml:space="preserve">Market Definition</w:t>
      </w:r>
    </w:p>
    <w:p>
      <w:pPr>
        <w:spacing w:after="160"/>
      </w:pPr>
      <w:r>
        <w:rPr>
          <w:rFonts w:ascii="Calibri" w:cs="Calibri" w:eastAsia="Calibri" w:hAnsi="Calibri"/>
          <w:b w:val="false"/>
          <w:bCs w:val="false"/>
          <w:i w:val="false"/>
          <w:iCs w:val="false"/>
          <w:sz w:val="22"/>
          <w:szCs w:val="22"/>
        </w:rPr>
        <w:t xml:space="preserve">The market considered in this case includes online advertising services, specifically examining the distinction between search and non-search advertising, as well as advertising on social networking (SN) websites.</w:t>
      </w:r>
      <w:hyperlink w:history="1" r:id="rIdt0g8qvt_b6d8azhbhwlcc">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Commission assessed whether a separate product market should be defined for online non-search advertising services on SN websites and whether to distinguish online advertising based on the platform (PC versus mobile), ultimately leaving these questions open.</w:t>
      </w:r>
      <w:hyperlink w:history="1" r:id="rIdc-bp7etpdwgnuv_uxtaxt">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Notifying Party argued that the exact scope of the geographic market could be left open, while the Commission concluded that the online advertising market should be defined as national in scope or alongside linguistic borders within the EEA.</w:t>
      </w:r>
      <w:hyperlink w:history="1" r:id="rIdlbi6k-47r4vy8uahrqjxf">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Commission's assessment involved reviewing previous decisions where the market for online advertising was divided along national or linguistic borders, considering factors such as customers' purchasing preferences and the presence of support and sales networks.</w:t>
      </w:r>
      <w:hyperlink w:history="1" r:id="rIdiubilrb0lct3-bmlythji">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Commission retained its previous product market definition for enterprise communications services and sales intelligence solutions, indicating that the transaction does not raise concerns irrespective of the exact product market definition.</w:t>
      </w:r>
      <w:hyperlink w:history="1" r:id="rIdwn2iwmnjeygy_0sj9px4d">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Techniques used included market investigations and consultations with stakeholders, which provided insights into customer preferences and the substitutability of services, influencing the Commission's conclusions on market definitions.</w:t>
      </w:r>
      <w:hyperlink w:history="1" r:id="rIdobvdnnuinpovk1ewzbahl">
        <w:r>
          <w:rPr>
            <w:rFonts w:ascii="Calibri" w:cs="Calibri" w:eastAsia="Calibri" w:hAnsi="Calibri"/>
            <w:color w:val="1F4E5F"/>
            <w:sz w:val="22"/>
            <w:szCs w:val="22"/>
            <w:u w:val="single"/>
          </w:rPr>
          <w:t xml:space="preserve">[9]</w:t>
        </w:r>
      </w:hyperlink>
    </w:p>
    <w:p>
      <w:pPr>
        <w:spacing w:after="160"/>
      </w:pPr>
      <w:r>
        <w:rPr>
          <w:rFonts w:ascii="Calibri" w:cs="Calibri" w:eastAsia="Calibri" w:hAnsi="Calibri"/>
          <w:b w:val="false"/>
          <w:bCs w:val="false"/>
          <w:i w:val="false"/>
          <w:iCs w:val="false"/>
          <w:sz w:val="22"/>
          <w:szCs w:val="22"/>
        </w:rPr>
        <w:t xml:space="preserve">The Commission also considered technological developments and the interchangeability of websites for advertising purposes, arguing against further segmentation based on audience types or targeting, as these factors have become integral to online advertising.</w:t>
      </w:r>
      <w:hyperlink w:history="1" r:id="rIdl-wcpvci-tjqh-vu5til_">
        <w:r>
          <w:rPr>
            <w:rFonts w:ascii="Calibri" w:cs="Calibri" w:eastAsia="Calibri" w:hAnsi="Calibri"/>
            <w:color w:val="1F4E5F"/>
            <w:sz w:val="22"/>
            <w:szCs w:val="22"/>
            <w:u w:val="single"/>
          </w:rPr>
          <w:t xml:space="preserve">[9]</w:t>
        </w:r>
      </w:hyperlink>
    </w:p>
    <w:p>
      <w:pPr>
        <w:spacing w:after="120" w:before="200"/>
      </w:pPr>
      <w:r>
        <w:rPr>
          <w:rFonts w:ascii="Calibri" w:cs="Calibri" w:eastAsia="Calibri" w:hAnsi="Calibri"/>
          <w:b/>
          <w:bCs/>
          <w:i/>
          <w:iCs/>
          <w:sz w:val="22"/>
          <w:szCs w:val="22"/>
        </w:rPr>
        <w:t xml:space="preserve">Legal &amp; Economic Tests</w:t>
      </w:r>
    </w:p>
    <w:p>
      <w:pPr>
        <w:pStyle w:val="ListParagraph"/>
        <w:numPr>
          <w:ilvl w:val="0"/>
          <w:numId w:val="1"/>
        </w:numPr>
        <w:spacing w:after="100"/>
      </w:pPr>
      <w:r>
        <w:rPr>
          <w:rFonts w:ascii="Calibri" w:cs="Calibri" w:eastAsia="Calibri" w:hAnsi="Calibri"/>
          <w:b/>
          <w:bCs/>
          <w:sz w:val="22"/>
          <w:szCs w:val="22"/>
        </w:rPr>
        <w:t xml:space="preserve">Assessment of Non-Horizontal Effects: </w:t>
      </w:r>
      <w:r>
        <w:rPr>
          <w:rFonts w:ascii="Calibri" w:cs="Calibri" w:eastAsia="Calibri" w:hAnsi="Calibri"/>
          <w:b w:val="false"/>
          <w:bCs w:val="false"/>
          <w:i w:val="false"/>
          <w:iCs w:val="false"/>
          <w:sz w:val="22"/>
          <w:szCs w:val="22"/>
        </w:rPr>
        <w:t xml:space="preserve">This test evaluates whether a merger could significantly impede effective competition due to vertical non-coordinated effects. It examines if the merged entity would have the ability and incentive to foreclose access to inputs or customers, thereby reducing competitors' ability to compete.</w:t>
      </w:r>
      <w:hyperlink w:history="1" r:id="rIdkj232v6r6jbywib-qdfmr">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Ability and Incentive to Foreclose: </w:t>
      </w:r>
      <w:r>
        <w:rPr>
          <w:rFonts w:ascii="Calibri" w:cs="Calibri" w:eastAsia="Calibri" w:hAnsi="Calibri"/>
          <w:b w:val="false"/>
          <w:bCs w:val="false"/>
          <w:i w:val="false"/>
          <w:iCs w:val="false"/>
          <w:sz w:val="22"/>
          <w:szCs w:val="22"/>
        </w:rPr>
        <w:t xml:space="preserve">This test specifically assesses whether the merged entity would have both the capability and motivation to engage in practices that could harm competition, such as restricting access to essential data or services.</w:t>
      </w:r>
      <w:hyperlink w:history="1" r:id="rIdc8gmpov7oze7xyr99wqh4">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Geographic Market Definition: </w:t>
      </w:r>
      <w:r>
        <w:rPr>
          <w:rFonts w:ascii="Calibri" w:cs="Calibri" w:eastAsia="Calibri" w:hAnsi="Calibri"/>
          <w:b w:val="false"/>
          <w:bCs w:val="false"/>
          <w:i w:val="false"/>
          <w:iCs w:val="false"/>
          <w:sz w:val="22"/>
          <w:szCs w:val="22"/>
        </w:rPr>
        <w:t xml:space="preserve">This test determines the relevant geographic market for the merger, which is crucial for assessing competitive effects. It involves analyzing customer preferences, purchasing behaviors, and the presence of sales networks to define the market scope.</w:t>
      </w:r>
      <w:hyperlink w:history="1" r:id="rId_sp3uouys6308u7gixxl2">
        <w:r>
          <w:rPr>
            <w:rFonts w:ascii="Calibri" w:cs="Calibri" w:eastAsia="Calibri" w:hAnsi="Calibri"/>
            <w:color w:val="1F4E5F"/>
            <w:sz w:val="22"/>
            <w:szCs w:val="22"/>
            <w:u w:val="single"/>
          </w:rPr>
          <w:t xml:space="preserve">[9]</w:t>
        </w:r>
      </w:hyperlink>
    </w:p>
    <w:p>
      <w:pPr>
        <w:spacing w:after="120" w:before="200"/>
      </w:pPr>
      <w:r>
        <w:rPr>
          <w:rFonts w:ascii="Calibri" w:cs="Calibri" w:eastAsia="Calibri" w:hAnsi="Calibri"/>
          <w:b/>
          <w:bCs/>
          <w:i/>
          <w:iCs/>
          <w:sz w:val="22"/>
          <w:szCs w:val="22"/>
        </w:rPr>
        <w:t xml:space="preserve">Conclusion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concluded that the merger between Microsoft and LinkedIn, as modified by the Final Commitments, was compatible with the internal market and the functioning of the EEA Agreement.</w:t>
      </w:r>
      <w:hyperlink w:history="1" r:id="rIdrxj_hhgsnsq6or4oqdfyl">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Final Commitments were deemed sufficient to address serious doubts regarding the potential foreclosure of competing PSN service providers, particularly concerning the integration of LinkedIn features into Office and access to Microsoft APIs.</w:t>
      </w:r>
      <w:hyperlink w:history="1" r:id="rId9svortblrhbugdbg7zimm">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Revised Integration Commitments ensured that Third-Party PSN Service Providers would continue to have access to the Office Add-in Program and associated APIs without discrimination, addressing market concerns raised during the investigation.</w:t>
      </w:r>
      <w:hyperlink w:history="1" r:id="rIdqgw8ni8l_lbggehgbzaqx">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Revised Pre-installation Commitments expanded the scope to include all Microsoft PC Distribution Partners, ensuring users could remove the LinkedIn application from their Windows PCs and preventing Microsoft from promoting the LinkedIn application through Windows updates.</w:t>
      </w:r>
      <w:hyperlink w:history="1" r:id="rIdqpfuhazsinhanyavoml-p">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emphasized that all commitments must be capable of effective implementation within a short timeframe, and any breach of these obligations could lead to the revocation of the clearance decision and potential fines.</w:t>
      </w:r>
      <w:hyperlink w:history="1" r:id="rIdkbibs6pm4sgls4f6j8bh3">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decision was adopted under Article 6(1)(b) in conjunction with Article 6(2) of the Merger Regulation, indicating a structured legal framework for the assessment of the merger.</w:t>
      </w:r>
      <w:hyperlink w:history="1" r:id="rIdqttlmcmlqygmdtakwmvfz">
        <w:r>
          <w:rPr>
            <w:rFonts w:ascii="Calibri" w:cs="Calibri" w:eastAsia="Calibri" w:hAnsi="Calibri"/>
            <w:color w:val="1F4E5F"/>
            <w:sz w:val="22"/>
            <w:szCs w:val="22"/>
            <w:u w:val="single"/>
          </w:rPr>
          <w:t xml:space="preserve">[9]</w:t>
        </w:r>
      </w:hyperlink>
    </w:p>
    <w:p>
      <w:pPr>
        <w:spacing w:after="16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1t6z0liczr22ua2cxj468">
        <w:r>
          <w:rPr>
            <w:rFonts w:ascii="Calibri" w:cs="Calibri" w:eastAsia="Calibri" w:hAnsi="Calibri"/>
            <w:color w:val="1F4E5F"/>
            <w:sz w:val="22"/>
            <w:szCs w:val="22"/>
            <w:u w:val="single"/>
          </w:rPr>
          <w:t xml:space="preserve">OECD - Theories of Harm for Digital Mergers</w:t>
        </w:r>
      </w:hyperlink>
    </w:p>
    <w:p>
      <w:pPr>
        <w:pStyle w:val="ListParagraph"/>
        <w:numPr>
          <w:ilvl w:val="0"/>
          <w:numId w:val="2"/>
        </w:numPr>
        <w:spacing w:after="100"/>
      </w:pPr>
      <w:hyperlink w:history="1" r:id="rIdt5xitelwvoz4v_s1hnp-o">
        <w:r>
          <w:rPr>
            <w:rFonts w:ascii="Calibri" w:cs="Calibri" w:eastAsia="Calibri" w:hAnsi="Calibri"/>
            <w:color w:val="1F4E5F"/>
            <w:sz w:val="22"/>
            <w:szCs w:val="22"/>
            <w:u w:val="single"/>
          </w:rPr>
          <w:t xml:space="preserve">OECD digital mergers note</w:t>
        </w:r>
      </w:hyperlink>
    </w:p>
    <w:p>
      <w:pPr>
        <w:pStyle w:val="ListParagraph"/>
        <w:numPr>
          <w:ilvl w:val="0"/>
          <w:numId w:val="2"/>
        </w:numPr>
        <w:spacing w:after="100"/>
      </w:pPr>
      <w:hyperlink w:history="1" r:id="rIdcj9rby2udvtdu4wjgqz7i">
        <w:r>
          <w:rPr>
            <w:rFonts w:ascii="Calibri" w:cs="Calibri" w:eastAsia="Calibri" w:hAnsi="Calibri"/>
            <w:color w:val="1F4E5F"/>
            <w:sz w:val="22"/>
            <w:szCs w:val="22"/>
            <w:u w:val="single"/>
          </w:rPr>
          <w:t xml:space="preserve">Commission's digital and tech merger review publication</w:t>
        </w:r>
      </w:hyperlink>
    </w:p>
    <w:p>
      <w:pPr>
        <w:pStyle w:val="ListParagraph"/>
        <w:numPr>
          <w:ilvl w:val="0"/>
          <w:numId w:val="2"/>
        </w:numPr>
        <w:spacing w:after="100"/>
      </w:pPr>
      <w:hyperlink w:history="1" r:id="rIdfonh7l2y_cua95tg5nn4g">
        <w:r>
          <w:rPr>
            <w:rFonts w:ascii="Calibri" w:cs="Calibri" w:eastAsia="Calibri" w:hAnsi="Calibri"/>
            <w:color w:val="1F4E5F"/>
            <w:sz w:val="22"/>
            <w:szCs w:val="22"/>
            <w:u w:val="single"/>
          </w:rPr>
          <w:t xml:space="preserve">European Commission's merger guidelines consultation text</w:t>
        </w:r>
      </w:hyperlink>
    </w:p>
    <w:p>
      <w:pPr>
        <w:pStyle w:val="ListParagraph"/>
        <w:numPr>
          <w:ilvl w:val="0"/>
          <w:numId w:val="2"/>
        </w:numPr>
        <w:spacing w:after="100"/>
      </w:pPr>
      <w:hyperlink w:history="1" r:id="rIdiuw9qxbxcvamgw5t8d4oz">
        <w:r>
          <w:rPr>
            <w:rFonts w:ascii="Calibri" w:cs="Calibri" w:eastAsia="Calibri" w:hAnsi="Calibri"/>
            <w:color w:val="1F4E5F"/>
            <w:sz w:val="22"/>
            <w:szCs w:val="22"/>
            <w:u w:val="single"/>
          </w:rPr>
          <w:t xml:space="preserve">OECD roundtable materials on theories of harm</w:t>
        </w:r>
      </w:hyperlink>
    </w:p>
    <w:p>
      <w:pPr>
        <w:pStyle w:val="ListParagraph"/>
        <w:numPr>
          <w:ilvl w:val="0"/>
          <w:numId w:val="2"/>
        </w:numPr>
        <w:spacing w:after="100"/>
      </w:pPr>
      <w:hyperlink w:history="1" r:id="rIdgs_iny5etup-mqfwlidun">
        <w:r>
          <w:rPr>
            <w:rFonts w:ascii="Calibri" w:cs="Calibri" w:eastAsia="Calibri" w:hAnsi="Calibri"/>
            <w:color w:val="1F4E5F"/>
            <w:sz w:val="22"/>
            <w:szCs w:val="22"/>
            <w:u w:val="single"/>
          </w:rPr>
          <w:t xml:space="preserve">Academic analysis of horizontal digital merger theories</w:t>
        </w:r>
      </w:hyperlink>
    </w:p>
    <w:p>
      <w:pPr>
        <w:pStyle w:val="ListParagraph"/>
        <w:numPr>
          <w:ilvl w:val="0"/>
          <w:numId w:val="2"/>
        </w:numPr>
        <w:spacing w:after="100"/>
      </w:pPr>
      <w:hyperlink w:history="1" r:id="rIdtbygupsn0cjmkpl56p8ud">
        <w:r>
          <w:rPr>
            <w:rFonts w:ascii="Calibri" w:cs="Calibri" w:eastAsia="Calibri" w:hAnsi="Calibri"/>
            <w:color w:val="1F4E5F"/>
            <w:sz w:val="22"/>
            <w:szCs w:val="22"/>
            <w:u w:val="single"/>
          </w:rPr>
          <w:t xml:space="preserve">EU publication on digital merger vertical theories</w:t>
        </w:r>
      </w:hyperlink>
    </w:p>
    <w:p>
      <w:pPr>
        <w:pStyle w:val="ListParagraph"/>
        <w:numPr>
          <w:ilvl w:val="0"/>
          <w:numId w:val="2"/>
        </w:numPr>
        <w:spacing w:after="100"/>
      </w:pPr>
      <w:hyperlink w:history="1" r:id="rIdw3s095mbl1z5hd5s8qu6g">
        <w:r>
          <w:rPr>
            <w:rFonts w:ascii="Calibri" w:cs="Calibri" w:eastAsia="Calibri" w:hAnsi="Calibri"/>
            <w:color w:val="1F4E5F"/>
            <w:sz w:val="22"/>
            <w:szCs w:val="22"/>
            <w:u w:val="single"/>
          </w:rPr>
          <w:t xml:space="preserve">Academic analysis of ecosystem leverage</w:t>
        </w:r>
      </w:hyperlink>
    </w:p>
    <w:p>
      <w:pPr>
        <w:pStyle w:val="ListParagraph"/>
        <w:numPr>
          <w:ilvl w:val="0"/>
          <w:numId w:val="2"/>
        </w:numPr>
        <w:spacing w:after="100"/>
      </w:pPr>
      <w:hyperlink w:history="1" r:id="rIda4qzlzfatmt5cnmfjbqqr">
        <w:r>
          <w:rPr>
            <w:rFonts w:ascii="Calibri" w:cs="Calibri" w:eastAsia="Calibri" w:hAnsi="Calibri"/>
            <w:color w:val="1F4E5F"/>
            <w:sz w:val="22"/>
            <w:szCs w:val="22"/>
            <w:u w:val="single"/>
          </w:rPr>
          <w:t xml:space="preserve">Case M.8124 – Microsoft / LinkedIn - Case Decision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fg7kyavrd21qs5esmmp" Type="http://schemas.openxmlformats.org/officeDocument/2006/relationships/hyperlink" Target="https://www.oecd.org/en/publications/theories-of-harm-for-digital-mergers_0099737e-en.html" TargetMode="External"/><Relationship Id="rIdxaxhxiv1ugs85zno4hpjk" Type="http://schemas.openxmlformats.org/officeDocument/2006/relationships/hyperlink" Target="https://competition-policy.ec.europa.eu/system/files/2022-12/kd0422317enn_merger_review_in_digital_and_tech_markets_1.pdf" TargetMode="External"/><Relationship Id="rIdupbkq84svhx88bqg7nfbp" Type="http://schemas.openxmlformats.org/officeDocument/2006/relationships/hyperlink" Target="https://op.europa.eu/en/publication-detail/-/publication/e3e58b6d-7b68-11ed-9887-01aa75ed71a1/language-en" TargetMode="External"/><Relationship Id="rIdv6ifsxdad2m0i3vct7h-m" Type="http://schemas.openxmlformats.org/officeDocument/2006/relationships/hyperlink" Target="https://www.oecd.org/en/publications/theories-of-harm-for-digital-mergers_0099737e-en.html" TargetMode="External"/><Relationship Id="rIdiusfkwqeyijkikkokcbuu" Type="http://schemas.openxmlformats.org/officeDocument/2006/relationships/hyperlink" Target="https://competition-policy.ec.europa.eu/document/download/46dde10f-85c1-4590-a3f4-2b71f85685ef_en?filename=Merger%20Guidelines%20-%20final%20for%20public%20consultation.pdf" TargetMode="External"/><Relationship Id="rId0uijq4iyrtou0zuinpnol" Type="http://schemas.openxmlformats.org/officeDocument/2006/relationships/hyperlink" Target="https://www.oecd.org/en/events/2023/06/theories-of-harm-for-digital-mergers.html" TargetMode="External"/><Relationship Id="rId90sarejj1z7gf_bvdueor" Type="http://schemas.openxmlformats.org/officeDocument/2006/relationships/hyperlink" Target="https://www.oecd.org/en/publications/theories-of-harm-for-digital-mergers_0099737e-en.html" TargetMode="External"/><Relationship Id="rIdhs2v1amg9z8l5jtozg3ez" Type="http://schemas.openxmlformats.org/officeDocument/2006/relationships/hyperlink" Target="https://www.tandfonline.com/doi/full/10.1080/17441056.2024.2307163" TargetMode="External"/><Relationship Id="rIdzh8myroia9che-oekuryb" Type="http://schemas.openxmlformats.org/officeDocument/2006/relationships/hyperlink" Target="https://www.oecd.org/en/publications/theories-of-harm-for-digital-mergers_0099737e-en.html" TargetMode="External"/><Relationship Id="rIdarwgcngjhee6cmdllzqkl" Type="http://schemas.openxmlformats.org/officeDocument/2006/relationships/hyperlink" Target="https://www.tandfonline.com/doi/full/10.1080/17441056.2024.2307163" TargetMode="External"/><Relationship Id="rIdck1gwa09crmbvqxtvsyye" Type="http://schemas.openxmlformats.org/officeDocument/2006/relationships/hyperlink" Target="https://competition-policy.ec.europa.eu/system/files/2022-12/kd0422317enn_merger_review_in_digital_and_tech_markets_1.pdf" TargetMode="External"/><Relationship Id="rIdk-tdmwxdgv91grqjzv1fa" Type="http://schemas.openxmlformats.org/officeDocument/2006/relationships/hyperlink" Target="https://www.oecd.org/en/publications/theories-of-harm-for-digital-mergers_0099737e-en.html" TargetMode="External"/><Relationship Id="rIdovsr36twl-_c4x8xjtoqo" Type="http://schemas.openxmlformats.org/officeDocument/2006/relationships/hyperlink" Target="https://www.tandfonline.com/doi/full/10.1080/17441056.2024.2307163" TargetMode="External"/><Relationship Id="rIdsocqour-tclg1_myzybzj" Type="http://schemas.openxmlformats.org/officeDocument/2006/relationships/hyperlink" Target="https://www.oecd.org/en/publications/theories-of-harm-for-digital-mergers_0099737e-en.html" TargetMode="External"/><Relationship Id="rId5_f6qkvci6quqqdwpfxmt" Type="http://schemas.openxmlformats.org/officeDocument/2006/relationships/hyperlink" Target="https://www.tandfonline.com/doi/full/10.1080/17441056.2024.2307163" TargetMode="External"/><Relationship Id="rIdasurbet9tqh1k6ahvezoe" Type="http://schemas.openxmlformats.org/officeDocument/2006/relationships/hyperlink" Target="https://www.oecd.org/en/publications/theories-of-harm-for-digital-mergers_0099737e-en.html" TargetMode="External"/><Relationship Id="rIdqtgwp47nu0yys1mq6odif" Type="http://schemas.openxmlformats.org/officeDocument/2006/relationships/hyperlink" Target="https://competition-policy.ec.europa.eu/system/files/2022-12/kd0422317enn_merger_review_in_digital_and_tech_markets_1.pdf" TargetMode="External"/><Relationship Id="rId6ppi_vugzx6mj5p6sge8z" Type="http://schemas.openxmlformats.org/officeDocument/2006/relationships/hyperlink" Target="https://www.oecd.org/en/publications/theories-of-harm-for-digital-mergers_0099737e-en.html" TargetMode="External"/><Relationship Id="rIdivkkq-vtoth-6-czhpeme" Type="http://schemas.openxmlformats.org/officeDocument/2006/relationships/hyperlink" Target="https://competition-policy.ec.europa.eu/document/download/46dde10f-85c1-4590-a3f4-2b71f85685ef_en?filename=Merger%20Guidelines%20-%20final%20for%20public%20consultation.pdf" TargetMode="External"/><Relationship Id="rIdxpfa_ndy2rpkqalmvp-om" Type="http://schemas.openxmlformats.org/officeDocument/2006/relationships/hyperlink" Target="https://competition-policy.ec.europa.eu/system/files/2022-12/kd0422317enn_merger_review_in_digital_and_tech_markets_1.pdf" TargetMode="External"/><Relationship Id="rIdasiung2tvxsocc7imqigi" Type="http://schemas.openxmlformats.org/officeDocument/2006/relationships/hyperlink" Target="https://op.europa.eu/en/publication-detail/-/publication/e3e58b6d-7b68-11ed-9887-01aa75ed71a1/language-en" TargetMode="External"/><Relationship Id="rIdvwxc6hnlgylgjsawnsm2y" Type="http://schemas.openxmlformats.org/officeDocument/2006/relationships/hyperlink" Target="https://competition-policy.ec.europa.eu/system/files/2022-12/kd0422317enn_merger_review_in_digital_and_tech_markets_1.pdf" TargetMode="External"/><Relationship Id="rIdg65v5yzpwyjlhfwu90qms" Type="http://schemas.openxmlformats.org/officeDocument/2006/relationships/hyperlink" Target="https://op.europa.eu/en/publication-detail/-/publication/e3e58b6d-7b68-11ed-9887-01aa75ed71a1/language-en" TargetMode="External"/><Relationship Id="rIdqlbn-ht-2tmrv-xl1hoco" Type="http://schemas.openxmlformats.org/officeDocument/2006/relationships/hyperlink" Target="https://competition-policy.ec.europa.eu/system/files/2022-12/kd0422317enn_merger_review_in_digital_and_tech_markets_1.pdf" TargetMode="External"/><Relationship Id="rIdq_lnyx5vqw6gsgxjy-zwc" Type="http://schemas.openxmlformats.org/officeDocument/2006/relationships/hyperlink" Target="https://op.europa.eu/en/publication-detail/-/publication/e3e58b6d-7b68-11ed-9887-01aa75ed71a1/language-en" TargetMode="External"/><Relationship Id="rIdj7jz0g_ozu1lkdzynligu" Type="http://schemas.openxmlformats.org/officeDocument/2006/relationships/hyperlink" Target="https://competition-policy.ec.europa.eu/system/files/2022-12/kd0422317enn_merger_review_in_digital_and_tech_markets_1.pdf" TargetMode="External"/><Relationship Id="rIdm2nx87cwtjikz0qpm4vtm" Type="http://schemas.openxmlformats.org/officeDocument/2006/relationships/hyperlink" Target="https://op.europa.eu/en/publication-detail/-/publication/e3e58b6d-7b68-11ed-9887-01aa75ed71a1/language-en" TargetMode="External"/><Relationship Id="rId1bpoin5o2lgp7mhtewmtx" Type="http://schemas.openxmlformats.org/officeDocument/2006/relationships/hyperlink" Target="https://www.oecd.org/en/publications/theories-of-harm-for-digital-mergers_0099737e-en.html" TargetMode="External"/><Relationship Id="rId4mqxozijy9dfbgisq7vec" Type="http://schemas.openxmlformats.org/officeDocument/2006/relationships/hyperlink" Target="https://op.europa.eu/en/publication-detail/-/publication/e3e58b6d-7b68-11ed-9887-01aa75ed71a1/language-en" TargetMode="External"/><Relationship Id="rIdg5kytp3ccygefnhwgdum9" Type="http://schemas.openxmlformats.org/officeDocument/2006/relationships/hyperlink" Target="https://www.oecd.org/en/publications/theories-of-harm-for-digital-mergers_0099737e-en.html" TargetMode="External"/><Relationship Id="rIdiy7o59m9p0rbxhlz_qjwc" Type="http://schemas.openxmlformats.org/officeDocument/2006/relationships/hyperlink" Target="https://www.oecd.org/en/events/2023/06/theories-of-harm-for-digital-mergers.html" TargetMode="External"/><Relationship Id="rIds33pagmweevu9duwoexkb" Type="http://schemas.openxmlformats.org/officeDocument/2006/relationships/hyperlink" Target="https://www.oecd.org/en/publications/theories-of-harm-for-digital-mergers_0099737e-en.html" TargetMode="External"/><Relationship Id="rIdmi0ihcvcrt9sa3npdutlc" Type="http://schemas.openxmlformats.org/officeDocument/2006/relationships/hyperlink" Target="https://competition-policy.ec.europa.eu/document/download/46dde10f-85c1-4590-a3f4-2b71f85685ef_en?filename=Merger%20Guidelines%20-%20final%20for%20public%20consultation.pdf" TargetMode="External"/><Relationship Id="rId0dr7yi7sauljm_lml2inf" Type="http://schemas.openxmlformats.org/officeDocument/2006/relationships/hyperlink" Target="https://www.oecd.org/en/events/2023/06/theories-of-harm-for-digital-mergers.html" TargetMode="External"/><Relationship Id="rIdzvjypnxkmvagxk0qs49ag" Type="http://schemas.openxmlformats.org/officeDocument/2006/relationships/hyperlink" Target="https://www.oecd.org/en/publications/theories-of-harm-for-digital-mergers_0099737e-en.html" TargetMode="External"/><Relationship Id="rIdzgfnlrnttwrpzyirlb76s" Type="http://schemas.openxmlformats.org/officeDocument/2006/relationships/hyperlink" Target="https://www.oecd.org/en/events/2023/06/theories-of-harm-for-digital-mergers.html" TargetMode="External"/><Relationship Id="rIdvy5sn57hblithwccyu1ev" Type="http://schemas.openxmlformats.org/officeDocument/2006/relationships/hyperlink" Target="https://competition-policy.ec.europa.eu/system/files/2022-12/kd0422317enn_merger_review_in_digital_and_tech_markets_1.pdf" TargetMode="External"/><Relationship Id="rIdca5ohz7swtka2r9txu7-l" Type="http://schemas.openxmlformats.org/officeDocument/2006/relationships/hyperlink" Target="https://www.oecd.org/en/publications/theories-of-harm-for-digital-mergers_0099737e-en.html" TargetMode="External"/><Relationship Id="rIdz-5i4aox7yocsfkkdxe6d" Type="http://schemas.openxmlformats.org/officeDocument/2006/relationships/hyperlink" Target="https://op.europa.eu/en/publication-detail/-/publication/e3e58b6d-7b68-11ed-9887-01aa75ed71a1/language-en" TargetMode="External"/><Relationship Id="rIda55rtw3irk5h70bteptyp" Type="http://schemas.openxmlformats.org/officeDocument/2006/relationships/hyperlink" Target="https://competition-policy.ec.europa.eu/system/files/2022-12/kd0422317enn_merger_review_in_digital_and_tech_markets_1.pdf" TargetMode="External"/><Relationship Id="rIdymqva9sdmkqzohgnrdmae" Type="http://schemas.openxmlformats.org/officeDocument/2006/relationships/hyperlink" Target="https://op.europa.eu/en/publication-detail/-/publication/e3e58b6d-7b68-11ed-9887-01aa75ed71a1/language-en" TargetMode="External"/><Relationship Id="rIdujutmuwfnedajozstxecu" Type="http://schemas.openxmlformats.org/officeDocument/2006/relationships/hyperlink" Target="https://competition-policy.ec.europa.eu/system/files/2022-12/kd0422317enn_merger_review_in_digital_and_tech_markets_1.pdf" TargetMode="External"/><Relationship Id="rIdhvu_r6tv7dtyngoc_ajd1" Type="http://schemas.openxmlformats.org/officeDocument/2006/relationships/hyperlink" Target="https://op.europa.eu/en/publication-detail/-/publication/e3e58b6d-7b68-11ed-9887-01aa75ed71a1/language-en" TargetMode="External"/><Relationship Id="rIdebvmkz6whgje9oaibv1ck" Type="http://schemas.openxmlformats.org/officeDocument/2006/relationships/hyperlink" Target="https://competition-policy.ec.europa.eu/system/files/2022-12/kd0422317enn_merger_review_in_digital_and_tech_markets_1.pdf" TargetMode="External"/><Relationship Id="rIdbhiv4knl61obaswnnqrno" Type="http://schemas.openxmlformats.org/officeDocument/2006/relationships/hyperlink" Target="https://op.europa.eu/en/publication-detail/-/publication/e3e58b6d-7b68-11ed-9887-01aa75ed71a1/language-en" TargetMode="External"/><Relationship Id="rId7l5mptzbeghye9tqtbw4z" Type="http://schemas.openxmlformats.org/officeDocument/2006/relationships/hyperlink" Target="https://competition-policy.ec.europa.eu/system/files/2022-12/kd0422317enn_merger_review_in_digital_and_tech_markets_1.pdf" TargetMode="External"/><Relationship Id="rIduxqsq0iwczzvn_sinto6q" Type="http://schemas.openxmlformats.org/officeDocument/2006/relationships/hyperlink" Target="https://op.europa.eu/en/publication-detail/-/publication/e3e58b6d-7b68-11ed-9887-01aa75ed71a1/language-en" TargetMode="External"/><Relationship Id="rId2x3sygqhd6zpowhraqi49" Type="http://schemas.openxmlformats.org/officeDocument/2006/relationships/hyperlink" Target="https://op.europa.eu/en/publication-detail/-/publication/e3e58b6d-7b68-11ed-9887-01aa75ed71a1/language-en" TargetMode="External"/><Relationship Id="rIdpzplr6xrivprbfhaginjp" Type="http://schemas.openxmlformats.org/officeDocument/2006/relationships/hyperlink" Target="https://www.oecd.org/en/events/2023/06/theories-of-harm-for-digital-mergers.html" TargetMode="External"/><Relationship Id="rIdbczemxgvyr6blxiadpgmj" Type="http://schemas.openxmlformats.org/officeDocument/2006/relationships/hyperlink" Target="https://competition-policy.ec.europa.eu/system/files/2022-12/kd0422317enn_merger_review_in_digital_and_tech_markets_1.pdf" TargetMode="External"/><Relationship Id="rIdu6makcx0c8wymdkz1wniw" Type="http://schemas.openxmlformats.org/officeDocument/2006/relationships/hyperlink" Target="https://op.europa.eu/en/publication-detail/-/publication/e3e58b6d-7b68-11ed-9887-01aa75ed71a1/language-en" TargetMode="External"/><Relationship Id="rIdiimxqw9qscpezkkjdoni1" Type="http://schemas.openxmlformats.org/officeDocument/2006/relationships/hyperlink" Target="https://www.oecd.org/en/events/2023/06/theories-of-harm-for-digital-mergers.html" TargetMode="External"/><Relationship Id="rId9c5gr-htuwmr6upl0zhoq" Type="http://schemas.openxmlformats.org/officeDocument/2006/relationships/hyperlink" Target="https://competition-policy.ec.europa.eu/system/files/2022-12/kd0422317enn_merger_review_in_digital_and_tech_markets_1.pdf" TargetMode="External"/><Relationship Id="rIdvenpounduh5ey0n55yyl-" Type="http://schemas.openxmlformats.org/officeDocument/2006/relationships/hyperlink" Target="https://op.europa.eu/en/publication-detail/-/publication/e3e58b6d-7b68-11ed-9887-01aa75ed71a1/language-en" TargetMode="External"/><Relationship Id="rIdfto3rpvhjzux_d143vazn" Type="http://schemas.openxmlformats.org/officeDocument/2006/relationships/hyperlink" Target="https://academic.oup.com/jeclap/article/15/6/357/7810622" TargetMode="External"/><Relationship Id="rIdv1ld6gawxqhjfvuubomti" Type="http://schemas.openxmlformats.org/officeDocument/2006/relationships/hyperlink" Target="https://op.europa.eu/en/publication-detail/-/publication/e3e58b6d-7b68-11ed-9887-01aa75ed71a1/language-en" TargetMode="External"/><Relationship Id="rIdqgs2gvhz_h-icgfelxp8y" Type="http://schemas.openxmlformats.org/officeDocument/2006/relationships/hyperlink" Target="https://www.oecd.org/en/publications/theories-of-harm-for-digital-mergers_0099737e-en.html" TargetMode="External"/><Relationship Id="rIddhhuzsnrs9beude3d0uu0" Type="http://schemas.openxmlformats.org/officeDocument/2006/relationships/hyperlink" Target="https://academic.oup.com/jeclap/article/15/6/357/7810622" TargetMode="External"/><Relationship Id="rIdizadu_ht7gue7vws0gqso" Type="http://schemas.openxmlformats.org/officeDocument/2006/relationships/hyperlink" Target="https://www.oecd.org/en/publications/theories-of-harm-for-digital-mergers_0099737e-en.html" TargetMode="External"/><Relationship Id="rIdyyl17j7cocgul3unbrnpw" Type="http://schemas.openxmlformats.org/officeDocument/2006/relationships/hyperlink" Target="https://www.tandfonline.com/doi/full/10.1080/17441056.2024.2307163" TargetMode="External"/><Relationship Id="rIduhzkxc2c6wbyzc_fxeljq" Type="http://schemas.openxmlformats.org/officeDocument/2006/relationships/hyperlink" Target="https://www.oecd.org/en/publications/theories-of-harm-for-digital-mergers_0099737e-en.html" TargetMode="External"/><Relationship Id="rIdvfuq4kujysnsirarzlucj" Type="http://schemas.openxmlformats.org/officeDocument/2006/relationships/hyperlink" Target="https://competition-policy.ec.europa.eu/document/download/46dde10f-85c1-4590-a3f4-2b71f85685ef_en?filename=Merger%20Guidelines%20-%20final%20for%20public%20consultation.pdf" TargetMode="External"/><Relationship Id="rIdusevhirwagzrvniw8xgfc" Type="http://schemas.openxmlformats.org/officeDocument/2006/relationships/hyperlink" Target="https://www.oecd.org/en/publications/theories-of-harm-for-digital-mergers_0099737e-en.html" TargetMode="External"/><Relationship Id="rIdggphpwk1xasdslpcm-usx" Type="http://schemas.openxmlformats.org/officeDocument/2006/relationships/hyperlink" Target="https://competition-policy.ec.europa.eu/document/download/46dde10f-85c1-4590-a3f4-2b71f85685ef_en?filename=Merger%20Guidelines%20-%20final%20for%20public%20consultation.pdf" TargetMode="External"/><Relationship Id="rId_b7nqitjbzgwlqmuegds_" Type="http://schemas.openxmlformats.org/officeDocument/2006/relationships/hyperlink" Target="https://www.oecd.org/en/events/2023/06/theories-of-harm-for-digital-mergers.html" TargetMode="External"/><Relationship Id="rIdmgo_7xo70_wj-a4uwmwdl" Type="http://schemas.openxmlformats.org/officeDocument/2006/relationships/hyperlink" Target="https://www.oecd.org/en/publications/theories-of-harm-for-digital-mergers_0099737e-en.html" TargetMode="External"/><Relationship Id="rId1h6ow_uorman7mdgrx6yg" Type="http://schemas.openxmlformats.org/officeDocument/2006/relationships/hyperlink" Target="https://competition-policy.ec.europa.eu/document/download/46dde10f-85c1-4590-a3f4-2b71f85685ef_en?filename=Merger%20Guidelines%20-%20final%20for%20public%20consultation.pdf" TargetMode="External"/><Relationship Id="rIdskalnehd7pr3is_3npukz" Type="http://schemas.openxmlformats.org/officeDocument/2006/relationships/hyperlink" Target="https://www.oecd.org/en/publications/theories-of-harm-for-digital-mergers_0099737e-en.html" TargetMode="External"/><Relationship Id="rIdo5iw4kuk-gtdwhglilzbq" Type="http://schemas.openxmlformats.org/officeDocument/2006/relationships/hyperlink" Target="https://competition-policy.ec.europa.eu/document/download/46dde10f-85c1-4590-a3f4-2b71f85685ef_en?filename=Merger%20Guidelines%20-%20final%20for%20public%20consultation.pdf" TargetMode="External"/><Relationship Id="rIdy5v6mh37l2nojcuqgizfk" Type="http://schemas.openxmlformats.org/officeDocument/2006/relationships/hyperlink" Target="https://www.oecd.org/en/publications/theories-of-harm-for-digital-mergers_0099737e-en.html" TargetMode="External"/><Relationship Id="rIdh_dlph9e-k7phispykn8a" Type="http://schemas.openxmlformats.org/officeDocument/2006/relationships/hyperlink" Target="https://one.oecd.org/document/DAF/COMP/M(2023)1/ANN9/FINAL/en/pdf" TargetMode="External"/><Relationship Id="rIdbvjss5llcb85zevxiysxc" Type="http://schemas.openxmlformats.org/officeDocument/2006/relationships/hyperlink" Target="https://www.oecd.org/en/events/2023/06/theories-of-harm-for-digital-mergers.html" TargetMode="External"/><Relationship Id="rIdskbuy0ntnk71xpjvaggl1" Type="http://schemas.openxmlformats.org/officeDocument/2006/relationships/hyperlink" Target="https://www.oecd.org/en/publications/theories-of-harm-for-digital-mergers_0099737e-en.html" TargetMode="External"/><Relationship Id="rIdtbqcty_gcgn0mmfe6oedr" Type="http://schemas.openxmlformats.org/officeDocument/2006/relationships/hyperlink" Target="https://competition-policy.ec.europa.eu/document/download/46dde10f-85c1-4590-a3f4-2b71f85685ef_en?filename=Merger%20Guidelines%20-%20final%20for%20public%20consultation.pdf" TargetMode="External"/><Relationship Id="rIdmzvu2qkezoguyg7zmzv2c" Type="http://schemas.openxmlformats.org/officeDocument/2006/relationships/hyperlink" Target="https://www.oecd.org/en/publications/theories-of-harm-for-digital-mergers_0099737e-en.html" TargetMode="External"/><Relationship Id="rIdomny4cl61jd5xbnuhp3dp" Type="http://schemas.openxmlformats.org/officeDocument/2006/relationships/hyperlink" Target="https://competition-policy.ec.europa.eu/document/download/46dde10f-85c1-4590-a3f4-2b71f85685ef_en?filename=Merger%20Guidelines%20-%20final%20for%20public%20consultation.pdf" TargetMode="External"/><Relationship Id="rId2rlel6dm1wi450ti_jbft" Type="http://schemas.openxmlformats.org/officeDocument/2006/relationships/hyperlink" Target="https://competition-policy.ec.europa.eu/system/files/2022-12/kd0422317enn_merger_review_in_digital_and_tech_markets_1.pdf" TargetMode="External"/><Relationship Id="rIdyq5ne7qlzpz262cfen3sq" Type="http://schemas.openxmlformats.org/officeDocument/2006/relationships/hyperlink" Target="https://competition-policy.ec.europa.eu/document/download/46dde10f-85c1-4590-a3f4-2b71f85685ef_en?filename=Merger%20Guidelines%20-%20final%20for%20public%20consultation.pdf" TargetMode="External"/><Relationship Id="rIdfbkd4regzng9d1hxdgv6d" Type="http://schemas.openxmlformats.org/officeDocument/2006/relationships/hyperlink" Target="https://www.oecd.org/en/publications/theories-of-harm-for-digital-mergers_0099737e-en.html" TargetMode="External"/><Relationship Id="rIdtngazgpy0mw2akslmqwki" Type="http://schemas.openxmlformats.org/officeDocument/2006/relationships/hyperlink" Target="https://competition-policy.ec.europa.eu/document/download/46dde10f-85c1-4590-a3f4-2b71f85685ef_en?filename=Merger%20Guidelines%20-%20final%20for%20public%20consultation.pdf" TargetMode="External"/><Relationship Id="rIdcddgfpd3kpwl5jtphbwip" Type="http://schemas.openxmlformats.org/officeDocument/2006/relationships/hyperlink" Target="https://www.oecd.org/en/events/2023/06/theories-of-harm-for-digital-mergers.html" TargetMode="External"/><Relationship Id="rIdhr-256kcasqawwiobzybp" Type="http://schemas.openxmlformats.org/officeDocument/2006/relationships/hyperlink" Target="https://op.europa.eu/en/publication-detail/-/publication/e3e58b6d-7b68-11ed-9887-01aa75ed71a1/language-en" TargetMode="External"/><Relationship Id="rIdingkpranzhdndlgti4cyw" Type="http://schemas.openxmlformats.org/officeDocument/2006/relationships/hyperlink" Target="https://op.europa.eu/en/publication-detail/-/publication/e3e58b6d-7b68-11ed-9887-01aa75ed71a1/language-en" TargetMode="External"/><Relationship Id="rIdpjzkl8qp4i4vxw2emvke5" Type="http://schemas.openxmlformats.org/officeDocument/2006/relationships/hyperlink" Target="https://one.oecd.org/document/DAF/COMP/M(2023)1/ANN9/FINAL/en/pdf" TargetMode="External"/><Relationship Id="rIdwhjxiv_8ugmtvbqadvhow" Type="http://schemas.openxmlformats.org/officeDocument/2006/relationships/hyperlink" Target="https://www.oecd.org/en/events/2023/06/theories-of-harm-for-digital-mergers.html" TargetMode="External"/><Relationship Id="rIdrzzubolb--wzscxp9eoop" Type="http://schemas.openxmlformats.org/officeDocument/2006/relationships/hyperlink" Target="https://competition-policy.ec.europa.eu/document/download/46dde10f-85c1-4590-a3f4-2b71f85685ef_en?filename=Merger%20Guidelines%20-%20final%20for%20public%20consultation.pdf" TargetMode="External"/><Relationship Id="rIda8zivv9tqttzco88xghws" Type="http://schemas.openxmlformats.org/officeDocument/2006/relationships/hyperlink" Target="https://competition-policy.ec.europa.eu/system/files/2022-12/kd0422317enn_merger_review_in_digital_and_tech_markets_1.pdf" TargetMode="External"/><Relationship Id="rIdytvtzqb5cnkaiukwcv3ys" Type="http://schemas.openxmlformats.org/officeDocument/2006/relationships/hyperlink" Target="https://one.oecd.org/document/DAF/COMP/M(2023)1/ANN9/FINAL/en/pdf" TargetMode="External"/><Relationship Id="rIdxvjtkjjtslxkq07ln9wkd" Type="http://schemas.openxmlformats.org/officeDocument/2006/relationships/hyperlink" Target="https://ec.europa.eu/competition/mergers/cases/decisions/m8124_1349_5.pdf" TargetMode="External"/><Relationship Id="rIdn5km5htrk5yuxnwl643sy" Type="http://schemas.openxmlformats.org/officeDocument/2006/relationships/hyperlink" Target="https://ec.europa.eu/competition/mergers/cases/decisions/m8124_1349_5.pdf" TargetMode="External"/><Relationship Id="rId1ghdmbjpp6xitfp0gqwko" Type="http://schemas.openxmlformats.org/officeDocument/2006/relationships/hyperlink" Target="https://ec.europa.eu/competition/mergers/cases/decisions/m8124_1349_5.pdf" TargetMode="External"/><Relationship Id="rIdfdcfpve12xguqtknpc0pb" Type="http://schemas.openxmlformats.org/officeDocument/2006/relationships/hyperlink" Target="https://ec.europa.eu/competition/mergers/cases/decisions/m8124_1349_5.pdf" TargetMode="External"/><Relationship Id="rIdzfcalbu9xnz0vp4pj6xzt" Type="http://schemas.openxmlformats.org/officeDocument/2006/relationships/hyperlink" Target="https://ec.europa.eu/competition/mergers/cases/decisions/m8124_1349_5.pdf" TargetMode="External"/><Relationship Id="rIdicjlgu6pcr0igjrpncs6c" Type="http://schemas.openxmlformats.org/officeDocument/2006/relationships/hyperlink" Target="https://ec.europa.eu/competition/mergers/cases/decisions/m8124_1349_5.pdf" TargetMode="External"/><Relationship Id="rIdjo_ethbhp9scbhj3-rrqd" Type="http://schemas.openxmlformats.org/officeDocument/2006/relationships/hyperlink" Target="https://ec.europa.eu/competition/mergers/cases/decisions/m8124_1349_5.pdf" TargetMode="External"/><Relationship Id="rIdyjzi8unikfn515gaxjpnd" Type="http://schemas.openxmlformats.org/officeDocument/2006/relationships/hyperlink" Target="https://ec.europa.eu/competition/mergers/cases/decisions/m8124_1349_5.pdf" TargetMode="External"/><Relationship Id="rIdkw9a16jag5b7p6kmotou7" Type="http://schemas.openxmlformats.org/officeDocument/2006/relationships/hyperlink" Target="https://ec.europa.eu/competition/mergers/cases/decisions/m8124_1349_5.pdf" TargetMode="External"/><Relationship Id="rIdmzrpzph8kg0ia79e1ksox" Type="http://schemas.openxmlformats.org/officeDocument/2006/relationships/hyperlink" Target="https://ec.europa.eu/competition/mergers/cases/decisions/m8124_1349_5.pdf" TargetMode="External"/><Relationship Id="rIdw1ai4lomdnknetbklpofp" Type="http://schemas.openxmlformats.org/officeDocument/2006/relationships/hyperlink" Target="https://ec.europa.eu/competition/mergers/cases/decisions/m8124_1349_5.pdf" TargetMode="External"/><Relationship Id="rIdt0g8qvt_b6d8azhbhwlcc" Type="http://schemas.openxmlformats.org/officeDocument/2006/relationships/hyperlink" Target="https://ec.europa.eu/competition/mergers/cases/decisions/m8124_1349_5.pdf" TargetMode="External"/><Relationship Id="rIdc-bp7etpdwgnuv_uxtaxt" Type="http://schemas.openxmlformats.org/officeDocument/2006/relationships/hyperlink" Target="https://ec.europa.eu/competition/mergers/cases/decisions/m8124_1349_5.pdf" TargetMode="External"/><Relationship Id="rIdlbi6k-47r4vy8uahrqjxf" Type="http://schemas.openxmlformats.org/officeDocument/2006/relationships/hyperlink" Target="https://ec.europa.eu/competition/mergers/cases/decisions/m8124_1349_5.pdf" TargetMode="External"/><Relationship Id="rIdiubilrb0lct3-bmlythji" Type="http://schemas.openxmlformats.org/officeDocument/2006/relationships/hyperlink" Target="https://ec.europa.eu/competition/mergers/cases/decisions/m8124_1349_5.pdf" TargetMode="External"/><Relationship Id="rIdwn2iwmnjeygy_0sj9px4d" Type="http://schemas.openxmlformats.org/officeDocument/2006/relationships/hyperlink" Target="https://ec.europa.eu/competition/mergers/cases/decisions/m8124_1349_5.pdf" TargetMode="External"/><Relationship Id="rIdobvdnnuinpovk1ewzbahl" Type="http://schemas.openxmlformats.org/officeDocument/2006/relationships/hyperlink" Target="https://ec.europa.eu/competition/mergers/cases/decisions/m8124_1349_5.pdf" TargetMode="External"/><Relationship Id="rIdl-wcpvci-tjqh-vu5til_" Type="http://schemas.openxmlformats.org/officeDocument/2006/relationships/hyperlink" Target="https://ec.europa.eu/competition/mergers/cases/decisions/m8124_1349_5.pdf" TargetMode="External"/><Relationship Id="rIdkj232v6r6jbywib-qdfmr" Type="http://schemas.openxmlformats.org/officeDocument/2006/relationships/hyperlink" Target="https://ec.europa.eu/competition/mergers/cases/decisions/m8124_1349_5.pdf" TargetMode="External"/><Relationship Id="rIdc8gmpov7oze7xyr99wqh4" Type="http://schemas.openxmlformats.org/officeDocument/2006/relationships/hyperlink" Target="https://ec.europa.eu/competition/mergers/cases/decisions/m8124_1349_5.pdf" TargetMode="External"/><Relationship Id="rId_sp3uouys6308u7gixxl2" Type="http://schemas.openxmlformats.org/officeDocument/2006/relationships/hyperlink" Target="https://ec.europa.eu/competition/mergers/cases/decisions/m8124_1349_5.pdf" TargetMode="External"/><Relationship Id="rIdrxj_hhgsnsq6or4oqdfyl" Type="http://schemas.openxmlformats.org/officeDocument/2006/relationships/hyperlink" Target="https://ec.europa.eu/competition/mergers/cases/decisions/m8124_1349_5.pdf" TargetMode="External"/><Relationship Id="rId9svortblrhbugdbg7zimm" Type="http://schemas.openxmlformats.org/officeDocument/2006/relationships/hyperlink" Target="https://ec.europa.eu/competition/mergers/cases/decisions/m8124_1349_5.pdf" TargetMode="External"/><Relationship Id="rIdqgw8ni8l_lbggehgbzaqx" Type="http://schemas.openxmlformats.org/officeDocument/2006/relationships/hyperlink" Target="https://ec.europa.eu/competition/mergers/cases/decisions/m8124_1349_5.pdf" TargetMode="External"/><Relationship Id="rIdqpfuhazsinhanyavoml-p" Type="http://schemas.openxmlformats.org/officeDocument/2006/relationships/hyperlink" Target="https://ec.europa.eu/competition/mergers/cases/decisions/m8124_1349_5.pdf" TargetMode="External"/><Relationship Id="rIdkbibs6pm4sgls4f6j8bh3" Type="http://schemas.openxmlformats.org/officeDocument/2006/relationships/hyperlink" Target="https://ec.europa.eu/competition/mergers/cases/decisions/m8124_1349_5.pdf" TargetMode="External"/><Relationship Id="rIdqttlmcmlqygmdtakwmvfz" Type="http://schemas.openxmlformats.org/officeDocument/2006/relationships/hyperlink" Target="https://ec.europa.eu/competition/mergers/cases/decisions/m8124_1349_5.pdf" TargetMode="External"/><Relationship Id="rId1t6z0liczr22ua2cxj468" Type="http://schemas.openxmlformats.org/officeDocument/2006/relationships/hyperlink" Target="https://www.oecd.org/en/publications/theories-of-harm-for-digital-mergers_0099737e-en.html" TargetMode="External"/><Relationship Id="rIdt5xitelwvoz4v_s1hnp-o" Type="http://schemas.openxmlformats.org/officeDocument/2006/relationships/hyperlink" Target="https://one.oecd.org/document/DAF/COMP/M(2023)1/ANN9/FINAL/en/pdf" TargetMode="External"/><Relationship Id="rIdcj9rby2udvtdu4wjgqz7i" Type="http://schemas.openxmlformats.org/officeDocument/2006/relationships/hyperlink" Target="https://competition-policy.ec.europa.eu/system/files/2022-12/kd0422317enn_merger_review_in_digital_and_tech_markets_1.pdf" TargetMode="External"/><Relationship Id="rIdfonh7l2y_cua95tg5nn4g" Type="http://schemas.openxmlformats.org/officeDocument/2006/relationships/hyperlink" Target="https://competition-policy.ec.europa.eu/document/download/46dde10f-85c1-4590-a3f4-2b71f85685ef_en?filename=Merger%20Guidelines%20-%20final%20for%20public%20consultation.pdf" TargetMode="External"/><Relationship Id="rIdiuw9qxbxcvamgw5t8d4oz" Type="http://schemas.openxmlformats.org/officeDocument/2006/relationships/hyperlink" Target="https://www.oecd.org/en/events/2023/06/theories-of-harm-for-digital-mergers.html" TargetMode="External"/><Relationship Id="rIdgs_iny5etup-mqfwlidun" Type="http://schemas.openxmlformats.org/officeDocument/2006/relationships/hyperlink" Target="https://www.tandfonline.com/doi/full/10.1080/17441056.2024.2307163" TargetMode="External"/><Relationship Id="rIdtbygupsn0cjmkpl56p8ud" Type="http://schemas.openxmlformats.org/officeDocument/2006/relationships/hyperlink" Target="https://op.europa.eu/en/publication-detail/-/publication/e3e58b6d-7b68-11ed-9887-01aa75ed71a1/language-en" TargetMode="External"/><Relationship Id="rIdw3s095mbl1z5hd5s8qu6g" Type="http://schemas.openxmlformats.org/officeDocument/2006/relationships/hyperlink" Target="https://academic.oup.com/jeclap/article/15/6/357/7810622" TargetMode="External"/><Relationship Id="rIda4qzlzfatmt5cnmfjbqqr" Type="http://schemas.openxmlformats.org/officeDocument/2006/relationships/hyperlink" Target="https://ec.europa.eu/competition/mergers/cases/decisions/m8124_1349_5.pdf" TargetMode="External"/><Relationship Id="rId1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2026-09-02T11:32:55.007Z</dcterms:created>
  <dcterms:modified xsi:type="dcterms:W3CDTF">2026-09-02T11:32:55.008Z</dcterms:modified>
</cp:coreProperties>
</file>

<file path=docProps/custom.xml><?xml version="1.0" encoding="utf-8"?>
<Properties xmlns="http://schemas.openxmlformats.org/officeDocument/2006/custom-properties" xmlns:vt="http://schemas.openxmlformats.org/officeDocument/2006/docPropsVTypes"/>
</file>