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5F"/>
          <w:sz w:val="32"/>
          <w:szCs w:val="32"/>
        </w:rPr>
        <w:t xml:space="preserve">Response Transcript — Sample 3</w:t>
      </w:r>
    </w:p>
    <w:p>
      <w:pPr>
        <w:pBdr>
          <w:bottom w:val="single" w:color="1F4E5F" w:sz="6" w:space="1"/>
        </w:pBdr>
        <w:spacing w:after="200"/>
      </w:pPr>
    </w:p>
    <w:p>
      <w:pPr>
        <w:spacing w:after="160" w:before="280"/>
      </w:pPr>
      <w:r>
        <w:rPr>
          <w:rFonts w:ascii="Calibri" w:cs="Calibri" w:eastAsia="Calibri" w:hAnsi="Calibri"/>
          <w:b/>
          <w:bCs/>
          <w:color w:val="1F4E5F"/>
          <w:sz w:val="22"/>
          <w:szCs w:val="22"/>
        </w:rPr>
        <w:t xml:space="preserve">User Query</w:t>
      </w:r>
    </w:p>
    <w:p>
      <w:pPr>
        <w:pBdr>
          <w:left w:val="single" w:color="1F4E5F" w:sz="12" w:space="8"/>
        </w:pBdr>
        <w:spacing w:after="200"/>
        <w:ind w:left="431"/>
      </w:pPr>
      <w:r>
        <w:rPr>
          <w:rFonts w:ascii="Calibri" w:cs="Calibri" w:eastAsia="Calibri" w:hAnsi="Calibri"/>
          <w:i/>
          <w:iCs/>
          <w:sz w:val="22"/>
          <w:szCs w:val="22"/>
        </w:rPr>
        <w:t xml:space="preserve">what are the remedies in merger cases in digital markets?</w:t>
      </w:r>
    </w:p>
    <w:p>
      <w:pPr>
        <w:spacing w:after="160" w:before="28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b w:val="false"/>
          <w:bCs w:val="false"/>
          <w:i w:val="false"/>
          <w:iCs w:val="false"/>
          <w:sz w:val="22"/>
          <w:szCs w:val="22"/>
        </w:rPr>
        <w:t xml:space="preserve">In digital markets, merger remedies usually focus on preserving contestability, interoperability, and access to key inputs rather than divestiture alone. The main options are structural remedies, behavioural remedies, and, in practice, hybrid packages that combine both.</w:t>
      </w:r>
      <w:hyperlink w:history="1" r:id="rIdwd-kjoojkr33hnlhkuzns">
        <w:r>
          <w:rPr>
            <w:rFonts w:ascii="Calibri" w:cs="Calibri" w:eastAsia="Calibri" w:hAnsi="Calibri"/>
            <w:color w:val="1F4E5F"/>
            <w:sz w:val="22"/>
            <w:szCs w:val="22"/>
            <w:u w:val="single"/>
          </w:rPr>
          <w:t xml:space="preserve">[1]</w:t>
        </w:r>
      </w:hyperlink>
      <w:hyperlink w:history="1" r:id="rId6qx6ncoc9oovn1ybw_6wv">
        <w:r>
          <w:rPr>
            <w:rFonts w:ascii="Calibri" w:cs="Calibri" w:eastAsia="Calibri" w:hAnsi="Calibri"/>
            <w:color w:val="1F4E5F"/>
            <w:sz w:val="22"/>
            <w:szCs w:val="22"/>
            <w:u w:val="single"/>
          </w:rPr>
          <w:t xml:space="preserve">[8]</w:t>
        </w:r>
      </w:hyperlink>
      <w:hyperlink w:history="1" r:id="rId4iua4eahwc_vhkxpsru3u">
        <w:r>
          <w:rPr>
            <w:rFonts w:ascii="Calibri" w:cs="Calibri" w:eastAsia="Calibri" w:hAnsi="Calibri"/>
            <w:color w:val="1F4E5F"/>
            <w:sz w:val="22"/>
            <w:szCs w:val="22"/>
            <w:u w:val="single"/>
          </w:rPr>
          <w:t xml:space="preserve">[9]</w:t>
        </w:r>
      </w:hyperlink>
    </w:p>
    <w:p>
      <w:pPr>
        <w:spacing w:after="120" w:before="200"/>
      </w:pPr>
      <w:r>
        <w:rPr>
          <w:rFonts w:ascii="Calibri" w:cs="Calibri" w:eastAsia="Calibri" w:hAnsi="Calibri"/>
          <w:b/>
          <w:bCs/>
          <w:i/>
          <w:iCs/>
          <w:sz w:val="22"/>
          <w:szCs w:val="22"/>
        </w:rPr>
        <w:t xml:space="preserve">1) Remedy taxonomy in digital mergers</w:t>
      </w:r>
    </w:p>
    <w:p>
      <w:pPr>
        <w:pStyle w:val="ListParagraph"/>
        <w:numPr>
          <w:ilvl w:val="0"/>
          <w:numId w:val="1"/>
        </w:numPr>
        <w:spacing w:after="100"/>
      </w:pPr>
      <w:r>
        <w:rPr>
          <w:rFonts w:ascii="Calibri" w:cs="Calibri" w:eastAsia="Calibri" w:hAnsi="Calibri"/>
          <w:b/>
          <w:bCs/>
          <w:sz w:val="22"/>
          <w:szCs w:val="22"/>
        </w:rPr>
        <w:t xml:space="preserve">Structural remedies: </w:t>
      </w:r>
      <w:r>
        <w:rPr>
          <w:rFonts w:ascii="Calibri" w:cs="Calibri" w:eastAsia="Calibri" w:hAnsi="Calibri"/>
          <w:b w:val="false"/>
          <w:bCs w:val="false"/>
          <w:i w:val="false"/>
          <w:iCs w:val="false"/>
          <w:sz w:val="22"/>
          <w:szCs w:val="22"/>
        </w:rPr>
        <w:t xml:space="preserve">These change the transaction's structure, typically through divestiture of a business, asset, or unit that creates the competition problem.</w:t>
      </w:r>
      <w:hyperlink w:history="1" r:id="rIdt40mvh0ighrw_4jghx17m">
        <w:r>
          <w:rPr>
            <w:rFonts w:ascii="Calibri" w:cs="Calibri" w:eastAsia="Calibri" w:hAnsi="Calibri"/>
            <w:color w:val="1F4E5F"/>
            <w:sz w:val="22"/>
            <w:szCs w:val="22"/>
            <w:u w:val="single"/>
          </w:rPr>
          <w:t xml:space="preserve">[1]</w:t>
        </w:r>
      </w:hyperlink>
      <w:hyperlink w:history="1" r:id="rIddoqqpm-75vrx5uod-mcdw">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Behavioural remedies: </w:t>
      </w:r>
      <w:r>
        <w:rPr>
          <w:rFonts w:ascii="Calibri" w:cs="Calibri" w:eastAsia="Calibri" w:hAnsi="Calibri"/>
          <w:b w:val="false"/>
          <w:bCs w:val="false"/>
          <w:i w:val="false"/>
          <w:iCs w:val="false"/>
          <w:sz w:val="22"/>
          <w:szCs w:val="22"/>
        </w:rPr>
        <w:t xml:space="preserve">These regulate future conduct, such as interoperability, data access, fair ranking, non-discrimination, or restrictions on tying and self-preferencing.</w:t>
      </w:r>
      <w:hyperlink w:history="1" r:id="rId-rv40q0upypdjweld56gx">
        <w:r>
          <w:rPr>
            <w:rFonts w:ascii="Calibri" w:cs="Calibri" w:eastAsia="Calibri" w:hAnsi="Calibri"/>
            <w:color w:val="1F4E5F"/>
            <w:sz w:val="22"/>
            <w:szCs w:val="22"/>
            <w:u w:val="single"/>
          </w:rPr>
          <w:t xml:space="preserve">[9]</w:t>
        </w:r>
      </w:hyperlink>
      <w:hyperlink w:history="1" r:id="rIdd7y-rnfudcsxh4-bxesck">
        <w:r>
          <w:rPr>
            <w:rFonts w:ascii="Calibri" w:cs="Calibri" w:eastAsia="Calibri" w:hAnsi="Calibri"/>
            <w:color w:val="1F4E5F"/>
            <w:sz w:val="22"/>
            <w:szCs w:val="22"/>
            <w:u w:val="single"/>
          </w:rPr>
          <w:t xml:space="preserve">[1]</w:t>
        </w:r>
      </w:hyperlink>
      <w:hyperlink w:history="1" r:id="rIdoatkbj1hbpkjyrq9lkg7e">
        <w:r>
          <w:rPr>
            <w:rFonts w:ascii="Calibri" w:cs="Calibri" w:eastAsia="Calibri" w:hAnsi="Calibri"/>
            <w:color w:val="1F4E5F"/>
            <w:sz w:val="22"/>
            <w:szCs w:val="22"/>
            <w:u w:val="single"/>
          </w:rPr>
          <w:t xml:space="preserve">[18]</w:t>
        </w:r>
      </w:hyperlink>
    </w:p>
    <w:p>
      <w:pPr>
        <w:pStyle w:val="ListParagraph"/>
        <w:numPr>
          <w:ilvl w:val="0"/>
          <w:numId w:val="1"/>
        </w:numPr>
        <w:spacing w:after="100"/>
      </w:pPr>
      <w:r>
        <w:rPr>
          <w:rFonts w:ascii="Calibri" w:cs="Calibri" w:eastAsia="Calibri" w:hAnsi="Calibri"/>
          <w:b/>
          <w:bCs/>
          <w:sz w:val="22"/>
          <w:szCs w:val="22"/>
        </w:rPr>
        <w:t xml:space="preserve">Hybrid remedies: </w:t>
      </w:r>
      <w:r>
        <w:rPr>
          <w:rFonts w:ascii="Calibri" w:cs="Calibri" w:eastAsia="Calibri" w:hAnsi="Calibri"/>
          <w:b w:val="false"/>
          <w:bCs w:val="false"/>
          <w:i w:val="false"/>
          <w:iCs w:val="false"/>
          <w:sz w:val="22"/>
          <w:szCs w:val="22"/>
        </w:rPr>
        <w:t xml:space="preserve">These combine structural and behavioural commitments, often used where a pure divestiture would be too blunt and a pure conduct remedy would be too fragile.</w:t>
      </w:r>
      <w:hyperlink w:history="1" r:id="rIdjekugxsxbqjtlrgeguqro">
        <w:r>
          <w:rPr>
            <w:rFonts w:ascii="Calibri" w:cs="Calibri" w:eastAsia="Calibri" w:hAnsi="Calibri"/>
            <w:color w:val="1F4E5F"/>
            <w:sz w:val="22"/>
            <w:szCs w:val="22"/>
            <w:u w:val="single"/>
          </w:rPr>
          <w:t xml:space="preserve">[9]</w:t>
        </w:r>
      </w:hyperlink>
      <w:hyperlink w:history="1" r:id="rId67-mlofkeyvs1485z90k-">
        <w:r>
          <w:rPr>
            <w:rFonts w:ascii="Calibri" w:cs="Calibri" w:eastAsia="Calibri" w:hAnsi="Calibri"/>
            <w:color w:val="1F4E5F"/>
            <w:sz w:val="22"/>
            <w:szCs w:val="22"/>
            <w:u w:val="single"/>
          </w:rPr>
          <w:t xml:space="preserve">[1]</w:t>
        </w:r>
      </w:hyperlink>
      <w:hyperlink w:history="1" r:id="rIdrvcma3lolvsw8jqadcisq">
        <w:r>
          <w:rPr>
            <w:rFonts w:ascii="Calibri" w:cs="Calibri" w:eastAsia="Calibri" w:hAnsi="Calibri"/>
            <w:color w:val="1F4E5F"/>
            <w:sz w:val="22"/>
            <w:szCs w:val="22"/>
            <w:u w:val="single"/>
          </w:rPr>
          <w:t xml:space="preserve">[8]</w:t>
        </w:r>
      </w:hyperlink>
    </w:p>
    <w:p>
      <w:pPr>
        <w:spacing w:after="160"/>
      </w:pPr>
      <w:r>
        <w:rPr>
          <w:rFonts w:ascii="Calibri" w:cs="Calibri" w:eastAsia="Calibri" w:hAnsi="Calibri"/>
          <w:b w:val="false"/>
          <w:bCs w:val="false"/>
          <w:i w:val="false"/>
          <w:iCs w:val="false"/>
          <w:sz w:val="22"/>
          <w:szCs w:val="22"/>
        </w:rPr>
        <w:t xml:space="preserve">The EU materials emphasize that behavioural remedies in digital and tech mergers often include interoperability, data silos, uninstall options, and data-access commitments. The CMA's digital regime guidance also reflects a broad toolbox of conduct-style obligations and enforcement mechanisms for digital markets.</w:t>
      </w:r>
      <w:hyperlink w:history="1" r:id="rIdbufq28byn4cs6fex6xdsy">
        <w:r>
          <w:rPr>
            <w:rFonts w:ascii="Calibri" w:cs="Calibri" w:eastAsia="Calibri" w:hAnsi="Calibri"/>
            <w:color w:val="1F4E5F"/>
            <w:sz w:val="22"/>
            <w:szCs w:val="22"/>
            <w:u w:val="single"/>
          </w:rPr>
          <w:t xml:space="preserve">[9]</w:t>
        </w:r>
      </w:hyperlink>
      <w:hyperlink w:history="1" r:id="rIdosknqjy7uxzraadcbqcmu">
        <w:r>
          <w:rPr>
            <w:rFonts w:ascii="Calibri" w:cs="Calibri" w:eastAsia="Calibri" w:hAnsi="Calibri"/>
            <w:color w:val="1F4E5F"/>
            <w:sz w:val="22"/>
            <w:szCs w:val="22"/>
            <w:u w:val="single"/>
          </w:rPr>
          <w:t xml:space="preserve">[5]</w:t>
        </w:r>
      </w:hyperlink>
      <w:hyperlink w:history="1" r:id="rIdza8_evwtxrlie4i5n5mso">
        <w:r>
          <w:rPr>
            <w:rFonts w:ascii="Calibri" w:cs="Calibri" w:eastAsia="Calibri" w:hAnsi="Calibri"/>
            <w:color w:val="1F4E5F"/>
            <w:sz w:val="22"/>
            <w:szCs w:val="22"/>
            <w:u w:val="single"/>
          </w:rPr>
          <w:t xml:space="preserve">[18]</w:t>
        </w:r>
      </w:hyperlink>
      <w:hyperlink w:history="1" r:id="rIddf0e_eqdkvykpwhe5hkqz">
        <w:r>
          <w:rPr>
            <w:rFonts w:ascii="Calibri" w:cs="Calibri" w:eastAsia="Calibri" w:hAnsi="Calibri"/>
            <w:color w:val="1F4E5F"/>
            <w:sz w:val="22"/>
            <w:szCs w:val="22"/>
            <w:u w:val="single"/>
          </w:rPr>
          <w:t xml:space="preserve">[6]</w:t>
        </w:r>
      </w:hyperlink>
      <w:hyperlink w:history="1" r:id="rId-yy-fnngq6b_glo3nm92d">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2) What remedies are commonly used</w:t>
      </w:r>
    </w:p>
    <w:p>
      <w:pPr>
        <w:pStyle w:val="ListParagraph"/>
        <w:numPr>
          <w:ilvl w:val="0"/>
          <w:numId w:val="1"/>
        </w:numPr>
        <w:spacing w:after="100"/>
      </w:pPr>
      <w:r>
        <w:rPr>
          <w:rFonts w:ascii="Calibri" w:cs="Calibri" w:eastAsia="Calibri" w:hAnsi="Calibri"/>
          <w:b/>
          <w:bCs/>
          <w:sz w:val="22"/>
          <w:szCs w:val="22"/>
        </w:rPr>
        <w:t xml:space="preserve">Interoperability obligations: </w:t>
      </w:r>
      <w:r>
        <w:rPr>
          <w:rFonts w:ascii="Calibri" w:cs="Calibri" w:eastAsia="Calibri" w:hAnsi="Calibri"/>
          <w:b w:val="false"/>
          <w:bCs w:val="false"/>
          <w:i w:val="false"/>
          <w:iCs w:val="false"/>
          <w:sz w:val="22"/>
          <w:szCs w:val="22"/>
        </w:rPr>
        <w:t xml:space="preserve">The merged firm may be required to ensure compatibility with rivals' products or services, including APIs or technical interfaces.</w:t>
      </w:r>
      <w:hyperlink w:history="1" r:id="rIdz35eqxbmayo_hjdrt0rs8">
        <w:r>
          <w:rPr>
            <w:rFonts w:ascii="Calibri" w:cs="Calibri" w:eastAsia="Calibri" w:hAnsi="Calibri"/>
            <w:color w:val="1F4E5F"/>
            <w:sz w:val="22"/>
            <w:szCs w:val="22"/>
            <w:u w:val="single"/>
          </w:rPr>
          <w:t xml:space="preserve">[9]</w:t>
        </w:r>
      </w:hyperlink>
      <w:hyperlink w:history="1" r:id="rIdmzg1ahn4unhuxeccozfrw">
        <w:r>
          <w:rPr>
            <w:rFonts w:ascii="Calibri" w:cs="Calibri" w:eastAsia="Calibri" w:hAnsi="Calibri"/>
            <w:color w:val="1F4E5F"/>
            <w:sz w:val="22"/>
            <w:szCs w:val="22"/>
            <w:u w:val="single"/>
          </w:rPr>
          <w:t xml:space="preserve">[18]</w:t>
        </w:r>
      </w:hyperlink>
    </w:p>
    <w:p>
      <w:pPr>
        <w:pStyle w:val="ListParagraph"/>
        <w:numPr>
          <w:ilvl w:val="0"/>
          <w:numId w:val="1"/>
        </w:numPr>
        <w:spacing w:after="100"/>
      </w:pPr>
      <w:r>
        <w:rPr>
          <w:rFonts w:ascii="Calibri" w:cs="Calibri" w:eastAsia="Calibri" w:hAnsi="Calibri"/>
          <w:b/>
          <w:bCs/>
          <w:sz w:val="22"/>
          <w:szCs w:val="22"/>
        </w:rPr>
        <w:t xml:space="preserve">Data silo or data-separation obligations: </w:t>
      </w:r>
      <w:r>
        <w:rPr>
          <w:rFonts w:ascii="Calibri" w:cs="Calibri" w:eastAsia="Calibri" w:hAnsi="Calibri"/>
          <w:b w:val="false"/>
          <w:bCs w:val="false"/>
          <w:i w:val="false"/>
          <w:iCs w:val="false"/>
          <w:sz w:val="22"/>
          <w:szCs w:val="22"/>
        </w:rPr>
        <w:t xml:space="preserve">The merged entity may be barred from combining or using certain datasets across services, especially where cross-use creates an insurmountable advantage.</w:t>
      </w:r>
      <w:hyperlink w:history="1" r:id="rIdjnqxmc6xen_xmcmehrzph">
        <w:r>
          <w:rPr>
            <w:rFonts w:ascii="Calibri" w:cs="Calibri" w:eastAsia="Calibri" w:hAnsi="Calibri"/>
            <w:color w:val="1F4E5F"/>
            <w:sz w:val="22"/>
            <w:szCs w:val="22"/>
            <w:u w:val="single"/>
          </w:rPr>
          <w:t xml:space="preserve">[9]</w:t>
        </w:r>
      </w:hyperlink>
      <w:hyperlink w:history="1" r:id="rIdfr407_6pdlb61tf-1h1pc">
        <w:r>
          <w:rPr>
            <w:rFonts w:ascii="Calibri" w:cs="Calibri" w:eastAsia="Calibri" w:hAnsi="Calibri"/>
            <w:color w:val="1F4E5F"/>
            <w:sz w:val="22"/>
            <w:szCs w:val="22"/>
            <w:u w:val="single"/>
          </w:rPr>
          <w:t xml:space="preserve">[18]</w:t>
        </w:r>
      </w:hyperlink>
    </w:p>
    <w:p>
      <w:pPr>
        <w:pStyle w:val="ListParagraph"/>
        <w:numPr>
          <w:ilvl w:val="0"/>
          <w:numId w:val="1"/>
        </w:numPr>
        <w:spacing w:after="100"/>
      </w:pPr>
      <w:r>
        <w:rPr>
          <w:rFonts w:ascii="Calibri" w:cs="Calibri" w:eastAsia="Calibri" w:hAnsi="Calibri"/>
          <w:b/>
          <w:bCs/>
          <w:sz w:val="22"/>
          <w:szCs w:val="22"/>
        </w:rPr>
        <w:t xml:space="preserve">Access remedies: </w:t>
      </w:r>
      <w:r>
        <w:rPr>
          <w:rFonts w:ascii="Calibri" w:cs="Calibri" w:eastAsia="Calibri" w:hAnsi="Calibri"/>
          <w:b w:val="false"/>
          <w:bCs w:val="false"/>
          <w:i w:val="false"/>
          <w:iCs w:val="false"/>
          <w:sz w:val="22"/>
          <w:szCs w:val="22"/>
        </w:rPr>
        <w:t xml:space="preserve">Competitors may receive access to inputs, data, or technical functionality on fair terms.</w:t>
      </w:r>
      <w:hyperlink w:history="1" r:id="rIdu2gsxel4moyuygz911zcd">
        <w:r>
          <w:rPr>
            <w:rFonts w:ascii="Calibri" w:cs="Calibri" w:eastAsia="Calibri" w:hAnsi="Calibri"/>
            <w:color w:val="1F4E5F"/>
            <w:sz w:val="22"/>
            <w:szCs w:val="22"/>
            <w:u w:val="single"/>
          </w:rPr>
          <w:t xml:space="preserve">[9]</w:t>
        </w:r>
      </w:hyperlink>
      <w:hyperlink w:history="1" r:id="rIdd5q7yzjkxtz-aizyropkq">
        <w:r>
          <w:rPr>
            <w:rFonts w:ascii="Calibri" w:cs="Calibri" w:eastAsia="Calibri" w:hAnsi="Calibri"/>
            <w:color w:val="1F4E5F"/>
            <w:sz w:val="22"/>
            <w:szCs w:val="22"/>
            <w:u w:val="single"/>
          </w:rPr>
          <w:t xml:space="preserve">[12]</w:t>
        </w:r>
      </w:hyperlink>
      <w:hyperlink w:history="1" r:id="rIdqzmjf-yvo56frd6cekvkw">
        <w:r>
          <w:rPr>
            <w:rFonts w:ascii="Calibri" w:cs="Calibri" w:eastAsia="Calibri" w:hAnsi="Calibri"/>
            <w:color w:val="1F4E5F"/>
            <w:sz w:val="22"/>
            <w:szCs w:val="22"/>
            <w:u w:val="single"/>
          </w:rPr>
          <w:t xml:space="preserve">[18]</w:t>
        </w:r>
      </w:hyperlink>
    </w:p>
    <w:p>
      <w:pPr>
        <w:pStyle w:val="ListParagraph"/>
        <w:numPr>
          <w:ilvl w:val="0"/>
          <w:numId w:val="1"/>
        </w:numPr>
        <w:spacing w:after="100"/>
      </w:pPr>
      <w:r>
        <w:rPr>
          <w:rFonts w:ascii="Calibri" w:cs="Calibri" w:eastAsia="Calibri" w:hAnsi="Calibri"/>
          <w:b/>
          <w:bCs/>
          <w:sz w:val="22"/>
          <w:szCs w:val="22"/>
        </w:rPr>
        <w:t xml:space="preserve">Uninstall or choice-screen remedies: </w:t>
      </w:r>
      <w:r>
        <w:rPr>
          <w:rFonts w:ascii="Calibri" w:cs="Calibri" w:eastAsia="Calibri" w:hAnsi="Calibri"/>
          <w:b w:val="false"/>
          <w:bCs w:val="false"/>
          <w:i w:val="false"/>
          <w:iCs w:val="false"/>
          <w:sz w:val="22"/>
          <w:szCs w:val="22"/>
        </w:rPr>
        <w:t xml:space="preserve">Users may be given easier ways to remove preinstalled apps or choose defaults.</w:t>
      </w:r>
      <w:hyperlink w:history="1" r:id="rIdyodiytmjprkl1jb0nytg_">
        <w:r>
          <w:rPr>
            <w:rFonts w:ascii="Calibri" w:cs="Calibri" w:eastAsia="Calibri" w:hAnsi="Calibri"/>
            <w:color w:val="1F4E5F"/>
            <w:sz w:val="22"/>
            <w:szCs w:val="22"/>
            <w:u w:val="single"/>
          </w:rPr>
          <w:t xml:space="preserve">[9]</w:t>
        </w:r>
      </w:hyperlink>
      <w:hyperlink w:history="1" r:id="rIdl3ta5i0ldlbnoe99kzinb">
        <w:r>
          <w:rPr>
            <w:rFonts w:ascii="Calibri" w:cs="Calibri" w:eastAsia="Calibri" w:hAnsi="Calibri"/>
            <w:color w:val="1F4E5F"/>
            <w:sz w:val="22"/>
            <w:szCs w:val="22"/>
            <w:u w:val="single"/>
          </w:rPr>
          <w:t xml:space="preserve">[5]</w:t>
        </w:r>
      </w:hyperlink>
    </w:p>
    <w:p>
      <w:pPr>
        <w:pStyle w:val="ListParagraph"/>
        <w:numPr>
          <w:ilvl w:val="0"/>
          <w:numId w:val="1"/>
        </w:numPr>
        <w:spacing w:after="100"/>
      </w:pPr>
      <w:r>
        <w:rPr>
          <w:rFonts w:ascii="Calibri" w:cs="Calibri" w:eastAsia="Calibri" w:hAnsi="Calibri"/>
          <w:b/>
          <w:bCs/>
          <w:sz w:val="22"/>
          <w:szCs w:val="22"/>
        </w:rPr>
        <w:t xml:space="preserve">Non-discrimination / self-preferencing restrictions: </w:t>
      </w:r>
      <w:r>
        <w:rPr>
          <w:rFonts w:ascii="Calibri" w:cs="Calibri" w:eastAsia="Calibri" w:hAnsi="Calibri"/>
          <w:b w:val="false"/>
          <w:bCs w:val="false"/>
          <w:i w:val="false"/>
          <w:iCs w:val="false"/>
          <w:sz w:val="22"/>
          <w:szCs w:val="22"/>
        </w:rPr>
        <w:t xml:space="preserve">The firm may be required to treat its own downstream services no better than rivals.</w:t>
      </w:r>
      <w:hyperlink w:history="1" r:id="rId98hdr12zsuhoy7klp_3h9">
        <w:r>
          <w:rPr>
            <w:rFonts w:ascii="Calibri" w:cs="Calibri" w:eastAsia="Calibri" w:hAnsi="Calibri"/>
            <w:color w:val="1F4E5F"/>
            <w:sz w:val="22"/>
            <w:szCs w:val="22"/>
            <w:u w:val="single"/>
          </w:rPr>
          <w:t xml:space="preserve">[1]</w:t>
        </w:r>
      </w:hyperlink>
      <w:hyperlink w:history="1" r:id="rId0atc7oi_yuuftoerzeqnn">
        <w:r>
          <w:rPr>
            <w:rFonts w:ascii="Calibri" w:cs="Calibri" w:eastAsia="Calibri" w:hAnsi="Calibri"/>
            <w:color w:val="1F4E5F"/>
            <w:sz w:val="22"/>
            <w:szCs w:val="22"/>
            <w:u w:val="single"/>
          </w:rPr>
          <w:t xml:space="preserve">[18]</w:t>
        </w:r>
      </w:hyperlink>
    </w:p>
    <w:p>
      <w:pPr>
        <w:pStyle w:val="ListParagraph"/>
        <w:numPr>
          <w:ilvl w:val="0"/>
          <w:numId w:val="1"/>
        </w:numPr>
        <w:spacing w:after="100"/>
      </w:pPr>
      <w:r>
        <w:rPr>
          <w:rFonts w:ascii="Calibri" w:cs="Calibri" w:eastAsia="Calibri" w:hAnsi="Calibri"/>
          <w:b/>
          <w:bCs/>
          <w:sz w:val="22"/>
          <w:szCs w:val="22"/>
        </w:rPr>
        <w:t xml:space="preserve">Transparency and reporting: </w:t>
      </w:r>
      <w:r>
        <w:rPr>
          <w:rFonts w:ascii="Calibri" w:cs="Calibri" w:eastAsia="Calibri" w:hAnsi="Calibri"/>
          <w:b w:val="false"/>
          <w:bCs w:val="false"/>
          <w:i w:val="false"/>
          <w:iCs w:val="false"/>
          <w:sz w:val="22"/>
          <w:szCs w:val="22"/>
        </w:rPr>
        <w:t xml:space="preserve">Monitoring obligations, audits, and reporting duties often support the remedy package.</w:t>
      </w:r>
      <w:hyperlink w:history="1" r:id="rIdkpiduwk42ogkryjcio8v-">
        <w:r>
          <w:rPr>
            <w:rFonts w:ascii="Calibri" w:cs="Calibri" w:eastAsia="Calibri" w:hAnsi="Calibri"/>
            <w:color w:val="1F4E5F"/>
            <w:sz w:val="22"/>
            <w:szCs w:val="22"/>
            <w:u w:val="single"/>
          </w:rPr>
          <w:t xml:space="preserve">[6]</w:t>
        </w:r>
      </w:hyperlink>
      <w:hyperlink w:history="1" r:id="rIdtnbxbxo--uip9igqoflfj">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3) Economics tests behind the remedy choice</w:t>
      </w:r>
    </w:p>
    <w:p>
      <w:pPr>
        <w:pStyle w:val="ListParagraph"/>
        <w:numPr>
          <w:ilvl w:val="0"/>
          <w:numId w:val="1"/>
        </w:numPr>
        <w:spacing w:after="100"/>
      </w:pPr>
      <w:r>
        <w:rPr>
          <w:rFonts w:ascii="Calibri" w:cs="Calibri" w:eastAsia="Calibri" w:hAnsi="Calibri"/>
          <w:b/>
          <w:bCs/>
          <w:sz w:val="22"/>
          <w:szCs w:val="22"/>
        </w:rPr>
        <w:t xml:space="preserve">Effectiveness test: </w:t>
      </w:r>
      <w:r>
        <w:rPr>
          <w:rFonts w:ascii="Calibri" w:cs="Calibri" w:eastAsia="Calibri" w:hAnsi="Calibri"/>
          <w:b w:val="false"/>
          <w:bCs w:val="false"/>
          <w:i w:val="false"/>
          <w:iCs w:val="false"/>
          <w:sz w:val="22"/>
          <w:szCs w:val="22"/>
        </w:rPr>
        <w:t xml:space="preserve">The remedy must fully address the identified competitive harm and do so as reliably as the problematic merger would otherwise harm competition.</w:t>
      </w:r>
      <w:hyperlink w:history="1" r:id="rId6s4xc_g4ahwdg2zqfsbbh">
        <w:r>
          <w:rPr>
            <w:rFonts w:ascii="Calibri" w:cs="Calibri" w:eastAsia="Calibri" w:hAnsi="Calibri"/>
            <w:color w:val="1F4E5F"/>
            <w:sz w:val="22"/>
            <w:szCs w:val="22"/>
            <w:u w:val="single"/>
          </w:rPr>
          <w:t xml:space="preserve">[1]</w:t>
        </w:r>
      </w:hyperlink>
      <w:hyperlink w:history="1" r:id="rIdvsmwnwncdcsx6wbbpghkk">
        <w:r>
          <w:rPr>
            <w:rFonts w:ascii="Calibri" w:cs="Calibri" w:eastAsia="Calibri" w:hAnsi="Calibri"/>
            <w:color w:val="1F4E5F"/>
            <w:sz w:val="22"/>
            <w:szCs w:val="22"/>
            <w:u w:val="single"/>
          </w:rPr>
          <w:t xml:space="preserve">[8]</w:t>
        </w:r>
      </w:hyperlink>
    </w:p>
    <w:p>
      <w:pPr>
        <w:pStyle w:val="ListParagraph"/>
        <w:numPr>
          <w:ilvl w:val="0"/>
          <w:numId w:val="1"/>
        </w:numPr>
        <w:spacing w:after="100"/>
      </w:pPr>
      <w:r>
        <w:rPr>
          <w:rFonts w:ascii="Calibri" w:cs="Calibri" w:eastAsia="Calibri" w:hAnsi="Calibri"/>
          <w:b/>
          <w:bCs/>
          <w:sz w:val="22"/>
          <w:szCs w:val="22"/>
        </w:rPr>
        <w:t xml:space="preserve">Equivalence to divestiture: </w:t>
      </w:r>
      <w:r>
        <w:rPr>
          <w:rFonts w:ascii="Calibri" w:cs="Calibri" w:eastAsia="Calibri" w:hAnsi="Calibri"/>
          <w:b w:val="false"/>
          <w:bCs w:val="false"/>
          <w:i w:val="false"/>
          <w:iCs w:val="false"/>
          <w:sz w:val="22"/>
          <w:szCs w:val="22"/>
        </w:rPr>
        <w:t xml:space="preserve">For non-structural measures, authorities often ask whether the remedy is functionally comparable to a clean structural fix in its competitive effect.</w:t>
      </w:r>
      <w:hyperlink w:history="1" r:id="rId9adxfaa4ye0xomc17kblc">
        <w:r>
          <w:rPr>
            <w:rFonts w:ascii="Calibri" w:cs="Calibri" w:eastAsia="Calibri" w:hAnsi="Calibri"/>
            <w:color w:val="1F4E5F"/>
            <w:sz w:val="22"/>
            <w:szCs w:val="22"/>
            <w:u w:val="single"/>
          </w:rPr>
          <w:t xml:space="preserve">[8]</w:t>
        </w:r>
      </w:hyperlink>
    </w:p>
    <w:p>
      <w:pPr>
        <w:pStyle w:val="ListParagraph"/>
        <w:numPr>
          <w:ilvl w:val="0"/>
          <w:numId w:val="1"/>
        </w:numPr>
        <w:spacing w:after="100"/>
      </w:pPr>
      <w:r>
        <w:rPr>
          <w:rFonts w:ascii="Calibri" w:cs="Calibri" w:eastAsia="Calibri" w:hAnsi="Calibri"/>
          <w:b/>
          <w:bCs/>
          <w:sz w:val="22"/>
          <w:szCs w:val="22"/>
        </w:rPr>
        <w:t xml:space="preserve">Proportionality: </w:t>
      </w:r>
      <w:r>
        <w:rPr>
          <w:rFonts w:ascii="Calibri" w:cs="Calibri" w:eastAsia="Calibri" w:hAnsi="Calibri"/>
          <w:b w:val="false"/>
          <w:bCs w:val="false"/>
          <w:i w:val="false"/>
          <w:iCs w:val="false"/>
          <w:sz w:val="22"/>
          <w:szCs w:val="22"/>
        </w:rPr>
        <w:t xml:space="preserve">The remedy should go no further than necessary to solve the harm, while still being durable and enforceable.</w:t>
      </w:r>
      <w:hyperlink w:history="1" r:id="rIdnpmziksvrwp5r4icjbsh8">
        <w:r>
          <w:rPr>
            <w:rFonts w:ascii="Calibri" w:cs="Calibri" w:eastAsia="Calibri" w:hAnsi="Calibri"/>
            <w:color w:val="1F4E5F"/>
            <w:sz w:val="22"/>
            <w:szCs w:val="22"/>
            <w:u w:val="single"/>
          </w:rPr>
          <w:t xml:space="preserve">[1]</w:t>
        </w:r>
      </w:hyperlink>
      <w:hyperlink w:history="1" r:id="rIdc-puy8urmdpr7njfn4jnm">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Durability / reversibility test: </w:t>
      </w:r>
      <w:r>
        <w:rPr>
          <w:rFonts w:ascii="Calibri" w:cs="Calibri" w:eastAsia="Calibri" w:hAnsi="Calibri"/>
          <w:b w:val="false"/>
          <w:bCs w:val="false"/>
          <w:i w:val="false"/>
          <w:iCs w:val="false"/>
          <w:sz w:val="22"/>
          <w:szCs w:val="22"/>
        </w:rPr>
        <w:t xml:space="preserve">Digital markets change quickly, so authorities examine whether the remedy will remain effective despite innovation, data accumulation, and product redesign.</w:t>
      </w:r>
      <w:hyperlink w:history="1" r:id="rIdaqhfiuslvnc3zxok6l9qn">
        <w:r>
          <w:rPr>
            <w:rFonts w:ascii="Calibri" w:cs="Calibri" w:eastAsia="Calibri" w:hAnsi="Calibri"/>
            <w:color w:val="1F4E5F"/>
            <w:sz w:val="22"/>
            <w:szCs w:val="22"/>
            <w:u w:val="single"/>
          </w:rPr>
          <w:t xml:space="preserve">[9]</w:t>
        </w:r>
      </w:hyperlink>
      <w:hyperlink w:history="1" r:id="rIdnkcmqsezp4rt7xmreeibl">
        <w:r>
          <w:rPr>
            <w:rFonts w:ascii="Calibri" w:cs="Calibri" w:eastAsia="Calibri" w:hAnsi="Calibri"/>
            <w:color w:val="1F4E5F"/>
            <w:sz w:val="22"/>
            <w:szCs w:val="22"/>
            <w:u w:val="single"/>
          </w:rPr>
          <w:t xml:space="preserve">[1]</w:t>
        </w:r>
      </w:hyperlink>
    </w:p>
    <w:p>
      <w:pPr>
        <w:pStyle w:val="ListParagraph"/>
        <w:numPr>
          <w:ilvl w:val="0"/>
          <w:numId w:val="1"/>
        </w:numPr>
        <w:spacing w:after="100"/>
      </w:pPr>
      <w:r>
        <w:rPr>
          <w:rFonts w:ascii="Calibri" w:cs="Calibri" w:eastAsia="Calibri" w:hAnsi="Calibri"/>
          <w:b/>
          <w:bCs/>
          <w:sz w:val="22"/>
          <w:szCs w:val="22"/>
        </w:rPr>
        <w:t xml:space="preserve">Verifiability and monitoring test: </w:t>
      </w:r>
      <w:r>
        <w:rPr>
          <w:rFonts w:ascii="Calibri" w:cs="Calibri" w:eastAsia="Calibri" w:hAnsi="Calibri"/>
          <w:b w:val="false"/>
          <w:bCs w:val="false"/>
          <w:i w:val="false"/>
          <w:iCs w:val="false"/>
          <w:sz w:val="22"/>
          <w:szCs w:val="22"/>
        </w:rPr>
        <w:t xml:space="preserve">Conduct remedies must be capable of being monitored at reasonable cost; otherwise they risk under-enforcement.</w:t>
      </w:r>
      <w:hyperlink w:history="1" r:id="rIdl38afmox6qfaj3xit8hi6">
        <w:r>
          <w:rPr>
            <w:rFonts w:ascii="Calibri" w:cs="Calibri" w:eastAsia="Calibri" w:hAnsi="Calibri"/>
            <w:color w:val="1F4E5F"/>
            <w:sz w:val="22"/>
            <w:szCs w:val="22"/>
            <w:u w:val="single"/>
          </w:rPr>
          <w:t xml:space="preserve">[6]</w:t>
        </w:r>
      </w:hyperlink>
      <w:hyperlink w:history="1" r:id="rIdxd4htn7pcwzedw91rv-lu">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Non-evadability test: </w:t>
      </w:r>
      <w:r>
        <w:rPr>
          <w:rFonts w:ascii="Calibri" w:cs="Calibri" w:eastAsia="Calibri" w:hAnsi="Calibri"/>
          <w:b w:val="false"/>
          <w:bCs w:val="false"/>
          <w:i w:val="false"/>
          <w:iCs w:val="false"/>
          <w:sz w:val="22"/>
          <w:szCs w:val="22"/>
        </w:rPr>
        <w:t xml:space="preserve">The remedy should not be easy to circumvent through product changes, contractual redesign, or technical fragmentation.</w:t>
      </w:r>
      <w:hyperlink w:history="1" r:id="rIdaqlu-lrhgvk7fpus8rrry">
        <w:r>
          <w:rPr>
            <w:rFonts w:ascii="Calibri" w:cs="Calibri" w:eastAsia="Calibri" w:hAnsi="Calibri"/>
            <w:color w:val="1F4E5F"/>
            <w:sz w:val="22"/>
            <w:szCs w:val="22"/>
            <w:u w:val="single"/>
          </w:rPr>
          <w:t xml:space="preserve">[9]</w:t>
        </w:r>
      </w:hyperlink>
      <w:hyperlink w:history="1" r:id="rId-odvyej0clkqzchlnbab-">
        <w:r>
          <w:rPr>
            <w:rFonts w:ascii="Calibri" w:cs="Calibri" w:eastAsia="Calibri" w:hAnsi="Calibri"/>
            <w:color w:val="1F4E5F"/>
            <w:sz w:val="22"/>
            <w:szCs w:val="22"/>
            <w:u w:val="single"/>
          </w:rPr>
          <w:t xml:space="preserve">[18]</w:t>
        </w:r>
      </w:hyperlink>
    </w:p>
    <w:p>
      <w:pPr>
        <w:spacing w:after="160"/>
      </w:pPr>
      <w:r>
        <w:rPr>
          <w:rFonts w:ascii="Calibri" w:cs="Calibri" w:eastAsia="Calibri" w:hAnsi="Calibri"/>
          <w:b w:val="false"/>
          <w:bCs w:val="false"/>
          <w:i w:val="false"/>
          <w:iCs w:val="false"/>
          <w:sz w:val="22"/>
          <w:szCs w:val="22"/>
        </w:rPr>
        <w:t xml:space="preserve">In digital markets, the key economic concern is often that network effects, data advantages, and ecosystems can make a small foreclosure problem irreversible, so remedies are assessed against the risk of tipping and long-term entry barriers.</w:t>
      </w:r>
      <w:hyperlink w:history="1" r:id="rId9jtnac1tmecvxpfaevfkm">
        <w:r>
          <w:rPr>
            <w:rFonts w:ascii="Calibri" w:cs="Calibri" w:eastAsia="Calibri" w:hAnsi="Calibri"/>
            <w:color w:val="1F4E5F"/>
            <w:sz w:val="22"/>
            <w:szCs w:val="22"/>
            <w:u w:val="single"/>
          </w:rPr>
          <w:t xml:space="preserve">[9]</w:t>
        </w:r>
      </w:hyperlink>
      <w:hyperlink w:history="1" r:id="rIdokoq9ipgxd7l2he9dxt9g">
        <w:r>
          <w:rPr>
            <w:rFonts w:ascii="Calibri" w:cs="Calibri" w:eastAsia="Calibri" w:hAnsi="Calibri"/>
            <w:color w:val="1F4E5F"/>
            <w:sz w:val="22"/>
            <w:szCs w:val="22"/>
            <w:u w:val="single"/>
          </w:rPr>
          <w:t xml:space="preserve">[12]</w:t>
        </w:r>
      </w:hyperlink>
      <w:hyperlink w:history="1" r:id="rIdlgwabun7gmes8b3ykdjng">
        <w:r>
          <w:rPr>
            <w:rFonts w:ascii="Calibri" w:cs="Calibri" w:eastAsia="Calibri" w:hAnsi="Calibri"/>
            <w:color w:val="1F4E5F"/>
            <w:sz w:val="22"/>
            <w:szCs w:val="22"/>
            <w:u w:val="single"/>
          </w:rPr>
          <w:t xml:space="preserve">[18]</w:t>
        </w:r>
      </w:hyperlink>
    </w:p>
    <w:p>
      <w:pPr>
        <w:spacing w:after="120" w:before="200"/>
      </w:pPr>
      <w:r>
        <w:rPr>
          <w:rFonts w:ascii="Calibri" w:cs="Calibri" w:eastAsia="Calibri" w:hAnsi="Calibri"/>
          <w:b/>
          <w:bCs/>
          <w:i/>
          <w:iCs/>
          <w:sz w:val="22"/>
          <w:szCs w:val="22"/>
        </w:rPr>
        <w:t xml:space="preserve">4) Legal tests used by authorities</w:t>
      </w:r>
    </w:p>
    <w:p>
      <w:pPr>
        <w:pStyle w:val="ListParagraph"/>
        <w:numPr>
          <w:ilvl w:val="0"/>
          <w:numId w:val="1"/>
        </w:numPr>
        <w:spacing w:after="100"/>
      </w:pPr>
      <w:r>
        <w:rPr>
          <w:rFonts w:ascii="Calibri" w:cs="Calibri" w:eastAsia="Calibri" w:hAnsi="Calibri"/>
          <w:b/>
          <w:bCs/>
          <w:sz w:val="22"/>
          <w:szCs w:val="22"/>
        </w:rPr>
        <w:t xml:space="preserve">Substantial lessening of competition / competitive harm standard: </w:t>
      </w:r>
      <w:r>
        <w:rPr>
          <w:rFonts w:ascii="Calibri" w:cs="Calibri" w:eastAsia="Calibri" w:hAnsi="Calibri"/>
          <w:b w:val="false"/>
          <w:bCs w:val="false"/>
          <w:i w:val="false"/>
          <w:iCs w:val="false"/>
          <w:sz w:val="22"/>
          <w:szCs w:val="22"/>
        </w:rPr>
        <w:t xml:space="preserve">The authority identifies the likely harm and then asks whether the remedy removes that harm sufficiently.</w:t>
      </w:r>
      <w:hyperlink w:history="1" r:id="rIdogkyqawcwbrpenyherfh3">
        <w:r>
          <w:rPr>
            <w:rFonts w:ascii="Calibri" w:cs="Calibri" w:eastAsia="Calibri" w:hAnsi="Calibri"/>
            <w:color w:val="1F4E5F"/>
            <w:sz w:val="22"/>
            <w:szCs w:val="22"/>
            <w:u w:val="single"/>
          </w:rPr>
          <w:t xml:space="preserve">[13]</w:t>
        </w:r>
      </w:hyperlink>
      <w:hyperlink w:history="1" r:id="rIdp7k7-6nf0um5ou6biuuyp">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Clearance with conditions: </w:t>
      </w:r>
      <w:r>
        <w:rPr>
          <w:rFonts w:ascii="Calibri" w:cs="Calibri" w:eastAsia="Calibri" w:hAnsi="Calibri"/>
          <w:b w:val="false"/>
          <w:bCs w:val="false"/>
          <w:i w:val="false"/>
          <w:iCs w:val="false"/>
          <w:sz w:val="22"/>
          <w:szCs w:val="22"/>
        </w:rPr>
        <w:t xml:space="preserve">Remedies are used to convert a problematic merger into one that can be approved subject to enforceable commitments.</w:t>
      </w:r>
      <w:hyperlink w:history="1" r:id="rIdmqnxri4b67xamajzvoakq">
        <w:r>
          <w:rPr>
            <w:rFonts w:ascii="Calibri" w:cs="Calibri" w:eastAsia="Calibri" w:hAnsi="Calibri"/>
            <w:color w:val="1F4E5F"/>
            <w:sz w:val="22"/>
            <w:szCs w:val="22"/>
            <w:u w:val="single"/>
          </w:rPr>
          <w:t xml:space="preserve">[9]</w:t>
        </w:r>
      </w:hyperlink>
    </w:p>
    <w:p>
      <w:pPr>
        <w:pStyle w:val="ListParagraph"/>
        <w:numPr>
          <w:ilvl w:val="0"/>
          <w:numId w:val="1"/>
        </w:numPr>
        <w:spacing w:after="100"/>
      </w:pPr>
      <w:r>
        <w:rPr>
          <w:rFonts w:ascii="Calibri" w:cs="Calibri" w:eastAsia="Calibri" w:hAnsi="Calibri"/>
          <w:b/>
          <w:bCs/>
          <w:sz w:val="22"/>
          <w:szCs w:val="22"/>
        </w:rPr>
        <w:t xml:space="preserve">Commitment suitability: </w:t>
      </w:r>
      <w:r>
        <w:rPr>
          <w:rFonts w:ascii="Calibri" w:cs="Calibri" w:eastAsia="Calibri" w:hAnsi="Calibri"/>
          <w:b w:val="false"/>
          <w:bCs w:val="false"/>
          <w:i w:val="false"/>
          <w:iCs w:val="false"/>
          <w:sz w:val="22"/>
          <w:szCs w:val="22"/>
        </w:rPr>
        <w:t xml:space="preserve">The remedy must fit the theory of harm; for example, data-access remedies suit input foreclosure, while divestiture suits asset concentration.</w:t>
      </w:r>
      <w:hyperlink w:history="1" r:id="rId_ea3mwgexwafw9sy4uehh">
        <w:r>
          <w:rPr>
            <w:rFonts w:ascii="Calibri" w:cs="Calibri" w:eastAsia="Calibri" w:hAnsi="Calibri"/>
            <w:color w:val="1F4E5F"/>
            <w:sz w:val="22"/>
            <w:szCs w:val="22"/>
            <w:u w:val="single"/>
          </w:rPr>
          <w:t xml:space="preserve">[1]</w:t>
        </w:r>
      </w:hyperlink>
      <w:hyperlink w:history="1" r:id="rIdyg9iwyqtkqanrnhhehjno">
        <w:r>
          <w:rPr>
            <w:rFonts w:ascii="Calibri" w:cs="Calibri" w:eastAsia="Calibri" w:hAnsi="Calibri"/>
            <w:color w:val="1F4E5F"/>
            <w:sz w:val="22"/>
            <w:szCs w:val="22"/>
            <w:u w:val="single"/>
          </w:rPr>
          <w:t xml:space="preserve">[8]</w:t>
        </w:r>
      </w:hyperlink>
    </w:p>
    <w:p>
      <w:pPr>
        <w:pStyle w:val="ListParagraph"/>
        <w:numPr>
          <w:ilvl w:val="0"/>
          <w:numId w:val="1"/>
        </w:numPr>
        <w:spacing w:after="100"/>
      </w:pPr>
      <w:r>
        <w:rPr>
          <w:rFonts w:ascii="Calibri" w:cs="Calibri" w:eastAsia="Calibri" w:hAnsi="Calibri"/>
          <w:b/>
          <w:bCs/>
          <w:sz w:val="22"/>
          <w:szCs w:val="22"/>
        </w:rPr>
        <w:t xml:space="preserve">Administrative enforceability: </w:t>
      </w:r>
      <w:r>
        <w:rPr>
          <w:rFonts w:ascii="Calibri" w:cs="Calibri" w:eastAsia="Calibri" w:hAnsi="Calibri"/>
          <w:b w:val="false"/>
          <w:bCs w:val="false"/>
          <w:i w:val="false"/>
          <w:iCs w:val="false"/>
          <w:sz w:val="22"/>
          <w:szCs w:val="22"/>
        </w:rPr>
        <w:t xml:space="preserve">The package must be capable of being enforced through the authority's monitoring and penalty powers.</w:t>
      </w:r>
      <w:hyperlink w:history="1" r:id="rIdfnnva72a9iu3yzku1y5rd">
        <w:r>
          <w:rPr>
            <w:rFonts w:ascii="Calibri" w:cs="Calibri" w:eastAsia="Calibri" w:hAnsi="Calibri"/>
            <w:color w:val="1F4E5F"/>
            <w:sz w:val="22"/>
            <w:szCs w:val="22"/>
            <w:u w:val="single"/>
          </w:rPr>
          <w:t xml:space="preserve">[6]</w:t>
        </w:r>
      </w:hyperlink>
      <w:hyperlink w:history="1" r:id="rIdft2qs1eus9rpgkhwg5pe1">
        <w:r>
          <w:rPr>
            <w:rFonts w:ascii="Calibri" w:cs="Calibri" w:eastAsia="Calibri" w:hAnsi="Calibri"/>
            <w:color w:val="1F4E5F"/>
            <w:sz w:val="22"/>
            <w:szCs w:val="22"/>
            <w:u w:val="single"/>
          </w:rPr>
          <w:t xml:space="preserve">[7]</w:t>
        </w:r>
      </w:hyperlink>
    </w:p>
    <w:p>
      <w:pPr>
        <w:pStyle w:val="ListParagraph"/>
        <w:numPr>
          <w:ilvl w:val="0"/>
          <w:numId w:val="1"/>
        </w:numPr>
        <w:spacing w:after="100"/>
      </w:pPr>
      <w:r>
        <w:rPr>
          <w:rFonts w:ascii="Calibri" w:cs="Calibri" w:eastAsia="Calibri" w:hAnsi="Calibri"/>
          <w:b/>
          <w:bCs/>
          <w:sz w:val="22"/>
          <w:szCs w:val="22"/>
        </w:rPr>
        <w:t xml:space="preserve">Forward-looking assessment: </w:t>
      </w:r>
      <w:r>
        <w:rPr>
          <w:rFonts w:ascii="Calibri" w:cs="Calibri" w:eastAsia="Calibri" w:hAnsi="Calibri"/>
          <w:b w:val="false"/>
          <w:bCs w:val="false"/>
          <w:i w:val="false"/>
          <w:iCs w:val="false"/>
          <w:sz w:val="22"/>
          <w:szCs w:val="22"/>
        </w:rPr>
        <w:t xml:space="preserve">Especially in digital markets, the legal analysis is prospective and focuses on likely effects rather than only current overlaps.</w:t>
      </w:r>
      <w:hyperlink w:history="1" r:id="rIdxrqfkfgvbrrnvqrvytm8m">
        <w:r>
          <w:rPr>
            <w:rFonts w:ascii="Calibri" w:cs="Calibri" w:eastAsia="Calibri" w:hAnsi="Calibri"/>
            <w:color w:val="1F4E5F"/>
            <w:sz w:val="22"/>
            <w:szCs w:val="22"/>
            <w:u w:val="single"/>
          </w:rPr>
          <w:t xml:space="preserve">[9]</w:t>
        </w:r>
      </w:hyperlink>
      <w:hyperlink w:history="1" r:id="rIddw2h3rcrbvrnxemcvalul">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The Commission's merger materials also note that parties may propose remedies if concerns arise, and that the authority can prohibit a deal if no adequate remedy is offered.</w:t>
      </w:r>
      <w:hyperlink w:history="1" r:id="rIdkrbsrnq5ys8-ijsd9byxp">
        <w:r>
          <w:rPr>
            <w:rFonts w:ascii="Calibri" w:cs="Calibri" w:eastAsia="Calibri" w:hAnsi="Calibri"/>
            <w:color w:val="1F4E5F"/>
            <w:sz w:val="22"/>
            <w:szCs w:val="22"/>
            <w:u w:val="single"/>
          </w:rPr>
          <w:t xml:space="preserve">[13]</w:t>
        </w:r>
      </w:hyperlink>
    </w:p>
    <w:p>
      <w:pPr>
        <w:spacing w:after="120" w:before="200"/>
      </w:pPr>
      <w:r>
        <w:rPr>
          <w:rFonts w:ascii="Calibri" w:cs="Calibri" w:eastAsia="Calibri" w:hAnsi="Calibri"/>
          <w:b/>
          <w:bCs/>
          <w:i/>
          <w:iCs/>
          <w:sz w:val="22"/>
          <w:szCs w:val="22"/>
        </w:rPr>
        <w:t xml:space="preserve">5) Special considerations for financial markets and finance-adjacent digital mergers</w:t>
      </w:r>
    </w:p>
    <w:p>
      <w:pPr>
        <w:pStyle w:val="ListParagraph"/>
        <w:numPr>
          <w:ilvl w:val="0"/>
          <w:numId w:val="1"/>
        </w:numPr>
        <w:spacing w:after="100"/>
      </w:pPr>
      <w:r>
        <w:rPr>
          <w:rFonts w:ascii="Calibri" w:cs="Calibri" w:eastAsia="Calibri" w:hAnsi="Calibri"/>
          <w:b/>
          <w:bCs/>
          <w:sz w:val="22"/>
          <w:szCs w:val="22"/>
        </w:rPr>
        <w:t xml:space="preserve">Speed and latency: </w:t>
      </w:r>
      <w:r>
        <w:rPr>
          <w:rFonts w:ascii="Calibri" w:cs="Calibri" w:eastAsia="Calibri" w:hAnsi="Calibri"/>
          <w:b w:val="false"/>
          <w:bCs w:val="false"/>
          <w:i w:val="false"/>
          <w:iCs w:val="false"/>
          <w:sz w:val="22"/>
          <w:szCs w:val="22"/>
        </w:rPr>
        <w:t xml:space="preserve">Remedies must preserve low-latency functionality where financial users depend on real-time execution or information flows.</w:t>
      </w:r>
    </w:p>
    <w:p>
      <w:pPr>
        <w:pStyle w:val="ListParagraph"/>
        <w:numPr>
          <w:ilvl w:val="0"/>
          <w:numId w:val="1"/>
        </w:numPr>
        <w:spacing w:after="100"/>
      </w:pPr>
      <w:r>
        <w:rPr>
          <w:rFonts w:ascii="Calibri" w:cs="Calibri" w:eastAsia="Calibri" w:hAnsi="Calibri"/>
          <w:b/>
          <w:bCs/>
          <w:sz w:val="22"/>
          <w:szCs w:val="22"/>
        </w:rPr>
        <w:t xml:space="preserve">Data sensitivity: </w:t>
      </w:r>
      <w:r>
        <w:rPr>
          <w:rFonts w:ascii="Calibri" w:cs="Calibri" w:eastAsia="Calibri" w:hAnsi="Calibri"/>
          <w:b w:val="false"/>
          <w:bCs w:val="false"/>
          <w:i w:val="false"/>
          <w:iCs w:val="false"/>
          <w:sz w:val="22"/>
          <w:szCs w:val="22"/>
        </w:rPr>
        <w:t xml:space="preserve">Access remedies must address confidentiality, market abuse risk, and the separation of sensitive trading data.</w:t>
      </w:r>
    </w:p>
    <w:p>
      <w:pPr>
        <w:pStyle w:val="ListParagraph"/>
        <w:numPr>
          <w:ilvl w:val="0"/>
          <w:numId w:val="1"/>
        </w:numPr>
        <w:spacing w:after="100"/>
      </w:pPr>
      <w:r>
        <w:rPr>
          <w:rFonts w:ascii="Calibri" w:cs="Calibri" w:eastAsia="Calibri" w:hAnsi="Calibri"/>
          <w:b/>
          <w:bCs/>
          <w:sz w:val="22"/>
          <w:szCs w:val="22"/>
        </w:rPr>
        <w:t xml:space="preserve">Switching and portability: </w:t>
      </w:r>
      <w:r>
        <w:rPr>
          <w:rFonts w:ascii="Calibri" w:cs="Calibri" w:eastAsia="Calibri" w:hAnsi="Calibri"/>
          <w:b w:val="false"/>
          <w:bCs w:val="false"/>
          <w:i w:val="false"/>
          <w:iCs w:val="false"/>
          <w:sz w:val="22"/>
          <w:szCs w:val="22"/>
        </w:rPr>
        <w:t xml:space="preserve">In fintech and payments, user migration and data portability can be especially important because account history and identity data create lock-in.</w:t>
      </w:r>
    </w:p>
    <w:p>
      <w:pPr>
        <w:pStyle w:val="ListParagraph"/>
        <w:numPr>
          <w:ilvl w:val="0"/>
          <w:numId w:val="1"/>
        </w:numPr>
        <w:spacing w:after="100"/>
      </w:pPr>
      <w:r>
        <w:rPr>
          <w:rFonts w:ascii="Calibri" w:cs="Calibri" w:eastAsia="Calibri" w:hAnsi="Calibri"/>
          <w:b/>
          <w:bCs/>
          <w:sz w:val="22"/>
          <w:szCs w:val="22"/>
        </w:rPr>
        <w:t xml:space="preserve">Platform conduct risk: </w:t>
      </w:r>
      <w:r>
        <w:rPr>
          <w:rFonts w:ascii="Calibri" w:cs="Calibri" w:eastAsia="Calibri" w:hAnsi="Calibri"/>
          <w:b w:val="false"/>
          <w:bCs w:val="false"/>
          <w:i w:val="false"/>
          <w:iCs w:val="false"/>
          <w:sz w:val="22"/>
          <w:szCs w:val="22"/>
        </w:rPr>
        <w:t xml:space="preserve">If a digital platform also intermediates financial services, non-discrimination and access terms may need to be more exacting because exclusion can affect both competition and market integrity.</w:t>
      </w:r>
    </w:p>
    <w:p>
      <w:pPr>
        <w:pStyle w:val="ListParagraph"/>
        <w:numPr>
          <w:ilvl w:val="0"/>
          <w:numId w:val="1"/>
        </w:numPr>
        <w:spacing w:after="100"/>
      </w:pPr>
      <w:r>
        <w:rPr>
          <w:rFonts w:ascii="Calibri" w:cs="Calibri" w:eastAsia="Calibri" w:hAnsi="Calibri"/>
          <w:b/>
          <w:bCs/>
          <w:sz w:val="22"/>
          <w:szCs w:val="22"/>
        </w:rPr>
        <w:t xml:space="preserve">Systemic resilience: </w:t>
      </w:r>
      <w:r>
        <w:rPr>
          <w:rFonts w:ascii="Calibri" w:cs="Calibri" w:eastAsia="Calibri" w:hAnsi="Calibri"/>
          <w:b w:val="false"/>
          <w:bCs w:val="false"/>
          <w:i w:val="false"/>
          <w:iCs w:val="false"/>
          <w:sz w:val="22"/>
          <w:szCs w:val="22"/>
        </w:rPr>
        <w:t xml:space="preserve">Authorities may avoid remedies that create operational fragility in critical infrastructure or payment rails.</w:t>
      </w:r>
    </w:p>
    <w:p>
      <w:pPr>
        <w:spacing w:after="120" w:before="200"/>
      </w:pPr>
      <w:r>
        <w:rPr>
          <w:rFonts w:ascii="Calibri" w:cs="Calibri" w:eastAsia="Calibri" w:hAnsi="Calibri"/>
          <w:b/>
          <w:bCs/>
          <w:i/>
          <w:iCs/>
          <w:sz w:val="22"/>
          <w:szCs w:val="22"/>
        </w:rPr>
        <w:t xml:space="preserve">6) How EU guidance and wider materials frame the issue</w:t>
      </w:r>
    </w:p>
    <w:p>
      <w:pPr>
        <w:spacing w:after="160"/>
      </w:pPr>
      <w:r>
        <w:rPr>
          <w:rFonts w:ascii="Calibri" w:cs="Calibri" w:eastAsia="Calibri" w:hAnsi="Calibri"/>
          <w:b w:val="false"/>
          <w:bCs w:val="false"/>
          <w:i w:val="false"/>
          <w:iCs w:val="false"/>
          <w:sz w:val="22"/>
          <w:szCs w:val="22"/>
        </w:rPr>
        <w:t xml:space="preserve">The Commission's digital-merger materials identify structural and behavioural remedies as the two main categories and highlight that digital remedies often focus on interoperability, data separation, and access.</w:t>
      </w:r>
      <w:hyperlink w:history="1" r:id="rIdzcthbcuvfysmkdnrlogh-">
        <w:r>
          <w:rPr>
            <w:rFonts w:ascii="Calibri" w:cs="Calibri" w:eastAsia="Calibri" w:hAnsi="Calibri"/>
            <w:color w:val="1F4E5F"/>
            <w:sz w:val="22"/>
            <w:szCs w:val="22"/>
            <w:u w:val="single"/>
          </w:rPr>
          <w:t xml:space="preserve">[9]</w:t>
        </w:r>
      </w:hyperlink>
      <w:hyperlink w:history="1" r:id="rIdsauyeybqu4dby2cfxkqsn">
        <w:r>
          <w:rPr>
            <w:rFonts w:ascii="Calibri" w:cs="Calibri" w:eastAsia="Calibri" w:hAnsi="Calibri"/>
            <w:color w:val="1F4E5F"/>
            <w:sz w:val="22"/>
            <w:szCs w:val="22"/>
            <w:u w:val="single"/>
          </w:rPr>
          <w:t xml:space="preserve">[5]</w:t>
        </w:r>
      </w:hyperlink>
    </w:p>
    <w:p>
      <w:pPr>
        <w:spacing w:after="160"/>
      </w:pPr>
      <w:r>
        <w:rPr>
          <w:rFonts w:ascii="Calibri" w:cs="Calibri" w:eastAsia="Calibri" w:hAnsi="Calibri"/>
          <w:b w:val="false"/>
          <w:bCs w:val="false"/>
          <w:i w:val="false"/>
          <w:iCs w:val="false"/>
          <w:sz w:val="22"/>
          <w:szCs w:val="22"/>
        </w:rPr>
        <w:t xml:space="preserve">The Commission's review material on merger guidelines states that parties may offer remedies to address competition concerns and avoid prohibition.</w:t>
      </w:r>
      <w:hyperlink w:history="1" r:id="rIdr4zdnelcf_hw7oonusota">
        <w:r>
          <w:rPr>
            <w:rFonts w:ascii="Calibri" w:cs="Calibri" w:eastAsia="Calibri" w:hAnsi="Calibri"/>
            <w:color w:val="1F4E5F"/>
            <w:sz w:val="22"/>
            <w:szCs w:val="22"/>
            <w:u w:val="single"/>
          </w:rPr>
          <w:t xml:space="preserve">[13]</w:t>
        </w:r>
      </w:hyperlink>
    </w:p>
    <w:p>
      <w:pPr>
        <w:spacing w:after="160"/>
      </w:pPr>
      <w:r>
        <w:rPr>
          <w:rFonts w:ascii="Calibri" w:cs="Calibri" w:eastAsia="Calibri" w:hAnsi="Calibri"/>
          <w:b w:val="false"/>
          <w:bCs w:val="false"/>
          <w:i w:val="false"/>
          <w:iCs w:val="false"/>
          <w:sz w:val="22"/>
          <w:szCs w:val="22"/>
        </w:rPr>
        <w:t xml:space="preserve">OECD merger-remedy materials emphasize that remedies should be tailored to the harm and workable in practice, while digital-market materials highlight consumer-facing remedies such as switching and data transfer facilitation.</w:t>
      </w:r>
      <w:hyperlink w:history="1" r:id="rIdajbwsqfbqu4l5zhnfxuxk">
        <w:r>
          <w:rPr>
            <w:rFonts w:ascii="Calibri" w:cs="Calibri" w:eastAsia="Calibri" w:hAnsi="Calibri"/>
            <w:color w:val="1F4E5F"/>
            <w:sz w:val="22"/>
            <w:szCs w:val="22"/>
            <w:u w:val="single"/>
          </w:rPr>
          <w:t xml:space="preserve">[12]</w:t>
        </w:r>
      </w:hyperlink>
      <w:hyperlink w:history="1" r:id="rIdxh1bigxxdf3blb3-fzc9v">
        <w:r>
          <w:rPr>
            <w:rFonts w:ascii="Calibri" w:cs="Calibri" w:eastAsia="Calibri" w:hAnsi="Calibri"/>
            <w:color w:val="1F4E5F"/>
            <w:sz w:val="22"/>
            <w:szCs w:val="22"/>
            <w:u w:val="single"/>
          </w:rPr>
          <w:t xml:space="preserve">[11]</w:t>
        </w:r>
      </w:hyperlink>
    </w:p>
    <w:p>
      <w:pPr>
        <w:spacing w:after="160"/>
      </w:pPr>
      <w:r>
        <w:rPr>
          <w:rFonts w:ascii="Calibri" w:cs="Calibri" w:eastAsia="Calibri" w:hAnsi="Calibri"/>
          <w:b w:val="false"/>
          <w:bCs w:val="false"/>
          <w:i w:val="false"/>
          <w:iCs w:val="false"/>
          <w:sz w:val="22"/>
          <w:szCs w:val="22"/>
        </w:rPr>
        <w:t xml:space="preserve">CMA guidance shows that digital-regime enforcement relies on detailed monitoring and penalties to make remedies credible over time.</w:t>
      </w:r>
      <w:hyperlink w:history="1" r:id="rIdruikp6xmowecisczgt9nj">
        <w:r>
          <w:rPr>
            <w:rFonts w:ascii="Calibri" w:cs="Calibri" w:eastAsia="Calibri" w:hAnsi="Calibri"/>
            <w:color w:val="1F4E5F"/>
            <w:sz w:val="22"/>
            <w:szCs w:val="22"/>
            <w:u w:val="single"/>
          </w:rPr>
          <w:t xml:space="preserve">[6]</w:t>
        </w:r>
      </w:hyperlink>
      <w:hyperlink w:history="1" r:id="rIdm7b9sbea--skolwmhegfg">
        <w:r>
          <w:rPr>
            <w:rFonts w:ascii="Calibri" w:cs="Calibri" w:eastAsia="Calibri" w:hAnsi="Calibri"/>
            <w:color w:val="1F4E5F"/>
            <w:sz w:val="22"/>
            <w:szCs w:val="22"/>
            <w:u w:val="single"/>
          </w:rPr>
          <w:t xml:space="preserve">[7]</w:t>
        </w:r>
      </w:hyperlink>
    </w:p>
    <w:p>
      <w:pPr>
        <w:spacing w:after="120" w:before="200"/>
      </w:pPr>
      <w:r>
        <w:rPr>
          <w:rFonts w:ascii="Calibri" w:cs="Calibri" w:eastAsia="Calibri" w:hAnsi="Calibri"/>
          <w:b/>
          <w:bCs/>
          <w:i/>
          <w:iCs/>
          <w:sz w:val="22"/>
          <w:szCs w:val="22"/>
        </w:rPr>
        <w:t xml:space="preserve">7) Further reading</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EU Merger Guidelines review</w:t>
      </w:r>
      <w:hyperlink w:history="1" r:id="rIdtalwil4jz7zfmm9a9e7wa">
        <w:r>
          <w:rPr>
            <w:rFonts w:ascii="Calibri" w:cs="Calibri" w:eastAsia="Calibri" w:hAnsi="Calibri"/>
            <w:color w:val="1F4E5F"/>
            <w:sz w:val="22"/>
            <w:szCs w:val="22"/>
            <w:u w:val="single"/>
          </w:rPr>
          <w:t xml:space="preserve">[13]</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EU merger review in digital and technology markets</w:t>
      </w:r>
      <w:hyperlink w:history="1" r:id="rIduqddbajav2uclmi60ucsp">
        <w:r>
          <w:rPr>
            <w:rFonts w:ascii="Calibri" w:cs="Calibri" w:eastAsia="Calibri" w:hAnsi="Calibri"/>
            <w:color w:val="1F4E5F"/>
            <w:sz w:val="22"/>
            <w:szCs w:val="22"/>
            <w:u w:val="single"/>
          </w:rPr>
          <w:t xml:space="preserve">[1]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EU competition policy brief on digital mergers</w:t>
      </w:r>
      <w:hyperlink w:history="1" r:id="rIdenx5ilrjefyiviabrz5be">
        <w:r>
          <w:rPr>
            <w:rFonts w:ascii="Calibri" w:cs="Calibri" w:eastAsia="Calibri" w:hAnsi="Calibri"/>
            <w:color w:val="1F4E5F"/>
            <w:sz w:val="22"/>
            <w:szCs w:val="22"/>
            <w:u w:val="single"/>
          </w:rPr>
          <w:t xml:space="preserve">[5]</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Merger Remedies</w:t>
      </w:r>
      <w:hyperlink w:history="1" r:id="rId1aqjvnddikqprqp93ilma">
        <w:r>
          <w:rPr>
            <w:rFonts w:ascii="Calibri" w:cs="Calibri" w:eastAsia="Calibri" w:hAnsi="Calibri"/>
            <w:color w:val="1F4E5F"/>
            <w:sz w:val="22"/>
            <w:szCs w:val="22"/>
            <w:u w:val="single"/>
          </w:rPr>
          <w:t xml:space="preserve">[11]</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OECD Handbook on competition policy in the digital age</w:t>
      </w:r>
      <w:hyperlink w:history="1" r:id="rId0-0k0gpytfrb2nz7iqsyl">
        <w:r>
          <w:rPr>
            <w:rFonts w:ascii="Calibri" w:cs="Calibri" w:eastAsia="Calibri" w:hAnsi="Calibri"/>
            <w:color w:val="1F4E5F"/>
            <w:sz w:val="22"/>
            <w:szCs w:val="22"/>
            <w:u w:val="single"/>
          </w:rPr>
          <w:t xml:space="preserve">[8]</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CMA digital markets competition regime guidance</w:t>
      </w:r>
      <w:hyperlink w:history="1" r:id="rIdltriy63w3wjkv2aowhscj">
        <w:r>
          <w:rPr>
            <w:rFonts w:ascii="Calibri" w:cs="Calibri" w:eastAsia="Calibri" w:hAnsi="Calibri"/>
            <w:color w:val="1F4E5F"/>
            <w:sz w:val="22"/>
            <w:szCs w:val="22"/>
            <w:u w:val="single"/>
          </w:rPr>
          <w:t xml:space="preserve">[6]</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CMA penalties and remedies policy</w:t>
      </w:r>
      <w:hyperlink w:history="1" r:id="rIdvybjobnqmyazg28ubz0vg">
        <w:r>
          <w:rPr>
            <w:rFonts w:ascii="Calibri" w:cs="Calibri" w:eastAsia="Calibri" w:hAnsi="Calibri"/>
            <w:color w:val="1F4E5F"/>
            <w:sz w:val="22"/>
            <w:szCs w:val="22"/>
            <w:u w:val="single"/>
          </w:rPr>
          <w:t xml:space="preserve">[7]</w:t>
        </w:r>
      </w:hyperlink>
    </w:p>
    <w:p>
      <w:pPr>
        <w:spacing w:after="160"/>
      </w:pPr>
      <w:r>
        <w:rPr>
          <w:rFonts w:ascii="Calibri" w:cs="Calibri" w:eastAsia="Calibri" w:hAnsi="Calibri"/>
          <w:b w:val="false"/>
          <w:bCs w:val="false"/>
          <w:i w:val="false"/>
          <w:iCs w:val="false"/>
          <w:sz w:val="22"/>
          <w:szCs w:val="22"/>
        </w:rPr>
        <w:t xml:space="preserve">If useful, the next step can be a jurisdiction-by-jurisdiction comparison of EU, UK, and U.S. merger remedies in digital markets.</w:t>
      </w:r>
    </w:p>
    <w:p>
      <w:pPr>
        <w:spacing w:after="120" w:before="200"/>
      </w:pPr>
      <w:r>
        <w:rPr>
          <w:rFonts w:ascii="Calibri" w:cs="Calibri" w:eastAsia="Calibri" w:hAnsi="Calibri"/>
          <w:b/>
          <w:bCs/>
          <w:i/>
          <w:iCs/>
          <w:sz w:val="22"/>
          <w:szCs w:val="22"/>
        </w:rPr>
        <w:t xml:space="preserve">Example Case:</w:t>
      </w:r>
    </w:p>
    <w:p>
      <w:pPr>
        <w:spacing w:after="120"/>
      </w:pPr>
      <w:r>
        <w:rPr>
          <w:rFonts w:ascii="Calibri" w:cs="Calibri" w:eastAsia="Calibri" w:hAnsi="Calibri"/>
          <w:i w:val="false"/>
          <w:iCs w:val="false"/>
          <w:sz w:val="22"/>
          <w:szCs w:val="22"/>
        </w:rPr>
        <w:t xml:space="preserve">Here are relevant cases worth your time based on your search query.</w:t>
      </w:r>
    </w:p>
    <w:p>
      <w:pPr>
        <w:spacing w:after="160"/>
      </w:pPr>
      <w:r>
        <w:rPr>
          <w:rFonts w:ascii="Calibri" w:cs="Calibri" w:eastAsia="Calibri" w:hAnsi="Calibri"/>
          <w:b/>
          <w:bCs/>
          <w:i w:val="false"/>
          <w:iCs w:val="false"/>
          <w:sz w:val="22"/>
          <w:szCs w:val="22"/>
        </w:rPr>
        <w:t xml:space="preserve">COMP/M.5669 - Cisco/Tandberg</w:t>
      </w:r>
    </w:p>
    <w:p>
      <w:pPr>
        <w:spacing w:after="120" w:before="200"/>
      </w:pPr>
      <w:r>
        <w:rPr>
          <w:rFonts w:ascii="Calibri" w:cs="Calibri" w:eastAsia="Calibri" w:hAnsi="Calibri"/>
          <w:b/>
          <w:bCs/>
          <w:i/>
          <w:iCs/>
          <w:sz w:val="22"/>
          <w:szCs w:val="22"/>
        </w:rPr>
        <w:t xml:space="preserve">Case Background</w:t>
      </w:r>
    </w:p>
    <w:p>
      <w:pPr>
        <w:spacing w:after="160"/>
      </w:pPr>
      <w:r>
        <w:rPr>
          <w:rFonts w:ascii="Calibri" w:cs="Calibri" w:eastAsia="Calibri" w:hAnsi="Calibri"/>
          <w:b w:val="false"/>
          <w:bCs w:val="false"/>
          <w:i w:val="false"/>
          <w:iCs w:val="false"/>
          <w:sz w:val="22"/>
          <w:szCs w:val="22"/>
        </w:rPr>
        <w:t xml:space="preserve">The allegation made in this case pertains to the proposed concentration involving Cisco Systems, Inc. acquiring sole control of Tandberg ASA. This acquisition raised concerns regarding its compatibility with the Internal Market and the European Economic Area (EEA).</w:t>
      </w:r>
      <w:hyperlink w:history="1" r:id="rIdlhzdynvsrmx7i-ungairk">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companies involved in this case are Cisco Systems, Inc. from the United States and Tandberg ASA, which operates in both Norway and the United States.</w:t>
      </w:r>
      <w:hyperlink w:history="1" r:id="rIda1lxvzriegnyxiyicrntx">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year of case initiation was 2010, with the notification of the proposed concentration received on 8 February 2010.</w:t>
      </w:r>
      <w:hyperlink w:history="1" r:id="rIdmcbbiddgpovgqntynnn5w">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violation relates to potential anti-competitive effects stemming from the merger, particularly concerning input and customer foreclosure. The Commission investigated whether the merger would restrict access to products or services that would otherwise be available, potentially raising costs for downstream rivals. It was concluded that the merger would not significantly alter the competitive landscape, as competitors currently do not purchase Tandberg's MCUs and have alternative suppliers available.</w:t>
      </w:r>
      <w:hyperlink w:history="1" r:id="rIdwbv5p3gjkeccfginhhf2w">
        <w:r>
          <w:rPr>
            <w:rFonts w:ascii="Calibri" w:cs="Calibri" w:eastAsia="Calibri" w:hAnsi="Calibri"/>
            <w:color w:val="1F4E5F"/>
            <w:sz w:val="22"/>
            <w:szCs w:val="22"/>
            <w:u w:val="single"/>
          </w:rPr>
          <w:t xml:space="preserve">[19]</w:t>
        </w:r>
      </w:hyperlink>
    </w:p>
    <w:p>
      <w:pPr>
        <w:spacing w:after="120" w:before="200"/>
      </w:pPr>
      <w:r>
        <w:rPr>
          <w:rFonts w:ascii="Calibri" w:cs="Calibri" w:eastAsia="Calibri" w:hAnsi="Calibri"/>
          <w:b/>
          <w:bCs/>
          <w:i/>
          <w:iCs/>
          <w:sz w:val="22"/>
          <w:szCs w:val="22"/>
        </w:rPr>
        <w:t xml:space="preserve">Case Progression</w:t>
      </w:r>
    </w:p>
    <w:p>
      <w:pPr>
        <w:pStyle w:val="ListParagraph"/>
        <w:numPr>
          <w:ilvl w:val="0"/>
          <w:numId w:val="1"/>
        </w:numPr>
        <w:spacing w:after="100"/>
      </w:pPr>
      <w:r>
        <w:rPr>
          <w:rFonts w:ascii="Calibri" w:cs="Calibri" w:eastAsia="Calibri" w:hAnsi="Calibri"/>
          <w:b/>
          <w:bCs/>
          <w:sz w:val="22"/>
          <w:szCs w:val="22"/>
        </w:rPr>
        <w:t xml:space="preserve">Case Initiation: </w:t>
      </w:r>
      <w:r>
        <w:rPr>
          <w:rFonts w:ascii="Calibri" w:cs="Calibri" w:eastAsia="Calibri" w:hAnsi="Calibri"/>
          <w:b w:val="false"/>
          <w:bCs w:val="false"/>
          <w:i w:val="false"/>
          <w:iCs w:val="false"/>
          <w:sz w:val="22"/>
          <w:szCs w:val="22"/>
        </w:rPr>
        <w:t xml:space="preserve">The case was initiated with the notification of a proposed concentration on 8 February 2010, where Cisco Systems, Inc. sought to acquire sole control of Tandberg ASA through a public tender offer.</w:t>
      </w:r>
      <w:hyperlink w:history="1" r:id="rIds5ujvnmptxscdyxlwkrou">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bCs/>
          <w:sz w:val="22"/>
          <w:szCs w:val="22"/>
        </w:rPr>
        <w:t xml:space="preserve">Preliminary Investigation: </w:t>
      </w:r>
      <w:r>
        <w:rPr>
          <w:rFonts w:ascii="Calibri" w:cs="Calibri" w:eastAsia="Calibri" w:hAnsi="Calibri"/>
          <w:b w:val="false"/>
          <w:bCs w:val="false"/>
          <w:i w:val="false"/>
          <w:iCs w:val="false"/>
          <w:sz w:val="22"/>
          <w:szCs w:val="22"/>
        </w:rPr>
        <w:t xml:space="preserve">The Commission conducted a preliminary investigation to assess the compatibility of the concentration with the internal market. Concerns were raised regarding interoperability and the potential impact on competition, leading to further discussions and the submission of commitments by Cisco.</w:t>
      </w:r>
      <w:hyperlink w:history="1" r:id="rIdxc8sr8dwqtjaak6fqtmyg">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bCs/>
          <w:sz w:val="22"/>
          <w:szCs w:val="22"/>
        </w:rPr>
        <w:t xml:space="preserve">Statement of Objections Issued: </w:t>
      </w:r>
      <w:r>
        <w:rPr>
          <w:rFonts w:ascii="Calibri" w:cs="Calibri" w:eastAsia="Calibri" w:hAnsi="Calibri"/>
          <w:b w:val="false"/>
          <w:bCs w:val="false"/>
          <w:i w:val="false"/>
          <w:iCs w:val="false"/>
          <w:sz w:val="22"/>
          <w:szCs w:val="22"/>
        </w:rPr>
        <w:t xml:space="preserve">Although not explicitly stated in the provided information, the progression suggests that the Commission would issue a Statement of Objections if serious concerns remained after the preliminary investigation.</w:t>
      </w:r>
      <w:hyperlink w:history="1" r:id="rIdixptu0qxj0te_c5x31qc3">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bCs/>
          <w:sz w:val="22"/>
          <w:szCs w:val="22"/>
        </w:rPr>
        <w:t xml:space="preserve">Defense Phase: </w:t>
      </w:r>
      <w:r>
        <w:rPr>
          <w:rFonts w:ascii="Calibri" w:cs="Calibri" w:eastAsia="Calibri" w:hAnsi="Calibri"/>
          <w:b w:val="false"/>
          <w:bCs w:val="false"/>
          <w:i w:val="false"/>
          <w:iCs w:val="false"/>
          <w:sz w:val="22"/>
          <w:szCs w:val="22"/>
        </w:rPr>
        <w:t xml:space="preserve">Cisco would have the opportunity to respond to any objections in writing and participate in an oral hearing.</w:t>
      </w:r>
      <w:hyperlink w:history="1" r:id="rIdvfvnqrilm0kqb8fm7s5d4">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bCs/>
          <w:sz w:val="22"/>
          <w:szCs w:val="22"/>
        </w:rPr>
        <w:t xml:space="preserve">Commission Decision: </w:t>
      </w:r>
      <w:r>
        <w:rPr>
          <w:rFonts w:ascii="Calibri" w:cs="Calibri" w:eastAsia="Calibri" w:hAnsi="Calibri"/>
          <w:b w:val="false"/>
          <w:bCs w:val="false"/>
          <w:i w:val="false"/>
          <w:iCs w:val="false"/>
          <w:sz w:val="22"/>
          <w:szCs w:val="22"/>
        </w:rPr>
        <w:t xml:space="preserve">The Commission ultimately decided not to oppose the concentration, declaring it compatible with the internal market, contingent upon Cisco's compliance with the commitments submitted. This decision was based on the effectiveness of the proposed remedies to address competition concerns.</w:t>
      </w:r>
      <w:hyperlink w:history="1" r:id="rIdje9z902_8gxktt-kwtr6f">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bCs/>
          <w:sz w:val="22"/>
          <w:szCs w:val="22"/>
        </w:rPr>
        <w:t xml:space="preserve">General Court and CJEU: </w:t>
      </w:r>
      <w:r>
        <w:rPr>
          <w:rFonts w:ascii="Calibri" w:cs="Calibri" w:eastAsia="Calibri" w:hAnsi="Calibri"/>
          <w:b w:val="false"/>
          <w:bCs w:val="false"/>
          <w:i w:val="false"/>
          <w:iCs w:val="false"/>
          <w:sz w:val="22"/>
          <w:szCs w:val="22"/>
        </w:rPr>
        <w:t xml:space="preserve">Should Cisco or any other party choose to appeal the decision, the case could progress to the General Court and potentially to the CJEU for legal review. The provided information does not indicate any appeals were made in this case.</w:t>
      </w:r>
      <w:hyperlink w:history="1" r:id="rIdzd4dsotqdlcvkqe9u0c7m">
        <w:r>
          <w:rPr>
            <w:rFonts w:ascii="Calibri" w:cs="Calibri" w:eastAsia="Calibri" w:hAnsi="Calibri"/>
            <w:color w:val="1F4E5F"/>
            <w:sz w:val="22"/>
            <w:szCs w:val="22"/>
            <w:u w:val="single"/>
          </w:rPr>
          <w:t xml:space="preserve">[19]</w:t>
        </w:r>
      </w:hyperlink>
    </w:p>
    <w:p>
      <w:pPr>
        <w:spacing w:after="120" w:before="200"/>
      </w:pPr>
      <w:r>
        <w:rPr>
          <w:rFonts w:ascii="Calibri" w:cs="Calibri" w:eastAsia="Calibri" w:hAnsi="Calibri"/>
          <w:b/>
          <w:bCs/>
          <w:i/>
          <w:iCs/>
          <w:sz w:val="22"/>
          <w:szCs w:val="22"/>
        </w:rPr>
        <w:t xml:space="preserve">Market Definition</w:t>
      </w:r>
    </w:p>
    <w:p>
      <w:pPr>
        <w:spacing w:after="160"/>
      </w:pPr>
      <w:r>
        <w:rPr>
          <w:rFonts w:ascii="Calibri" w:cs="Calibri" w:eastAsia="Calibri" w:hAnsi="Calibri"/>
          <w:b w:val="false"/>
          <w:bCs w:val="false"/>
          <w:i w:val="false"/>
          <w:iCs w:val="false"/>
          <w:sz w:val="22"/>
          <w:szCs w:val="22"/>
        </w:rPr>
        <w:t xml:space="preserve">The market considered in this case includes Video Communication Solutions (VCS) and Multipoint Control Units (MCUs), with a focus on dedicated room solutions and executive office/desktop communications.</w:t>
      </w:r>
      <w:hyperlink w:history="1" r:id="rId3bzl6s2avlptxk_tggulo">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geographic scope of the markets for VCS and MCUs was assessed to be worldwide, based on factors such as the use of the same technology globally and the international operations of end-user customers and distributors.</w:t>
      </w:r>
      <w:hyperlink w:history="1" r:id="rIdm5tbd-y6wcioqqyqo00gf">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procurement process for VCS was identified as sharing similarities with a bidding market, where customers often use Requests for Proposals (RFPs) or tenders, indicating a structured approach to market assessment.</w:t>
      </w:r>
      <w:hyperlink w:history="1" r:id="rIddufjrjoofe73mw2chrjtr">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An econometric analysis was submitted by the parties to evaluate Cisco's discount practices in the VCS market, which contributed to understanding competitive dynamics.</w:t>
      </w:r>
      <w:hyperlink w:history="1" r:id="rId_tfudf-jgehjz47f2gda6">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market investigation revealed that Cisco and Tandberg were viewed as each other's closest competitors, indicating a significant degree of competitive overlap that was crucial for assessing the merger's impact.</w:t>
      </w:r>
      <w:hyperlink w:history="1" r:id="rIdeeftt5a7r09kcp6x5zyrb">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investigation also highlighted that interoperability issues with installed products could limit customer independence in the procurement process, necessitating a detailed analysis of tender data to evaluate competition.</w:t>
      </w:r>
      <w:hyperlink w:history="1" r:id="rIdpescoobj3qpm5husb0nlj">
        <w:r>
          <w:rPr>
            <w:rFonts w:ascii="Calibri" w:cs="Calibri" w:eastAsia="Calibri" w:hAnsi="Calibri"/>
            <w:color w:val="1F4E5F"/>
            <w:sz w:val="22"/>
            <w:szCs w:val="22"/>
            <w:u w:val="single"/>
          </w:rPr>
          <w:t xml:space="preserve">[19]</w:t>
        </w:r>
      </w:hyperlink>
    </w:p>
    <w:p>
      <w:pPr>
        <w:spacing w:after="160"/>
      </w:pPr>
      <w:r>
        <w:rPr>
          <w:rFonts w:ascii="Calibri" w:cs="Calibri" w:eastAsia="Calibri" w:hAnsi="Calibri"/>
          <w:b w:val="false"/>
          <w:bCs w:val="false"/>
          <w:i w:val="false"/>
          <w:iCs w:val="false"/>
          <w:sz w:val="22"/>
          <w:szCs w:val="22"/>
        </w:rPr>
        <w:t xml:space="preserve">The Commission concluded that the proposed transaction would not raise serious doubts regarding its compatibility with the internal market across all possible product and geographic market definitions, based on the findings from the market investigation.</w:t>
      </w:r>
      <w:hyperlink w:history="1" r:id="rIdi5p-dfrx6cbibpxjev9qd">
        <w:r>
          <w:rPr>
            <w:rFonts w:ascii="Calibri" w:cs="Calibri" w:eastAsia="Calibri" w:hAnsi="Calibri"/>
            <w:color w:val="1F4E5F"/>
            <w:sz w:val="22"/>
            <w:szCs w:val="22"/>
            <w:u w:val="single"/>
          </w:rPr>
          <w:t xml:space="preserve">[19]</w:t>
        </w:r>
      </w:hyperlink>
    </w:p>
    <w:p>
      <w:pPr>
        <w:spacing w:after="120" w:before="200"/>
      </w:pPr>
      <w:r>
        <w:rPr>
          <w:rFonts w:ascii="Calibri" w:cs="Calibri" w:eastAsia="Calibri" w:hAnsi="Calibri"/>
          <w:b/>
          <w:bCs/>
          <w:i/>
          <w:iCs/>
          <w:sz w:val="22"/>
          <w:szCs w:val="22"/>
        </w:rPr>
        <w:t xml:space="preserve">Legal &amp; Economic Tests</w:t>
      </w:r>
    </w:p>
    <w:p>
      <w:pPr>
        <w:pStyle w:val="ListParagraph"/>
        <w:numPr>
          <w:ilvl w:val="0"/>
          <w:numId w:val="1"/>
        </w:numPr>
        <w:spacing w:after="100"/>
      </w:pPr>
      <w:r>
        <w:rPr>
          <w:rFonts w:ascii="Calibri" w:cs="Calibri" w:eastAsia="Calibri" w:hAnsi="Calibri"/>
          <w:b/>
          <w:bCs/>
          <w:sz w:val="22"/>
          <w:szCs w:val="22"/>
        </w:rPr>
        <w:t xml:space="preserve">Market Definition and Competitive Assessment: </w:t>
      </w:r>
      <w:r>
        <w:rPr>
          <w:rFonts w:ascii="Calibri" w:cs="Calibri" w:eastAsia="Calibri" w:hAnsi="Calibri"/>
          <w:b w:val="false"/>
          <w:bCs w:val="false"/>
          <w:i w:val="false"/>
          <w:iCs w:val="false"/>
          <w:sz w:val="22"/>
          <w:szCs w:val="22"/>
        </w:rPr>
        <w:t xml:space="preserve">The investigation involved determining the relevant market for video conferencing solutions (VCS) and assessing the competitive dynamics within that market. This included analyzing whether custom-built solutions and standard video conferencing solutions belong to the same product market.</w:t>
      </w:r>
      <w:hyperlink w:history="1" r:id="rIdwifhuxvk1zwnoc2_7u6la">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bCs/>
          <w:sz w:val="22"/>
          <w:szCs w:val="22"/>
        </w:rPr>
        <w:t xml:space="preserve">Closeness of Competition Analysis: </w:t>
      </w:r>
      <w:r>
        <w:rPr>
          <w:rFonts w:ascii="Calibri" w:cs="Calibri" w:eastAsia="Calibri" w:hAnsi="Calibri"/>
          <w:b w:val="false"/>
          <w:bCs w:val="false"/>
          <w:i w:val="false"/>
          <w:iCs w:val="false"/>
          <w:sz w:val="22"/>
          <w:szCs w:val="22"/>
        </w:rPr>
        <w:t xml:space="preserve">An econometric analysis was conducted to evaluate the competitive relationship between Cisco and Tandberg. This involved examining Cisco's discounting practices in relation to Tandberg's presence in tender processes. However, the results indicated no statistically significant correlation.</w:t>
      </w:r>
      <w:hyperlink w:history="1" r:id="rIdsvotyqd6wovhd72xc6usn">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bCs/>
          <w:sz w:val="22"/>
          <w:szCs w:val="22"/>
        </w:rPr>
        <w:t xml:space="preserve">Barriers to Entry Evaluation: </w:t>
      </w:r>
      <w:r>
        <w:rPr>
          <w:rFonts w:ascii="Calibri" w:cs="Calibri" w:eastAsia="Calibri" w:hAnsi="Calibri"/>
          <w:b w:val="false"/>
          <w:bCs w:val="false"/>
          <w:i w:val="false"/>
          <w:iCs w:val="false"/>
          <w:sz w:val="22"/>
          <w:szCs w:val="22"/>
        </w:rPr>
        <w:t xml:space="preserve">The investigation assessed barriers to entry in the VCS market, particularly focusing on interoperability issues that hinder new entrants. The lack of full interoperability, especially in dedicated room solutions, was identified as a significant barrier that could limit competition.</w:t>
      </w:r>
      <w:hyperlink w:history="1" r:id="rIdtezgaj5ywdwul1udlc4yi">
        <w:r>
          <w:rPr>
            <w:rFonts w:ascii="Calibri" w:cs="Calibri" w:eastAsia="Calibri" w:hAnsi="Calibri"/>
            <w:color w:val="1F4E5F"/>
            <w:sz w:val="22"/>
            <w:szCs w:val="22"/>
            <w:u w:val="single"/>
          </w:rPr>
          <w:t xml:space="preserve">[19]</w:t>
        </w:r>
      </w:hyperlink>
    </w:p>
    <w:p>
      <w:pPr>
        <w:spacing w:after="120" w:before="200"/>
      </w:pPr>
      <w:r>
        <w:rPr>
          <w:rFonts w:ascii="Calibri" w:cs="Calibri" w:eastAsia="Calibri" w:hAnsi="Calibri"/>
          <w:b/>
          <w:bCs/>
          <w:i/>
          <w:iCs/>
          <w:sz w:val="22"/>
          <w:szCs w:val="22"/>
        </w:rPr>
        <w:t xml:space="preserve">Conclusion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Commission concluded that the proposed concentration between Cisco and Tandberg would be compatible with the internal market and the EEA Agreement, provided that Cisco fully complies with the commitments submitted.</w:t>
      </w:r>
      <w:hyperlink w:history="1" r:id="rIdwdeq0lagjkgbongfnvfeb">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commitments were deemed sufficient to address serious doubts regarding the concentration's compatibility, effectively serving as a remedy comparable to a divestment of a business.</w:t>
      </w:r>
      <w:hyperlink w:history="1" r:id="rIdl7q2h6jw-xs77wj4psblc">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A Monitoring Trustee will be appointed to oversee the implementation of the commitments, ensuring that the remedy is effectively executed and that Cisco adheres to its obligations.</w:t>
      </w:r>
      <w:hyperlink w:history="1" r:id="rIdrvzeeh8mstjt_2lku-h7m">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commitments included provisions for interoperability standards, with the IMTC (an independent industry body) tasked with developing a standard protocol for multi-screen interoperability, which would be submitted to a standard-setting organization.</w:t>
      </w:r>
      <w:hyperlink w:history="1" r:id="rIdu-szd8bl9y1chcqpc4cls">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decision was based on an analysis indicating that Cisco and Tandberg were each other's closest competitors, reinforcing the need for commitments to mitigate potential competition concerns.</w:t>
      </w:r>
      <w:hyperlink w:history="1" r:id="rId4arxose7pkjzj2d1hkz4t">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No fines were imposed in this case; instead, the focus was on ensuring compliance with the commitments to facilitate a competitive market environment.</w:t>
      </w:r>
      <w:hyperlink w:history="1" r:id="rIdp181ucwlpnofz31zs2vfy">
        <w:r>
          <w:rPr>
            <w:rFonts w:ascii="Calibri" w:cs="Calibri" w:eastAsia="Calibri" w:hAnsi="Calibri"/>
            <w:color w:val="1F4E5F"/>
            <w:sz w:val="22"/>
            <w:szCs w:val="22"/>
            <w:u w:val="single"/>
          </w:rPr>
          <w:t xml:space="preserve">[19]</w:t>
        </w:r>
      </w:hyperlink>
    </w:p>
    <w:p>
      <w:pPr>
        <w:pStyle w:val="ListParagraph"/>
        <w:numPr>
          <w:ilvl w:val="0"/>
          <w:numId w:val="1"/>
        </w:numPr>
        <w:spacing w:after="100"/>
      </w:pPr>
      <w:r>
        <w:rPr>
          <w:rFonts w:ascii="Calibri" w:cs="Calibri" w:eastAsia="Calibri" w:hAnsi="Calibri"/>
          <w:b w:val="false"/>
          <w:bCs w:val="false"/>
          <w:i w:val="false"/>
          <w:iCs w:val="false"/>
          <w:sz w:val="22"/>
          <w:szCs w:val="22"/>
        </w:rPr>
        <w:t xml:space="preserve">The decision was formally adopted under Article 6(1)(b) and Article 6(2) of the Merger Regulation, emphasizing the importance of compliance with the outlined conditions and obligations.</w:t>
      </w:r>
      <w:hyperlink w:history="1" r:id="rIdrskb-ulgtc2gwxmsi7sfw">
        <w:r>
          <w:rPr>
            <w:rFonts w:ascii="Calibri" w:cs="Calibri" w:eastAsia="Calibri" w:hAnsi="Calibri"/>
            <w:color w:val="1F4E5F"/>
            <w:sz w:val="22"/>
            <w:szCs w:val="22"/>
            <w:u w:val="single"/>
          </w:rPr>
          <w:t xml:space="preserve">[19]</w:t>
        </w:r>
      </w:hyperlink>
    </w:p>
    <w:p>
      <w:pPr>
        <w:spacing w:after="16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hjgshknb28xqnwrsnmr9v">
        <w:r>
          <w:rPr>
            <w:rFonts w:ascii="Calibri" w:cs="Calibri" w:eastAsia="Calibri" w:hAnsi="Calibri"/>
            <w:color w:val="1F4E5F"/>
            <w:sz w:val="22"/>
            <w:szCs w:val="22"/>
            <w:u w:val="single"/>
          </w:rPr>
          <w:t xml:space="preserve">EU merger review in digital and technology markets</w:t>
        </w:r>
      </w:hyperlink>
    </w:p>
    <w:p>
      <w:pPr>
        <w:pStyle w:val="ListParagraph"/>
        <w:numPr>
          <w:ilvl w:val="0"/>
          <w:numId w:val="2"/>
        </w:numPr>
        <w:spacing w:after="100"/>
      </w:pPr>
      <w:hyperlink w:history="1" r:id="rIdotvvdcb8twwgwxftfaenf">
        <w:r>
          <w:rPr>
            <w:rFonts w:ascii="Calibri" w:cs="Calibri" w:eastAsia="Calibri" w:hAnsi="Calibri"/>
            <w:color w:val="1F4E5F"/>
            <w:sz w:val="22"/>
            <w:szCs w:val="22"/>
            <w:u w:val="single"/>
          </w:rPr>
          <w:t xml:space="preserve">ICN Summary Report on Webinars on Digital Mergers</w:t>
        </w:r>
      </w:hyperlink>
    </w:p>
    <w:p>
      <w:pPr>
        <w:pStyle w:val="ListParagraph"/>
        <w:numPr>
          <w:ilvl w:val="0"/>
          <w:numId w:val="2"/>
        </w:numPr>
        <w:spacing w:after="100"/>
      </w:pPr>
      <w:hyperlink w:history="1" r:id="rIdzzjheetqimaezoi4km287">
        <w:r>
          <w:rPr>
            <w:rFonts w:ascii="Calibri" w:cs="Calibri" w:eastAsia="Calibri" w:hAnsi="Calibri"/>
            <w:color w:val="1F4E5F"/>
            <w:sz w:val="22"/>
            <w:szCs w:val="22"/>
            <w:u w:val="single"/>
          </w:rPr>
          <w:t xml:space="preserve">CMA compendium of approaches to digital markets competition</w:t>
        </w:r>
      </w:hyperlink>
    </w:p>
    <w:p>
      <w:pPr>
        <w:pStyle w:val="ListParagraph"/>
        <w:numPr>
          <w:ilvl w:val="0"/>
          <w:numId w:val="2"/>
        </w:numPr>
        <w:spacing w:after="100"/>
      </w:pPr>
      <w:hyperlink w:history="1" r:id="rIdv5pujted-wgrij5vezz6w">
        <w:r>
          <w:rPr>
            <w:rFonts w:ascii="Calibri" w:cs="Calibri" w:eastAsia="Calibri" w:hAnsi="Calibri"/>
            <w:color w:val="1F4E5F"/>
            <w:sz w:val="22"/>
            <w:szCs w:val="22"/>
            <w:u w:val="single"/>
          </w:rPr>
          <w:t xml:space="preserve">Academic analysis of digital merger remedies</w:t>
        </w:r>
      </w:hyperlink>
    </w:p>
    <w:p>
      <w:pPr>
        <w:pStyle w:val="ListParagraph"/>
        <w:numPr>
          <w:ilvl w:val="0"/>
          <w:numId w:val="2"/>
        </w:numPr>
        <w:spacing w:after="100"/>
      </w:pPr>
      <w:hyperlink w:history="1" r:id="rIdxfsljxktbd5qtqjw1ykkw">
        <w:r>
          <w:rPr>
            <w:rFonts w:ascii="Calibri" w:cs="Calibri" w:eastAsia="Calibri" w:hAnsi="Calibri"/>
            <w:color w:val="1F4E5F"/>
            <w:sz w:val="22"/>
            <w:szCs w:val="22"/>
            <w:u w:val="single"/>
          </w:rPr>
          <w:t xml:space="preserve">EU competition policy brief on digital mergers</w:t>
        </w:r>
      </w:hyperlink>
    </w:p>
    <w:p>
      <w:pPr>
        <w:pStyle w:val="ListParagraph"/>
        <w:numPr>
          <w:ilvl w:val="0"/>
          <w:numId w:val="2"/>
        </w:numPr>
        <w:spacing w:after="100"/>
      </w:pPr>
      <w:hyperlink w:history="1" r:id="rIdwjgz7vke0-phgbsoef66g">
        <w:r>
          <w:rPr>
            <w:rFonts w:ascii="Calibri" w:cs="Calibri" w:eastAsia="Calibri" w:hAnsi="Calibri"/>
            <w:color w:val="1F4E5F"/>
            <w:sz w:val="22"/>
            <w:szCs w:val="22"/>
            <w:u w:val="single"/>
          </w:rPr>
          <w:t xml:space="preserve">CMA digital markets competition regime guidance</w:t>
        </w:r>
      </w:hyperlink>
    </w:p>
    <w:p>
      <w:pPr>
        <w:pStyle w:val="ListParagraph"/>
        <w:numPr>
          <w:ilvl w:val="0"/>
          <w:numId w:val="2"/>
        </w:numPr>
        <w:spacing w:after="100"/>
      </w:pPr>
      <w:hyperlink w:history="1" r:id="rIdlpvqtjuehipmcynsya8jn">
        <w:r>
          <w:rPr>
            <w:rFonts w:ascii="Calibri" w:cs="Calibri" w:eastAsia="Calibri" w:hAnsi="Calibri"/>
            <w:color w:val="1F4E5F"/>
            <w:sz w:val="22"/>
            <w:szCs w:val="22"/>
            <w:u w:val="single"/>
          </w:rPr>
          <w:t xml:space="preserve">CMA penalties and remedies policy</w:t>
        </w:r>
      </w:hyperlink>
    </w:p>
    <w:p>
      <w:pPr>
        <w:pStyle w:val="ListParagraph"/>
        <w:numPr>
          <w:ilvl w:val="0"/>
          <w:numId w:val="2"/>
        </w:numPr>
        <w:spacing w:after="100"/>
      </w:pPr>
      <w:hyperlink w:history="1" r:id="rIdfgakzv2uitnhqgshwn8uo">
        <w:r>
          <w:rPr>
            <w:rFonts w:ascii="Calibri" w:cs="Calibri" w:eastAsia="Calibri" w:hAnsi="Calibri"/>
            <w:color w:val="1F4E5F"/>
            <w:sz w:val="22"/>
            <w:szCs w:val="22"/>
            <w:u w:val="single"/>
          </w:rPr>
          <w:t xml:space="preserve">OECD Handbook on competition policy in the digital age</w:t>
        </w:r>
      </w:hyperlink>
    </w:p>
    <w:p>
      <w:pPr>
        <w:pStyle w:val="ListParagraph"/>
        <w:numPr>
          <w:ilvl w:val="0"/>
          <w:numId w:val="2"/>
        </w:numPr>
        <w:spacing w:after="100"/>
      </w:pPr>
      <w:hyperlink w:history="1" r:id="rIdvfpzyuuyek7boiw_c-eb_">
        <w:r>
          <w:rPr>
            <w:rFonts w:ascii="Calibri" w:cs="Calibri" w:eastAsia="Calibri" w:hAnsi="Calibri"/>
            <w:color w:val="1F4E5F"/>
            <w:sz w:val="22"/>
            <w:szCs w:val="22"/>
            <w:u w:val="single"/>
          </w:rPr>
          <w:t xml:space="preserve">EU Merger Guidelines review</w:t>
        </w:r>
      </w:hyperlink>
    </w:p>
    <w:p>
      <w:pPr>
        <w:pStyle w:val="ListParagraph"/>
        <w:numPr>
          <w:ilvl w:val="0"/>
          <w:numId w:val="2"/>
        </w:numPr>
        <w:spacing w:after="100"/>
      </w:pPr>
      <w:hyperlink w:history="1" r:id="rIdtarxsh6l3f9-xs564zbny">
        <w:r>
          <w:rPr>
            <w:rFonts w:ascii="Calibri" w:cs="Calibri" w:eastAsia="Calibri" w:hAnsi="Calibri"/>
            <w:color w:val="1F4E5F"/>
            <w:sz w:val="22"/>
            <w:szCs w:val="22"/>
            <w:u w:val="single"/>
          </w:rPr>
          <w:t xml:space="preserve">CMA mergers guidance on jurisdiction and procedure</w:t>
        </w:r>
      </w:hyperlink>
    </w:p>
    <w:p>
      <w:pPr>
        <w:pStyle w:val="ListParagraph"/>
        <w:numPr>
          <w:ilvl w:val="0"/>
          <w:numId w:val="2"/>
        </w:numPr>
        <w:spacing w:after="100"/>
      </w:pPr>
      <w:hyperlink w:history="1" r:id="rIdh9qtx74c3th-ajghjax2b">
        <w:r>
          <w:rPr>
            <w:rFonts w:ascii="Calibri" w:cs="Calibri" w:eastAsia="Calibri" w:hAnsi="Calibri"/>
            <w:color w:val="1F4E5F"/>
            <w:sz w:val="22"/>
            <w:szCs w:val="22"/>
            <w:u w:val="single"/>
          </w:rPr>
          <w:t xml:space="preserve">OECD Merger Remedies</w:t>
        </w:r>
      </w:hyperlink>
    </w:p>
    <w:p>
      <w:pPr>
        <w:pStyle w:val="ListParagraph"/>
        <w:numPr>
          <w:ilvl w:val="0"/>
          <w:numId w:val="2"/>
        </w:numPr>
        <w:spacing w:after="100"/>
      </w:pPr>
      <w:hyperlink w:history="1" r:id="rId8nywexpadud9bkb2he7de">
        <w:r>
          <w:rPr>
            <w:rFonts w:ascii="Calibri" w:cs="Calibri" w:eastAsia="Calibri" w:hAnsi="Calibri"/>
            <w:color w:val="1F4E5F"/>
            <w:sz w:val="22"/>
            <w:szCs w:val="22"/>
            <w:u w:val="single"/>
          </w:rPr>
          <w:t xml:space="preserve">OECD - Shaping the Future of Merger Control</w:t>
        </w:r>
      </w:hyperlink>
    </w:p>
    <w:p>
      <w:pPr>
        <w:pStyle w:val="ListParagraph"/>
        <w:numPr>
          <w:ilvl w:val="0"/>
          <w:numId w:val="2"/>
        </w:numPr>
        <w:spacing w:after="100"/>
      </w:pPr>
      <w:hyperlink w:history="1" r:id="rId-ur6uro2_qsnwmsnrgwwo">
        <w:r>
          <w:rPr>
            <w:rFonts w:ascii="Calibri" w:cs="Calibri" w:eastAsia="Calibri" w:hAnsi="Calibri"/>
            <w:color w:val="1F4E5F"/>
            <w:sz w:val="22"/>
            <w:szCs w:val="22"/>
            <w:u w:val="single"/>
          </w:rPr>
          <w:t xml:space="preserve">OECD roundtable - theories of harm for digital mergers</w:t>
        </w:r>
      </w:hyperlink>
    </w:p>
    <w:p>
      <w:pPr>
        <w:pStyle w:val="ListParagraph"/>
        <w:numPr>
          <w:ilvl w:val="0"/>
          <w:numId w:val="2"/>
        </w:numPr>
        <w:spacing w:after="100"/>
      </w:pPr>
      <w:hyperlink w:history="1" r:id="rIdhwxy0t3xdk07rtax_y40p">
        <w:r>
          <w:rPr>
            <w:rFonts w:ascii="Calibri" w:cs="Calibri" w:eastAsia="Calibri" w:hAnsi="Calibri"/>
            <w:color w:val="1F4E5F"/>
            <w:sz w:val="22"/>
            <w:szCs w:val="22"/>
            <w:u w:val="single"/>
          </w:rPr>
          <w:t xml:space="preserve">EU competition policy briefs</w:t>
        </w:r>
      </w:hyperlink>
    </w:p>
    <w:p>
      <w:pPr>
        <w:pStyle w:val="ListParagraph"/>
        <w:numPr>
          <w:ilvl w:val="0"/>
          <w:numId w:val="2"/>
        </w:numPr>
        <w:spacing w:after="100"/>
      </w:pPr>
      <w:hyperlink w:history="1" r:id="rIdkuabbapivarsldnj-5euc">
        <w:r>
          <w:rPr>
            <w:rFonts w:ascii="Calibri" w:cs="Calibri" w:eastAsia="Calibri" w:hAnsi="Calibri"/>
            <w:color w:val="1F4E5F"/>
            <w:sz w:val="22"/>
            <w:szCs w:val="22"/>
            <w:u w:val="single"/>
          </w:rPr>
          <w:t xml:space="preserve">OECD - Remedies in Merger Cases</w:t>
        </w:r>
      </w:hyperlink>
    </w:p>
    <w:p>
      <w:pPr>
        <w:pStyle w:val="ListParagraph"/>
        <w:numPr>
          <w:ilvl w:val="0"/>
          <w:numId w:val="2"/>
        </w:numPr>
        <w:spacing w:after="100"/>
      </w:pPr>
      <w:hyperlink w:history="1" r:id="rIdq_n_4tl-22fyzngt3i0sk">
        <w:r>
          <w:rPr>
            <w:rFonts w:ascii="Calibri" w:cs="Calibri" w:eastAsia="Calibri" w:hAnsi="Calibri"/>
            <w:color w:val="1F4E5F"/>
            <w:sz w:val="22"/>
            <w:szCs w:val="22"/>
            <w:u w:val="single"/>
          </w:rPr>
          <w:t xml:space="preserve">OECD Handbook on competition policy in the digital age (2022)</w:t>
        </w:r>
      </w:hyperlink>
    </w:p>
    <w:p>
      <w:pPr>
        <w:pStyle w:val="ListParagraph"/>
        <w:numPr>
          <w:ilvl w:val="0"/>
          <w:numId w:val="2"/>
        </w:numPr>
        <w:spacing w:after="100"/>
      </w:pPr>
      <w:hyperlink w:history="1" r:id="rIdrpuxnye-ya_i25zmyyh-j">
        <w:r>
          <w:rPr>
            <w:rFonts w:ascii="Calibri" w:cs="Calibri" w:eastAsia="Calibri" w:hAnsi="Calibri"/>
            <w:color w:val="1F4E5F"/>
            <w:sz w:val="22"/>
            <w:szCs w:val="22"/>
            <w:u w:val="single"/>
          </w:rPr>
          <w:t xml:space="preserve">OECD - competition and consumer policy in digital markets</w:t>
        </w:r>
      </w:hyperlink>
    </w:p>
    <w:p>
      <w:pPr>
        <w:pStyle w:val="ListParagraph"/>
        <w:numPr>
          <w:ilvl w:val="0"/>
          <w:numId w:val="2"/>
        </w:numPr>
        <w:spacing w:after="100"/>
      </w:pPr>
      <w:hyperlink w:history="1" r:id="rIdcfdiekvyggesdkj6ctqbq">
        <w:r>
          <w:rPr>
            <w:rFonts w:ascii="Calibri" w:cs="Calibri" w:eastAsia="Calibri" w:hAnsi="Calibri"/>
            <w:color w:val="1F4E5F"/>
            <w:sz w:val="22"/>
            <w:szCs w:val="22"/>
            <w:u w:val="single"/>
          </w:rPr>
          <w:t xml:space="preserve">CMA penalties and remedies policy (document)</w:t>
        </w:r>
      </w:hyperlink>
    </w:p>
    <w:p>
      <w:pPr>
        <w:pStyle w:val="ListParagraph"/>
        <w:numPr>
          <w:ilvl w:val="0"/>
          <w:numId w:val="2"/>
        </w:numPr>
        <w:spacing w:after="100"/>
      </w:pPr>
      <w:hyperlink w:history="1" r:id="rIdfwa63siwshuptge9fe2yv">
        <w:r>
          <w:rPr>
            <w:rFonts w:ascii="Calibri" w:cs="Calibri" w:eastAsia="Calibri" w:hAnsi="Calibri"/>
            <w:color w:val="1F4E5F"/>
            <w:sz w:val="22"/>
            <w:szCs w:val="22"/>
            <w:u w:val="single"/>
          </w:rPr>
          <w:t xml:space="preserve">COMP/M.5669 - Cisco/Tandberg - Case Decision</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kjoojkr33hnlhkuzns" Type="http://schemas.openxmlformats.org/officeDocument/2006/relationships/hyperlink" Target="https://competition-policy.ec.europa.eu/system/files/2022-12/kd0422317enn_merger_review_in_digital_and_tech_markets_1.pdf" TargetMode="External"/><Relationship Id="rId6qx6ncoc9oovn1ybw_6wv" Type="http://schemas.openxmlformats.org/officeDocument/2006/relationships/hyperlink" Target="https://www.cdhowe.org/wp-content/uploads/2024/06/oecd-handbook-on-competition-policy-in-the-digital-age.pdf" TargetMode="External"/><Relationship Id="rId4iua4eahwc_vhkxpsru3u" Type="http://schemas.openxmlformats.org/officeDocument/2006/relationships/hyperlink" Target="https://competition-policy.ec.europa.eu/mergers/review-merger-guidelines_en" TargetMode="External"/><Relationship Id="rIdt40mvh0ighrw_4jghx17m" Type="http://schemas.openxmlformats.org/officeDocument/2006/relationships/hyperlink" Target="https://competition-policy.ec.europa.eu/system/files/2022-12/kd0422317enn_merger_review_in_digital_and_tech_markets_1.pdf" TargetMode="External"/><Relationship Id="rIddoqqpm-75vrx5uod-mcdw" Type="http://schemas.openxmlformats.org/officeDocument/2006/relationships/hyperlink" Target="https://competition-policy.ec.europa.eu/mergers/review-merger-guidelines_en" TargetMode="External"/><Relationship Id="rId-rv40q0upypdjweld56gx" Type="http://schemas.openxmlformats.org/officeDocument/2006/relationships/hyperlink" Target="https://competition-policy.ec.europa.eu/mergers/review-merger-guidelines_en" TargetMode="External"/><Relationship Id="rIdd7y-rnfudcsxh4-bxesck" Type="http://schemas.openxmlformats.org/officeDocument/2006/relationships/hyperlink" Target="https://competition-policy.ec.europa.eu/system/files/2022-12/kd0422317enn_merger_review_in_digital_and_tech_markets_1.pdf" TargetMode="External"/><Relationship Id="rIdoatkbj1hbpkjyrq9lkg7e" Type="http://schemas.openxmlformats.org/officeDocument/2006/relationships/hyperlink" Target="https://competition-policy.ec.europa.eu/document/download/85df68c6-a8db-4662-b988-08e3287a1936_en" TargetMode="External"/><Relationship Id="rIdjekugxsxbqjtlrgeguqro" Type="http://schemas.openxmlformats.org/officeDocument/2006/relationships/hyperlink" Target="https://competition-policy.ec.europa.eu/mergers/review-merger-guidelines_en" TargetMode="External"/><Relationship Id="rId67-mlofkeyvs1485z90k-" Type="http://schemas.openxmlformats.org/officeDocument/2006/relationships/hyperlink" Target="https://competition-policy.ec.europa.eu/system/files/2022-12/kd0422317enn_merger_review_in_digital_and_tech_markets_1.pdf" TargetMode="External"/><Relationship Id="rIdrvcma3lolvsw8jqadcisq" Type="http://schemas.openxmlformats.org/officeDocument/2006/relationships/hyperlink" Target="https://www.cdhowe.org/wp-content/uploads/2024/06/oecd-handbook-on-competition-policy-in-the-digital-age.pdf" TargetMode="External"/><Relationship Id="rIdbufq28byn4cs6fex6xdsy" Type="http://schemas.openxmlformats.org/officeDocument/2006/relationships/hyperlink" Target="https://competition-policy.ec.europa.eu/mergers/review-merger-guidelines_en" TargetMode="External"/><Relationship Id="rIdosknqjy7uxzraadcbqcmu" Type="http://schemas.openxmlformats.org/officeDocument/2006/relationships/hyperlink" Target="https://competition-policy.ec.europa.eu/system/files/2023-01/kdak22002enn_competition_policy_brief_digital_mergers.pdf" TargetMode="External"/><Relationship Id="rIdza8_evwtxrlie4i5n5mso" Type="http://schemas.openxmlformats.org/officeDocument/2006/relationships/hyperlink" Target="https://competition-policy.ec.europa.eu/document/download/85df68c6-a8db-4662-b988-08e3287a1936_en" TargetMode="External"/><Relationship Id="rIddf0e_eqdkvykpwhe5hkqz" Type="http://schemas.openxmlformats.org/officeDocument/2006/relationships/hyperlink" Target="https://www.gov.uk/government/publications/digital-markets-competition-regime-guidance" TargetMode="External"/><Relationship Id="rId-yy-fnngq6b_glo3nm92d" Type="http://schemas.openxmlformats.org/officeDocument/2006/relationships/hyperlink" Target="https://www.gov.uk/government/publications/administrative-penalties-statement-of-policy-on-the-cmas-approach" TargetMode="External"/><Relationship Id="rIdz35eqxbmayo_hjdrt0rs8" Type="http://schemas.openxmlformats.org/officeDocument/2006/relationships/hyperlink" Target="https://competition-policy.ec.europa.eu/mergers/review-merger-guidelines_en" TargetMode="External"/><Relationship Id="rIdmzg1ahn4unhuxeccozfrw" Type="http://schemas.openxmlformats.org/officeDocument/2006/relationships/hyperlink" Target="https://competition-policy.ec.europa.eu/document/download/85df68c6-a8db-4662-b988-08e3287a1936_en" TargetMode="External"/><Relationship Id="rIdjnqxmc6xen_xmcmehrzph" Type="http://schemas.openxmlformats.org/officeDocument/2006/relationships/hyperlink" Target="https://competition-policy.ec.europa.eu/mergers/review-merger-guidelines_en" TargetMode="External"/><Relationship Id="rIdfr407_6pdlb61tf-1h1pc" Type="http://schemas.openxmlformats.org/officeDocument/2006/relationships/hyperlink" Target="https://competition-policy.ec.europa.eu/document/download/85df68c6-a8db-4662-b988-08e3287a1936_en" TargetMode="External"/><Relationship Id="rIdu2gsxel4moyuygz911zcd" Type="http://schemas.openxmlformats.org/officeDocument/2006/relationships/hyperlink" Target="https://competition-policy.ec.europa.eu/mergers/review-merger-guidelines_en" TargetMode="External"/><Relationship Id="rIdd5q7yzjkxtz-aizyropkq" Type="http://schemas.openxmlformats.org/officeDocument/2006/relationships/hyperlink" Target="https://www.oecd.org/en/events/2026/01/shaping-the-future-of-merger-control.html" TargetMode="External"/><Relationship Id="rIdqzmjf-yvo56frd6cekvkw" Type="http://schemas.openxmlformats.org/officeDocument/2006/relationships/hyperlink" Target="https://competition-policy.ec.europa.eu/document/download/85df68c6-a8db-4662-b988-08e3287a1936_en" TargetMode="External"/><Relationship Id="rIdyodiytmjprkl1jb0nytg_" Type="http://schemas.openxmlformats.org/officeDocument/2006/relationships/hyperlink" Target="https://competition-policy.ec.europa.eu/mergers/review-merger-guidelines_en" TargetMode="External"/><Relationship Id="rIdl3ta5i0ldlbnoe99kzinb" Type="http://schemas.openxmlformats.org/officeDocument/2006/relationships/hyperlink" Target="https://competition-policy.ec.europa.eu/system/files/2023-01/kdak22002enn_competition_policy_brief_digital_mergers.pdf" TargetMode="External"/><Relationship Id="rId98hdr12zsuhoy7klp_3h9" Type="http://schemas.openxmlformats.org/officeDocument/2006/relationships/hyperlink" Target="https://competition-policy.ec.europa.eu/system/files/2022-12/kd0422317enn_merger_review_in_digital_and_tech_markets_1.pdf" TargetMode="External"/><Relationship Id="rId0atc7oi_yuuftoerzeqnn" Type="http://schemas.openxmlformats.org/officeDocument/2006/relationships/hyperlink" Target="https://competition-policy.ec.europa.eu/document/download/85df68c6-a8db-4662-b988-08e3287a1936_en" TargetMode="External"/><Relationship Id="rIdkpiduwk42ogkryjcio8v-" Type="http://schemas.openxmlformats.org/officeDocument/2006/relationships/hyperlink" Target="https://www.gov.uk/government/publications/digital-markets-competition-regime-guidance" TargetMode="External"/><Relationship Id="rIdtnbxbxo--uip9igqoflfj" Type="http://schemas.openxmlformats.org/officeDocument/2006/relationships/hyperlink" Target="https://www.gov.uk/government/publications/administrative-penalties-statement-of-policy-on-the-cmas-approach" TargetMode="External"/><Relationship Id="rId6s4xc_g4ahwdg2zqfsbbh" Type="http://schemas.openxmlformats.org/officeDocument/2006/relationships/hyperlink" Target="https://competition-policy.ec.europa.eu/system/files/2022-12/kd0422317enn_merger_review_in_digital_and_tech_markets_1.pdf" TargetMode="External"/><Relationship Id="rIdvsmwnwncdcsx6wbbpghkk" Type="http://schemas.openxmlformats.org/officeDocument/2006/relationships/hyperlink" Target="https://www.cdhowe.org/wp-content/uploads/2024/06/oecd-handbook-on-competition-policy-in-the-digital-age.pdf" TargetMode="External"/><Relationship Id="rId9adxfaa4ye0xomc17kblc" Type="http://schemas.openxmlformats.org/officeDocument/2006/relationships/hyperlink" Target="https://www.cdhowe.org/wp-content/uploads/2024/06/oecd-handbook-on-competition-policy-in-the-digital-age.pdf" TargetMode="External"/><Relationship Id="rIdnpmziksvrwp5r4icjbsh8" Type="http://schemas.openxmlformats.org/officeDocument/2006/relationships/hyperlink" Target="https://competition-policy.ec.europa.eu/system/files/2022-12/kd0422317enn_merger_review_in_digital_and_tech_markets_1.pdf" TargetMode="External"/><Relationship Id="rIdc-puy8urmdpr7njfn4jnm" Type="http://schemas.openxmlformats.org/officeDocument/2006/relationships/hyperlink" Target="https://competition-policy.ec.europa.eu/mergers/review-merger-guidelines_en" TargetMode="External"/><Relationship Id="rIdaqhfiuslvnc3zxok6l9qn" Type="http://schemas.openxmlformats.org/officeDocument/2006/relationships/hyperlink" Target="https://competition-policy.ec.europa.eu/mergers/review-merger-guidelines_en" TargetMode="External"/><Relationship Id="rIdnkcmqsezp4rt7xmreeibl" Type="http://schemas.openxmlformats.org/officeDocument/2006/relationships/hyperlink" Target="https://competition-policy.ec.europa.eu/system/files/2022-12/kd0422317enn_merger_review_in_digital_and_tech_markets_1.pdf" TargetMode="External"/><Relationship Id="rIdl38afmox6qfaj3xit8hi6" Type="http://schemas.openxmlformats.org/officeDocument/2006/relationships/hyperlink" Target="https://www.gov.uk/government/publications/digital-markets-competition-regime-guidance" TargetMode="External"/><Relationship Id="rIdxd4htn7pcwzedw91rv-lu" Type="http://schemas.openxmlformats.org/officeDocument/2006/relationships/hyperlink" Target="https://www.gov.uk/government/publications/administrative-penalties-statement-of-policy-on-the-cmas-approach" TargetMode="External"/><Relationship Id="rIdaqlu-lrhgvk7fpus8rrry" Type="http://schemas.openxmlformats.org/officeDocument/2006/relationships/hyperlink" Target="https://competition-policy.ec.europa.eu/mergers/review-merger-guidelines_en" TargetMode="External"/><Relationship Id="rId-odvyej0clkqzchlnbab-" Type="http://schemas.openxmlformats.org/officeDocument/2006/relationships/hyperlink" Target="https://competition-policy.ec.europa.eu/document/download/85df68c6-a8db-4662-b988-08e3287a1936_en" TargetMode="External"/><Relationship Id="rId9jtnac1tmecvxpfaevfkm" Type="http://schemas.openxmlformats.org/officeDocument/2006/relationships/hyperlink" Target="https://competition-policy.ec.europa.eu/mergers/review-merger-guidelines_en" TargetMode="External"/><Relationship Id="rIdokoq9ipgxd7l2he9dxt9g" Type="http://schemas.openxmlformats.org/officeDocument/2006/relationships/hyperlink" Target="https://www.oecd.org/en/events/2026/01/shaping-the-future-of-merger-control.html" TargetMode="External"/><Relationship Id="rIdlgwabun7gmes8b3ykdjng" Type="http://schemas.openxmlformats.org/officeDocument/2006/relationships/hyperlink" Target="https://competition-policy.ec.europa.eu/document/download/85df68c6-a8db-4662-b988-08e3287a1936_en" TargetMode="External"/><Relationship Id="rIdogkyqawcwbrpenyherfh3" Type="http://schemas.openxmlformats.org/officeDocument/2006/relationships/hyperlink" Target="https://www.oecd.org/en/events/2023/06/theories-of-harm-for-digital-mergers.html" TargetMode="External"/><Relationship Id="rIdp7k7-6nf0um5ou6biuuyp" Type="http://schemas.openxmlformats.org/officeDocument/2006/relationships/hyperlink" Target="https://competition-policy.ec.europa.eu/mergers/review-merger-guidelines_en" TargetMode="External"/><Relationship Id="rIdmqnxri4b67xamajzvoakq" Type="http://schemas.openxmlformats.org/officeDocument/2006/relationships/hyperlink" Target="https://competition-policy.ec.europa.eu/mergers/review-merger-guidelines_en" TargetMode="External"/><Relationship Id="rId_ea3mwgexwafw9sy4uehh" Type="http://schemas.openxmlformats.org/officeDocument/2006/relationships/hyperlink" Target="https://competition-policy.ec.europa.eu/system/files/2022-12/kd0422317enn_merger_review_in_digital_and_tech_markets_1.pdf" TargetMode="External"/><Relationship Id="rIdyg9iwyqtkqanrnhhehjno" Type="http://schemas.openxmlformats.org/officeDocument/2006/relationships/hyperlink" Target="https://www.cdhowe.org/wp-content/uploads/2024/06/oecd-handbook-on-competition-policy-in-the-digital-age.pdf" TargetMode="External"/><Relationship Id="rIdfnnva72a9iu3yzku1y5rd" Type="http://schemas.openxmlformats.org/officeDocument/2006/relationships/hyperlink" Target="https://www.gov.uk/government/publications/digital-markets-competition-regime-guidance" TargetMode="External"/><Relationship Id="rIdft2qs1eus9rpgkhwg5pe1" Type="http://schemas.openxmlformats.org/officeDocument/2006/relationships/hyperlink" Target="https://www.gov.uk/government/publications/administrative-penalties-statement-of-policy-on-the-cmas-approach" TargetMode="External"/><Relationship Id="rIdxrqfkfgvbrrnvqrvytm8m" Type="http://schemas.openxmlformats.org/officeDocument/2006/relationships/hyperlink" Target="https://competition-policy.ec.europa.eu/mergers/review-merger-guidelines_en" TargetMode="External"/><Relationship Id="rIddw2h3rcrbvrnxemcvalul" Type="http://schemas.openxmlformats.org/officeDocument/2006/relationships/hyperlink" Target="https://www.oecd.org/en/events/2023/06/theories-of-harm-for-digital-mergers.html" TargetMode="External"/><Relationship Id="rIdkrbsrnq5ys8-ijsd9byxp" Type="http://schemas.openxmlformats.org/officeDocument/2006/relationships/hyperlink" Target="https://www.oecd.org/en/events/2023/06/theories-of-harm-for-digital-mergers.html" TargetMode="External"/><Relationship Id="rIdzcthbcuvfysmkdnrlogh-" Type="http://schemas.openxmlformats.org/officeDocument/2006/relationships/hyperlink" Target="https://competition-policy.ec.europa.eu/mergers/review-merger-guidelines_en" TargetMode="External"/><Relationship Id="rIdsauyeybqu4dby2cfxkqsn" Type="http://schemas.openxmlformats.org/officeDocument/2006/relationships/hyperlink" Target="https://competition-policy.ec.europa.eu/system/files/2023-01/kdak22002enn_competition_policy_brief_digital_mergers.pdf" TargetMode="External"/><Relationship Id="rIdr4zdnelcf_hw7oonusota" Type="http://schemas.openxmlformats.org/officeDocument/2006/relationships/hyperlink" Target="https://www.oecd.org/en/events/2023/06/theories-of-harm-for-digital-mergers.html" TargetMode="External"/><Relationship Id="rIdajbwsqfbqu4l5zhnfxuxk" Type="http://schemas.openxmlformats.org/officeDocument/2006/relationships/hyperlink" Target="https://www.oecd.org/en/events/2026/01/shaping-the-future-of-merger-control.html" TargetMode="External"/><Relationship Id="rIdxh1bigxxdf3blb3-fzc9v" Type="http://schemas.openxmlformats.org/officeDocument/2006/relationships/hyperlink" Target="https://www.oecd.org/en/publications/merger-remedies_82acbd58-en.html" TargetMode="External"/><Relationship Id="rIdruikp6xmowecisczgt9nj" Type="http://schemas.openxmlformats.org/officeDocument/2006/relationships/hyperlink" Target="https://www.gov.uk/government/publications/digital-markets-competition-regime-guidance" TargetMode="External"/><Relationship Id="rIdm7b9sbea--skolwmhegfg" Type="http://schemas.openxmlformats.org/officeDocument/2006/relationships/hyperlink" Target="https://www.gov.uk/government/publications/administrative-penalties-statement-of-policy-on-the-cmas-approach" TargetMode="External"/><Relationship Id="rIdtalwil4jz7zfmm9a9e7wa" Type="http://schemas.openxmlformats.org/officeDocument/2006/relationships/hyperlink" Target="https://www.oecd.org/en/events/2023/06/theories-of-harm-for-digital-mergers.html" TargetMode="External"/><Relationship Id="rIduqddbajav2uclmi60ucsp" Type="http://schemas.openxmlformats.org/officeDocument/2006/relationships/hyperlink" Target="https://competition-policy.ec.europa.eu/system/files/2022-12/kd0422317enn_merger_review_in_digital_and_tech_markets_1.pdf" TargetMode="External"/><Relationship Id="rIdenx5ilrjefyiviabrz5be" Type="http://schemas.openxmlformats.org/officeDocument/2006/relationships/hyperlink" Target="https://competition-policy.ec.europa.eu/system/files/2023-01/kdak22002enn_competition_policy_brief_digital_mergers.pdf" TargetMode="External"/><Relationship Id="rId1aqjvnddikqprqp93ilma" Type="http://schemas.openxmlformats.org/officeDocument/2006/relationships/hyperlink" Target="https://www.oecd.org/en/publications/merger-remedies_82acbd58-en.html" TargetMode="External"/><Relationship Id="rId0-0k0gpytfrb2nz7iqsyl" Type="http://schemas.openxmlformats.org/officeDocument/2006/relationships/hyperlink" Target="https://www.cdhowe.org/wp-content/uploads/2024/06/oecd-handbook-on-competition-policy-in-the-digital-age.pdf" TargetMode="External"/><Relationship Id="rIdltriy63w3wjkv2aowhscj" Type="http://schemas.openxmlformats.org/officeDocument/2006/relationships/hyperlink" Target="https://www.gov.uk/government/publications/digital-markets-competition-regime-guidance" TargetMode="External"/><Relationship Id="rIdvybjobnqmyazg28ubz0vg" Type="http://schemas.openxmlformats.org/officeDocument/2006/relationships/hyperlink" Target="https://www.gov.uk/government/publications/administrative-penalties-statement-of-policy-on-the-cmas-approach" TargetMode="External"/><Relationship Id="rIdlhzdynvsrmx7i-ungairk" Type="http://schemas.openxmlformats.org/officeDocument/2006/relationships/hyperlink" Target="https://ec.europa.eu/competition/mergers/cases/decisions/m5669_2153_2.pdf" TargetMode="External"/><Relationship Id="rIda1lxvzriegnyxiyicrntx" Type="http://schemas.openxmlformats.org/officeDocument/2006/relationships/hyperlink" Target="https://ec.europa.eu/competition/mergers/cases/decisions/m5669_2153_2.pdf" TargetMode="External"/><Relationship Id="rIdmcbbiddgpovgqntynnn5w" Type="http://schemas.openxmlformats.org/officeDocument/2006/relationships/hyperlink" Target="https://ec.europa.eu/competition/mergers/cases/decisions/m5669_2153_2.pdf" TargetMode="External"/><Relationship Id="rIdwbv5p3gjkeccfginhhf2w" Type="http://schemas.openxmlformats.org/officeDocument/2006/relationships/hyperlink" Target="https://ec.europa.eu/competition/mergers/cases/decisions/m5669_2153_2.pdf" TargetMode="External"/><Relationship Id="rIds5ujvnmptxscdyxlwkrou" Type="http://schemas.openxmlformats.org/officeDocument/2006/relationships/hyperlink" Target="https://ec.europa.eu/competition/mergers/cases/decisions/m5669_2153_2.pdf" TargetMode="External"/><Relationship Id="rIdxc8sr8dwqtjaak6fqtmyg" Type="http://schemas.openxmlformats.org/officeDocument/2006/relationships/hyperlink" Target="https://ec.europa.eu/competition/mergers/cases/decisions/m5669_2153_2.pdf" TargetMode="External"/><Relationship Id="rIdixptu0qxj0te_c5x31qc3" Type="http://schemas.openxmlformats.org/officeDocument/2006/relationships/hyperlink" Target="https://ec.europa.eu/competition/mergers/cases/decisions/m5669_2153_2.pdf" TargetMode="External"/><Relationship Id="rIdvfvnqrilm0kqb8fm7s5d4" Type="http://schemas.openxmlformats.org/officeDocument/2006/relationships/hyperlink" Target="https://ec.europa.eu/competition/mergers/cases/decisions/m5669_2153_2.pdf" TargetMode="External"/><Relationship Id="rIdje9z902_8gxktt-kwtr6f" Type="http://schemas.openxmlformats.org/officeDocument/2006/relationships/hyperlink" Target="https://ec.europa.eu/competition/mergers/cases/decisions/m5669_2153_2.pdf" TargetMode="External"/><Relationship Id="rIdzd4dsotqdlcvkqe9u0c7m" Type="http://schemas.openxmlformats.org/officeDocument/2006/relationships/hyperlink" Target="https://ec.europa.eu/competition/mergers/cases/decisions/m5669_2153_2.pdf" TargetMode="External"/><Relationship Id="rId3bzl6s2avlptxk_tggulo" Type="http://schemas.openxmlformats.org/officeDocument/2006/relationships/hyperlink" Target="https://ec.europa.eu/competition/mergers/cases/decisions/m5669_2153_2.pdf" TargetMode="External"/><Relationship Id="rIdm5tbd-y6wcioqqyqo00gf" Type="http://schemas.openxmlformats.org/officeDocument/2006/relationships/hyperlink" Target="https://ec.europa.eu/competition/mergers/cases/decisions/m5669_2153_2.pdf" TargetMode="External"/><Relationship Id="rIddufjrjoofe73mw2chrjtr" Type="http://schemas.openxmlformats.org/officeDocument/2006/relationships/hyperlink" Target="https://ec.europa.eu/competition/mergers/cases/decisions/m5669_2153_2.pdf" TargetMode="External"/><Relationship Id="rId_tfudf-jgehjz47f2gda6" Type="http://schemas.openxmlformats.org/officeDocument/2006/relationships/hyperlink" Target="https://ec.europa.eu/competition/mergers/cases/decisions/m5669_2153_2.pdf" TargetMode="External"/><Relationship Id="rIdeeftt5a7r09kcp6x5zyrb" Type="http://schemas.openxmlformats.org/officeDocument/2006/relationships/hyperlink" Target="https://ec.europa.eu/competition/mergers/cases/decisions/m5669_2153_2.pdf" TargetMode="External"/><Relationship Id="rIdpescoobj3qpm5husb0nlj" Type="http://schemas.openxmlformats.org/officeDocument/2006/relationships/hyperlink" Target="https://ec.europa.eu/competition/mergers/cases/decisions/m5669_2153_2.pdf" TargetMode="External"/><Relationship Id="rIdi5p-dfrx6cbibpxjev9qd" Type="http://schemas.openxmlformats.org/officeDocument/2006/relationships/hyperlink" Target="https://ec.europa.eu/competition/mergers/cases/decisions/m5669_2153_2.pdf" TargetMode="External"/><Relationship Id="rIdwifhuxvk1zwnoc2_7u6la" Type="http://schemas.openxmlformats.org/officeDocument/2006/relationships/hyperlink" Target="https://ec.europa.eu/competition/mergers/cases/decisions/m5669_2153_2.pdf" TargetMode="External"/><Relationship Id="rIdsvotyqd6wovhd72xc6usn" Type="http://schemas.openxmlformats.org/officeDocument/2006/relationships/hyperlink" Target="https://ec.europa.eu/competition/mergers/cases/decisions/m5669_2153_2.pdf" TargetMode="External"/><Relationship Id="rIdtezgaj5ywdwul1udlc4yi" Type="http://schemas.openxmlformats.org/officeDocument/2006/relationships/hyperlink" Target="https://ec.europa.eu/competition/mergers/cases/decisions/m5669_2153_2.pdf" TargetMode="External"/><Relationship Id="rIdwdeq0lagjkgbongfnvfeb" Type="http://schemas.openxmlformats.org/officeDocument/2006/relationships/hyperlink" Target="https://ec.europa.eu/competition/mergers/cases/decisions/m5669_2153_2.pdf" TargetMode="External"/><Relationship Id="rIdl7q2h6jw-xs77wj4psblc" Type="http://schemas.openxmlformats.org/officeDocument/2006/relationships/hyperlink" Target="https://ec.europa.eu/competition/mergers/cases/decisions/m5669_2153_2.pdf" TargetMode="External"/><Relationship Id="rIdrvzeeh8mstjt_2lku-h7m" Type="http://schemas.openxmlformats.org/officeDocument/2006/relationships/hyperlink" Target="https://ec.europa.eu/competition/mergers/cases/decisions/m5669_2153_2.pdf" TargetMode="External"/><Relationship Id="rIdu-szd8bl9y1chcqpc4cls" Type="http://schemas.openxmlformats.org/officeDocument/2006/relationships/hyperlink" Target="https://ec.europa.eu/competition/mergers/cases/decisions/m5669_2153_2.pdf" TargetMode="External"/><Relationship Id="rId4arxose7pkjzj2d1hkz4t" Type="http://schemas.openxmlformats.org/officeDocument/2006/relationships/hyperlink" Target="https://ec.europa.eu/competition/mergers/cases/decisions/m5669_2153_2.pdf" TargetMode="External"/><Relationship Id="rIdp181ucwlpnofz31zs2vfy" Type="http://schemas.openxmlformats.org/officeDocument/2006/relationships/hyperlink" Target="https://ec.europa.eu/competition/mergers/cases/decisions/m5669_2153_2.pdf" TargetMode="External"/><Relationship Id="rIdrskb-ulgtc2gwxmsi7sfw" Type="http://schemas.openxmlformats.org/officeDocument/2006/relationships/hyperlink" Target="https://ec.europa.eu/competition/mergers/cases/decisions/m5669_2153_2.pdf" TargetMode="External"/><Relationship Id="rIdhjgshknb28xqnwrsnmr9v" Type="http://schemas.openxmlformats.org/officeDocument/2006/relationships/hyperlink" Target="https://competition-policy.ec.europa.eu/system/files/2022-12/kd0422317enn_merger_review_in_digital_and_tech_markets_1.pdf" TargetMode="External"/><Relationship Id="rIdotvvdcb8twwgwxftfaenf" Type="http://schemas.openxmlformats.org/officeDocument/2006/relationships/hyperlink" Target="https://www.internationalcompetitionnetwork.org/wp-content/uploads/2025/05/Summary-Report-on-Webinars-on-Digital-Mergers-2022-23.pdf" TargetMode="External"/><Relationship Id="rIdzzjheetqimaezoi4km287" Type="http://schemas.openxmlformats.org/officeDocument/2006/relationships/hyperlink" Target="https://assets.publishing.service.gov.uk/media/654b7439b9068c000d0e7554/2023_updated_compendium_of_approaches_to_improving_competition_in_digital_markets_1.pdf" TargetMode="External"/><Relationship Id="rIdv5pujted-wgrij5vezz6w" Type="http://schemas.openxmlformats.org/officeDocument/2006/relationships/hyperlink" Target="https://www.tandfonline.com/doi/full/10.1080/17441056.2024.2428033" TargetMode="External"/><Relationship Id="rIdxfsljxktbd5qtqjw1ykkw" Type="http://schemas.openxmlformats.org/officeDocument/2006/relationships/hyperlink" Target="https://competition-policy.ec.europa.eu/system/files/2023-01/kdak22002enn_competition_policy_brief_digital_mergers.pdf" TargetMode="External"/><Relationship Id="rIdwjgz7vke0-phgbsoef66g" Type="http://schemas.openxmlformats.org/officeDocument/2006/relationships/hyperlink" Target="https://www.gov.uk/government/publications/digital-markets-competition-regime-guidance" TargetMode="External"/><Relationship Id="rIdlpvqtjuehipmcynsya8jn" Type="http://schemas.openxmlformats.org/officeDocument/2006/relationships/hyperlink" Target="https://www.gov.uk/government/publications/administrative-penalties-statement-of-policy-on-the-cmas-approach" TargetMode="External"/><Relationship Id="rIdfgakzv2uitnhqgshwn8uo" Type="http://schemas.openxmlformats.org/officeDocument/2006/relationships/hyperlink" Target="https://www.cdhowe.org/wp-content/uploads/2024/06/oecd-handbook-on-competition-policy-in-the-digital-age.pdf" TargetMode="External"/><Relationship Id="rIdvfpzyuuyek7boiw_c-eb_" Type="http://schemas.openxmlformats.org/officeDocument/2006/relationships/hyperlink" Target="https://competition-policy.ec.europa.eu/mergers/review-merger-guidelines_en" TargetMode="External"/><Relationship Id="rIdtarxsh6l3f9-xs564zbny" Type="http://schemas.openxmlformats.org/officeDocument/2006/relationships/hyperlink" Target="https://www.gov.uk/government/publications/mergers-guidance-on-the-cmas-jurisdiction-and-procedure" TargetMode="External"/><Relationship Id="rIdh9qtx74c3th-ajghjax2b" Type="http://schemas.openxmlformats.org/officeDocument/2006/relationships/hyperlink" Target="https://www.oecd.org/en/publications/merger-remedies_82acbd58-en.html" TargetMode="External"/><Relationship Id="rId8nywexpadud9bkb2he7de" Type="http://schemas.openxmlformats.org/officeDocument/2006/relationships/hyperlink" Target="https://www.oecd.org/en/events/2026/01/shaping-the-future-of-merger-control.html" TargetMode="External"/><Relationship Id="rId-ur6uro2_qsnwmsnrgwwo" Type="http://schemas.openxmlformats.org/officeDocument/2006/relationships/hyperlink" Target="https://www.oecd.org/en/events/2023/06/theories-of-harm-for-digital-mergers.html" TargetMode="External"/><Relationship Id="rIdhwxy0t3xdk07rtax_y40p" Type="http://schemas.openxmlformats.org/officeDocument/2006/relationships/hyperlink" Target="https://competition-policy.ec.europa.eu/publications/competition-policy-briefs_en" TargetMode="External"/><Relationship Id="rIdkuabbapivarsldnj-5euc" Type="http://schemas.openxmlformats.org/officeDocument/2006/relationships/hyperlink" Target="https://www.oecd.org/en/publications/remedies-in-merger-cases_51e1d94a-en.html" TargetMode="External"/><Relationship Id="rIdq_n_4tl-22fyzngt3i0sk" Type="http://schemas.openxmlformats.org/officeDocument/2006/relationships/hyperlink" Target="https://www.oecd.org/en/publications/2022/02/oecd-handbook-on-competition-policy-in-the-digital-age_50b6e951.html" TargetMode="External"/><Relationship Id="rIdrpuxnye-ya_i25zmyyh-j" Type="http://schemas.openxmlformats.org/officeDocument/2006/relationships/hyperlink" Target="https://www.oecd.org/en/events/2026/06/competition-and-consumer-policy-in-digital-markets.html" TargetMode="External"/><Relationship Id="rIdcfdiekvyggesdkj6ctqbq" Type="http://schemas.openxmlformats.org/officeDocument/2006/relationships/hyperlink" Target="https://competition-policy.ec.europa.eu/document/download/85df68c6-a8db-4662-b988-08e3287a1936_en" TargetMode="External"/><Relationship Id="rIdfwa63siwshuptge9fe2yv" Type="http://schemas.openxmlformats.org/officeDocument/2006/relationships/hyperlink" Target="https://ec.europa.eu/competition/mergers/cases/decisions/m5669_2153_2.pdf" TargetMode="External"/><Relationship Id="rId1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2026-09-02T11:33:51.281Z</dcterms:created>
  <dcterms:modified xsi:type="dcterms:W3CDTF">2026-09-02T11:33:51.281Z</dcterms:modified>
</cp:coreProperties>
</file>

<file path=docProps/custom.xml><?xml version="1.0" encoding="utf-8"?>
<Properties xmlns="http://schemas.openxmlformats.org/officeDocument/2006/custom-properties" xmlns:vt="http://schemas.openxmlformats.org/officeDocument/2006/docPropsVTypes"/>
</file>