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4</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What are the remedies in merger cases in digital markets?</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In digital markets, there are several remedies that can be used to address the issues of market power and competition. One of the most common remedies is antitrust law, which prohibits anticompetitive conduct and imposes penalties on companies that engage in such behavior. This can include fines, injunctions, and other penalties.</w:t>
      </w:r>
    </w:p>
    <w:p>
      <w:pPr>
        <w:spacing w:after="160"/>
      </w:pPr>
      <w:r>
        <w:rPr>
          <w:rFonts w:ascii="Calibri" w:cs="Calibri" w:eastAsia="Calibri" w:hAnsi="Calibri"/>
          <w:b w:val="false"/>
          <w:bCs w:val="false"/>
          <w:i w:val="false"/>
          <w:iCs w:val="false"/>
          <w:sz w:val="22"/>
          <w:szCs w:val="22"/>
        </w:rPr>
        <w:t xml:space="preserve">Another remedy that can be used in digital markets is the breakup of a dominant company into smaller, more competitive entities. This can be achieved through a court-ordered divestiture or a settlement agreement between the company and the government.</w:t>
      </w:r>
    </w:p>
    <w:p>
      <w:pPr>
        <w:spacing w:after="160"/>
      </w:pPr>
      <w:r>
        <w:rPr>
          <w:rFonts w:ascii="Calibri" w:cs="Calibri" w:eastAsia="Calibri" w:hAnsi="Calibri"/>
          <w:b w:val="false"/>
          <w:bCs w:val="false"/>
          <w:i w:val="false"/>
          <w:iCs w:val="false"/>
          <w:sz w:val="22"/>
          <w:szCs w:val="22"/>
        </w:rPr>
        <w:t xml:space="preserve">In addition to these traditional remedies, there are also new and innovative approaches that are being explored to address the unique challenges of digital markets. For example, regulators may consider using data-driven methods to monitor and analyze market trends and competition, rather than relying solely on traditional legal remedies.</w:t>
      </w:r>
    </w:p>
    <w:p>
      <w:pPr>
        <w:spacing w:after="160"/>
      </w:pPr>
      <w:r>
        <w:rPr>
          <w:rFonts w:ascii="Calibri" w:cs="Calibri" w:eastAsia="Calibri" w:hAnsi="Calibri"/>
          <w:b w:val="false"/>
          <w:bCs w:val="false"/>
          <w:i w:val="false"/>
          <w:iCs w:val="false"/>
          <w:sz w:val="22"/>
          <w:szCs w:val="22"/>
        </w:rPr>
        <w:t xml:space="preserve">Overall, the remedies in digital markets are constantly evolving and adapting to new challenges and technologies. It is important for regulators and policymakers to stay up-to-date with the latest developments in order to ensure that digital markets remain competitive and innovative.</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2026-09-02T11:42:07.465Z</dcterms:created>
  <dcterms:modified xsi:type="dcterms:W3CDTF">2026-09-02T11:42:07.465Z</dcterms:modified>
</cp:coreProperties>
</file>

<file path=docProps/custom.xml><?xml version="1.0" encoding="utf-8"?>
<Properties xmlns="http://schemas.openxmlformats.org/officeDocument/2006/custom-properties" xmlns:vt="http://schemas.openxmlformats.org/officeDocument/2006/docPropsVTypes"/>
</file>