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2"/>
          <w:szCs w:val="32"/>
        </w:rPr>
        <w:t xml:space="preserve">Response Transcript — Sample 5</w:t>
      </w:r>
    </w:p>
    <w:p>
      <w:pPr>
        <w:pBdr>
          <w:bottom w:val="single" w:color="999999" w:sz="6" w:space="1"/>
        </w:pBdr>
        <w:spacing w:after="120" w:before="120"/>
      </w:pPr>
    </w:p>
    <w:p>
      <w:pPr>
        <w:spacing w:after="120" w:before="200"/>
      </w:pPr>
      <w:r>
        <w:rPr>
          <w:rFonts w:ascii="Calibri" w:cs="Calibri" w:eastAsia="Calibri" w:hAnsi="Calibri"/>
          <w:b/>
          <w:bCs/>
          <w:color w:val="1F4E5F"/>
          <w:sz w:val="28"/>
          <w:szCs w:val="28"/>
        </w:rPr>
        <w:t xml:space="preserve">User Query</w:t>
      </w:r>
    </w:p>
    <w:p>
      <w:pPr>
        <w:pBdr>
          <w:left w:val="single" w:color="1F4E5F" w:sz="12" w:space="8"/>
        </w:pBdr>
        <w:spacing w:after="240"/>
        <w:ind w:left="360"/>
      </w:pPr>
      <w:r>
        <w:rPr>
          <w:rFonts w:ascii="Calibri" w:cs="Calibri" w:eastAsia="Calibri" w:hAnsi="Calibri"/>
          <w:i/>
          <w:iCs/>
          <w:sz w:val="22"/>
          <w:szCs w:val="22"/>
        </w:rPr>
        <w:t xml:space="preserve">What are the remedies in merger cases in digital markets?</w:t>
      </w:r>
    </w:p>
    <w:p>
      <w:pPr>
        <w:spacing w:after="120" w:before="200"/>
      </w:pPr>
      <w:r>
        <w:rPr>
          <w:rFonts w:ascii="Calibri" w:cs="Calibri" w:eastAsia="Calibri" w:hAnsi="Calibri"/>
          <w:b/>
          <w:bCs/>
          <w:color w:val="1F4E5F"/>
          <w:sz w:val="28"/>
          <w:szCs w:val="28"/>
        </w:rPr>
        <w:t xml:space="preserve">System Response</w:t>
      </w:r>
    </w:p>
    <w:p>
      <w:pPr>
        <w:spacing w:after="160"/>
      </w:pPr>
      <w:r>
        <w:rPr>
          <w:rFonts w:ascii="Calibri" w:cs="Calibri" w:eastAsia="Calibri" w:hAnsi="Calibri"/>
          <w:b w:val="false"/>
          <w:bCs w:val="false"/>
          <w:i w:val="false"/>
          <w:iCs w:val="false"/>
          <w:sz w:val="22"/>
          <w:szCs w:val="22"/>
        </w:rPr>
        <w:t xml:space="preserve">In digital-market merger cases, </w:t>
      </w:r>
      <w:r>
        <w:rPr>
          <w:rFonts w:ascii="Calibri" w:cs="Calibri" w:eastAsia="Calibri" w:hAnsi="Calibri"/>
          <w:b/>
          <w:bCs/>
          <w:i w:val="false"/>
          <w:iCs w:val="false"/>
          <w:sz w:val="22"/>
          <w:szCs w:val="22"/>
        </w:rPr>
        <w:t xml:space="preserve">remedies are designed to preserve the competitive conditions that the merger would otherwise undermine</w:t>
      </w:r>
      <w:r>
        <w:rPr>
          <w:rFonts w:ascii="Calibri" w:cs="Calibri" w:eastAsia="Calibri" w:hAnsi="Calibri"/>
          <w:b w:val="false"/>
          <w:bCs w:val="false"/>
          <w:i w:val="false"/>
          <w:iCs w:val="false"/>
          <w:sz w:val="22"/>
          <w:szCs w:val="22"/>
        </w:rPr>
        <w:t xml:space="preserve">. The distinctive features of digital markets—network effects, data advantages, ecosystems, interoperability, switching costs, and rapid innovation—mean that traditional divestitures are sometimes supplemented by more sophisticated behavioural remedies. </w:t>
      </w:r>
      <w:hyperlink w:history="1" r:id="rId1ohbpqkkngrssw99lnxtz">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val="false"/>
          <w:iCs w:val="false"/>
          <w:sz w:val="22"/>
          <w:szCs w:val="22"/>
        </w:rPr>
        <w:t xml:space="preserve">1. Structural remedies</w:t>
      </w:r>
    </w:p>
    <w:p>
      <w:pPr>
        <w:spacing w:after="160"/>
      </w:pPr>
      <w:r>
        <w:rPr>
          <w:rFonts w:ascii="Calibri" w:cs="Calibri" w:eastAsia="Calibri" w:hAnsi="Calibri"/>
          <w:b w:val="false"/>
          <w:bCs w:val="false"/>
          <w:i w:val="false"/>
          <w:iCs w:val="false"/>
          <w:sz w:val="22"/>
          <w:szCs w:val="22"/>
        </w:rPr>
        <w:t xml:space="preserve">These change the </w:t>
      </w:r>
      <w:r>
        <w:rPr>
          <w:rFonts w:ascii="Calibri" w:cs="Calibri" w:eastAsia="Calibri" w:hAnsi="Calibri"/>
          <w:b/>
          <w:bCs/>
          <w:i w:val="false"/>
          <w:iCs w:val="false"/>
          <w:sz w:val="22"/>
          <w:szCs w:val="22"/>
        </w:rPr>
        <w:t xml:space="preserve">structure of the merged firm or the market</w:t>
      </w:r>
      <w:r>
        <w:rPr>
          <w:rFonts w:ascii="Calibri" w:cs="Calibri" w:eastAsia="Calibri" w:hAnsi="Calibri"/>
          <w:b w:val="false"/>
          <w:bCs w:val="false"/>
          <w:i w:val="false"/>
          <w:iCs w:val="false"/>
          <w:sz w:val="22"/>
          <w:szCs w:val="22"/>
        </w:rPr>
        <w:t xml:space="preserve">.</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Divestiture of a business/unit</w:t>
      </w:r>
      <w:r>
        <w:rPr>
          <w:rFonts w:ascii="Calibri" w:cs="Calibri" w:eastAsia="Calibri" w:hAnsi="Calibri"/>
          <w:b w:val="false"/>
          <w:bCs w:val="false"/>
          <w:i w:val="false"/>
          <w:iCs w:val="false"/>
          <w:sz w:val="22"/>
          <w:szCs w:val="22"/>
        </w:rPr>
        <w:t xml:space="preserve"> — selling the acquired business, a competing product, or another business unit to an independent buyer.</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Partial divestiture</w:t>
      </w:r>
      <w:r>
        <w:rPr>
          <w:rFonts w:ascii="Calibri" w:cs="Calibri" w:eastAsia="Calibri" w:hAnsi="Calibri"/>
          <w:b w:val="false"/>
          <w:bCs w:val="false"/>
          <w:i w:val="false"/>
          <w:iCs w:val="false"/>
          <w:sz w:val="22"/>
          <w:szCs w:val="22"/>
        </w:rPr>
        <w:t xml:space="preserve"> — transferring particular assets, IP, technology, users, or business lines.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Asset separation</w:t>
      </w:r>
      <w:r>
        <w:rPr>
          <w:rFonts w:ascii="Calibri" w:cs="Calibri" w:eastAsia="Calibri" w:hAnsi="Calibri"/>
          <w:b w:val="false"/>
          <w:bCs w:val="false"/>
          <w:i w:val="false"/>
          <w:iCs w:val="false"/>
          <w:sz w:val="22"/>
          <w:szCs w:val="22"/>
        </w:rPr>
        <w:t xml:space="preserve"> — preventing the merged firm from combining particular assets that create the competitive concern.</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Prohibition of the transaction</w:t>
      </w:r>
      <w:r>
        <w:rPr>
          <w:rFonts w:ascii="Calibri" w:cs="Calibri" w:eastAsia="Calibri" w:hAnsi="Calibri"/>
          <w:b w:val="false"/>
          <w:bCs w:val="false"/>
          <w:i w:val="false"/>
          <w:iCs w:val="false"/>
          <w:sz w:val="22"/>
          <w:szCs w:val="22"/>
        </w:rPr>
        <w:t xml:space="preserve"> — if no effective remedy can address the harm, the merger is prohibited. </w:t>
      </w:r>
      <w:hyperlink w:history="1" r:id="rIdtslikufogypkuuvmei1yx">
        <w:r>
          <w:rPr>
            <w:rStyle w:val="Hyperlink"/>
            <w:rFonts w:ascii="Calibri" w:cs="Calibri" w:eastAsia="Calibri" w:hAnsi="Calibri"/>
            <w:sz w:val="22"/>
            <w:szCs w:val="22"/>
          </w:rPr>
          <w:t xml:space="preserve">[2]</w:t>
        </w:r>
      </w:hyperlink>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bCs/>
          <w:i w:val="false"/>
          <w:iCs w:val="false"/>
          <w:sz w:val="22"/>
          <w:szCs w:val="22"/>
        </w:rPr>
        <w:t xml:space="preserve">Why particularly relevant in digital markets:</w:t>
      </w:r>
      <w:r>
        <w:rPr>
          <w:rFonts w:ascii="Calibri" w:cs="Calibri" w:eastAsia="Calibri" w:hAnsi="Calibri"/>
          <w:b w:val="false"/>
          <w:bCs w:val="false"/>
          <w:i w:val="false"/>
          <w:iCs w:val="false"/>
          <w:sz w:val="22"/>
          <w:szCs w:val="22"/>
        </w:rPr>
        <w:t xml:space="preserve"> if the acquisition eliminates an important nascent competitor or removes a potential source of disruptive innovation, a behavioural commitment may not recreate the lost competitive constraint. Structural separation can therefore be preferable.</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2. Interoperability remedies</w:t>
      </w:r>
    </w:p>
    <w:p>
      <w:pPr>
        <w:spacing w:after="160"/>
      </w:pPr>
      <w:r>
        <w:rPr>
          <w:rFonts w:ascii="Calibri" w:cs="Calibri" w:eastAsia="Calibri" w:hAnsi="Calibri"/>
          <w:b w:val="false"/>
          <w:bCs w:val="false"/>
          <w:i w:val="false"/>
          <w:iCs w:val="false"/>
          <w:sz w:val="22"/>
          <w:szCs w:val="22"/>
        </w:rPr>
        <w:t xml:space="preserve">These are among the </w:t>
      </w:r>
      <w:r>
        <w:rPr>
          <w:rFonts w:ascii="Calibri" w:cs="Calibri" w:eastAsia="Calibri" w:hAnsi="Calibri"/>
          <w:b/>
          <w:bCs/>
          <w:i w:val="false"/>
          <w:iCs w:val="false"/>
          <w:sz w:val="22"/>
          <w:szCs w:val="22"/>
        </w:rPr>
        <w:t xml:space="preserve">most characteristic remedies in digital merger cases</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The merged firm may be required to:</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provide competitors with </w:t>
      </w:r>
      <w:r>
        <w:rPr>
          <w:rFonts w:ascii="Calibri" w:cs="Calibri" w:eastAsia="Calibri" w:hAnsi="Calibri"/>
          <w:b/>
          <w:bCs/>
          <w:i w:val="false"/>
          <w:iCs w:val="false"/>
          <w:sz w:val="22"/>
          <w:szCs w:val="22"/>
        </w:rPr>
        <w:t xml:space="preserve">API access</w:t>
      </w: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maintain technical interoperability;</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allow third-party services to connect to its platform;</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provide access on </w:t>
      </w:r>
      <w:r>
        <w:rPr>
          <w:rFonts w:ascii="Calibri" w:cs="Calibri" w:eastAsia="Calibri" w:hAnsi="Calibri"/>
          <w:b/>
          <w:bCs/>
          <w:i w:val="false"/>
          <w:iCs w:val="false"/>
          <w:sz w:val="22"/>
          <w:szCs w:val="22"/>
        </w:rPr>
        <w:t xml:space="preserve">fair, reasonable and non-discriminatory (FRAND)</w:t>
      </w:r>
      <w:r>
        <w:rPr>
          <w:rFonts w:ascii="Calibri" w:cs="Calibri" w:eastAsia="Calibri" w:hAnsi="Calibri"/>
          <w:b w:val="false"/>
          <w:bCs w:val="false"/>
          <w:i w:val="false"/>
          <w:iCs w:val="false"/>
          <w:sz w:val="22"/>
          <w:szCs w:val="22"/>
        </w:rPr>
        <w:t xml:space="preserve"> terms;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refrain from degrading interoperability after the merger.</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For example, the European Commission's review of </w:t>
      </w:r>
      <w:r>
        <w:rPr>
          <w:rFonts w:ascii="Calibri" w:cs="Calibri" w:eastAsia="Calibri" w:hAnsi="Calibri"/>
          <w:b/>
          <w:bCs/>
          <w:i w:val="false"/>
          <w:iCs w:val="false"/>
          <w:sz w:val="22"/>
          <w:szCs w:val="22"/>
        </w:rPr>
        <w:t xml:space="preserve">Microsoft/LinkedIn</w:t>
      </w:r>
      <w:r>
        <w:rPr>
          <w:rFonts w:ascii="Calibri" w:cs="Calibri" w:eastAsia="Calibri" w:hAnsi="Calibri"/>
          <w:b w:val="false"/>
          <w:bCs w:val="false"/>
          <w:i w:val="false"/>
          <w:iCs w:val="false"/>
          <w:sz w:val="22"/>
          <w:szCs w:val="22"/>
        </w:rPr>
        <w:t xml:space="preserve"> involved interoperability and choice commitments designed to prevent Microsoft from using its ecosystem to foreclose competing professional social networks. </w:t>
      </w:r>
      <w:hyperlink w:history="1" r:id="rIdqjftcajfrxuwpvzqyl2hy">
        <w:r>
          <w:rPr>
            <w:rStyle w:val="Hyperlink"/>
            <w:rFonts w:ascii="Calibri" w:cs="Calibri" w:eastAsia="Calibri" w:hAnsi="Calibri"/>
            <w:sz w:val="22"/>
            <w:szCs w:val="22"/>
          </w:rPr>
          <w:t xml:space="preserve">[3]</w:t>
        </w:r>
      </w:hyperlink>
    </w:p>
    <w:p>
      <w:pPr>
        <w:spacing w:after="160"/>
      </w:pPr>
      <w:r>
        <w:rPr>
          <w:rFonts w:ascii="Calibri" w:cs="Calibri" w:eastAsia="Calibri" w:hAnsi="Calibri"/>
          <w:b w:val="false"/>
          <w:bCs w:val="false"/>
          <w:i w:val="false"/>
          <w:iCs w:val="false"/>
          <w:sz w:val="22"/>
          <w:szCs w:val="22"/>
        </w:rPr>
        <w:t xml:space="preserve">The logic is:</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Merger → increased ecosystem power → ability to restrict interoperability → foreclosure of rivals</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The remedy attempts to break that foreclosure mechanism without necessarily preventing the merger.</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3. Data-related remedies</w:t>
      </w:r>
    </w:p>
    <w:p>
      <w:pPr>
        <w:spacing w:after="160"/>
      </w:pPr>
      <w:r>
        <w:rPr>
          <w:rFonts w:ascii="Calibri" w:cs="Calibri" w:eastAsia="Calibri" w:hAnsi="Calibri"/>
          <w:b w:val="false"/>
          <w:bCs w:val="false"/>
          <w:i w:val="false"/>
          <w:iCs w:val="false"/>
          <w:sz w:val="22"/>
          <w:szCs w:val="22"/>
        </w:rPr>
        <w:t xml:space="preserve">Because data can be a major source of digital-market advantage, authorities may require:</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data separation</w:t>
      </w:r>
      <w:r>
        <w:rPr>
          <w:rFonts w:ascii="Calibri" w:cs="Calibri" w:eastAsia="Calibri" w:hAnsi="Calibri"/>
          <w:b w:val="false"/>
          <w:bCs w:val="false"/>
          <w:i w:val="false"/>
          <w:iCs w:val="false"/>
          <w:sz w:val="22"/>
          <w:szCs w:val="22"/>
        </w:rPr>
        <w:t xml:space="preserve"> — preventing the merged firm from combining datasets;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restrictions on using </w:t>
      </w:r>
      <w:r>
        <w:rPr>
          <w:rFonts w:ascii="Calibri" w:cs="Calibri" w:eastAsia="Calibri" w:hAnsi="Calibri"/>
          <w:b/>
          <w:bCs/>
          <w:i w:val="false"/>
          <w:iCs w:val="false"/>
          <w:sz w:val="22"/>
          <w:szCs w:val="22"/>
        </w:rPr>
        <w:t xml:space="preserve">business-user data</w:t>
      </w:r>
      <w:r>
        <w:rPr>
          <w:rFonts w:ascii="Calibri" w:cs="Calibri" w:eastAsia="Calibri" w:hAnsi="Calibri"/>
          <w:b w:val="false"/>
          <w:bCs w:val="false"/>
          <w:i w:val="false"/>
          <w:iCs w:val="false"/>
          <w:sz w:val="22"/>
          <w:szCs w:val="22"/>
        </w:rPr>
        <w:t xml:space="preserve"> to compete against those business users;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restrictions on combining personal/user datasets;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data portability</w:t>
      </w: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controlled access to particular datasets.</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A good example is </w:t>
      </w:r>
      <w:r>
        <w:rPr>
          <w:rFonts w:ascii="Calibri" w:cs="Calibri" w:eastAsia="Calibri" w:hAnsi="Calibri"/>
          <w:b/>
          <w:bCs/>
          <w:i w:val="false"/>
          <w:iCs w:val="false"/>
          <w:sz w:val="22"/>
          <w:szCs w:val="22"/>
        </w:rPr>
        <w:t xml:space="preserve">Google/Fitbit</w:t>
      </w:r>
      <w:r>
        <w:rPr>
          <w:rFonts w:ascii="Calibri" w:cs="Calibri" w:eastAsia="Calibri" w:hAnsi="Calibri"/>
          <w:b w:val="false"/>
          <w:bCs w:val="false"/>
          <w:i w:val="false"/>
          <w:iCs w:val="false"/>
          <w:sz w:val="22"/>
          <w:szCs w:val="22"/>
        </w:rPr>
        <w:t xml:space="preserve">, where commitments addressed concerns surrounding the use and combination of health-related data. EU case practice has also included commitments involving separation of acquired datasets. </w:t>
      </w:r>
      <w:hyperlink w:history="1" r:id="rId8j7rxgj0mwhinawjxmsv_">
        <w:r>
          <w:rPr>
            <w:rStyle w:val="Hyperlink"/>
            <w:rFonts w:ascii="Calibri" w:cs="Calibri" w:eastAsia="Calibri" w:hAnsi="Calibri"/>
            <w:sz w:val="22"/>
            <w:szCs w:val="22"/>
          </w:rPr>
          <w:t xml:space="preserve">[1]</w:t>
        </w:r>
      </w:hyperlink>
    </w:p>
    <w:p>
      <w:pPr>
        <w:spacing w:after="160"/>
      </w:pPr>
      <w:r>
        <w:rPr>
          <w:rFonts w:ascii="Calibri" w:cs="Calibri" w:eastAsia="Calibri" w:hAnsi="Calibri"/>
          <w:b w:val="false"/>
          <w:bCs w:val="false"/>
          <w:i w:val="false"/>
          <w:iCs w:val="false"/>
          <w:sz w:val="22"/>
          <w:szCs w:val="22"/>
        </w:rPr>
        <w:t xml:space="preserve">The underlying theory is:</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Merger → data aggregation → greater competitive advantage → rivals cannot replicate the merged firm's data advantage</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Data portability has a slightly different function: it reduces switching costs and makes it easier for users to move to competing platforms. </w:t>
      </w:r>
      <w:hyperlink w:history="1" r:id="rIdo7lml14j-kbaatg8gbt4u">
        <w:r>
          <w:rPr>
            <w:rStyle w:val="Hyperlink"/>
            <w:rFonts w:ascii="Calibri" w:cs="Calibri" w:eastAsia="Calibri" w:hAnsi="Calibri"/>
            <w:sz w:val="22"/>
            <w:szCs w:val="22"/>
          </w:rPr>
          <w:t xml:space="preserve">[4]</w:t>
        </w:r>
      </w:hyperlink>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4. Non-discrimination remedies</w:t>
      </w:r>
    </w:p>
    <w:p>
      <w:pPr>
        <w:spacing w:after="160"/>
      </w:pPr>
      <w:r>
        <w:rPr>
          <w:rFonts w:ascii="Calibri" w:cs="Calibri" w:eastAsia="Calibri" w:hAnsi="Calibri"/>
          <w:b w:val="false"/>
          <w:bCs w:val="false"/>
          <w:i w:val="false"/>
          <w:iCs w:val="false"/>
          <w:sz w:val="22"/>
          <w:szCs w:val="22"/>
        </w:rPr>
        <w:t xml:space="preserve">The merged entity may be prohibited from </w:t>
      </w:r>
      <w:r>
        <w:rPr>
          <w:rFonts w:ascii="Calibri" w:cs="Calibri" w:eastAsia="Calibri" w:hAnsi="Calibri"/>
          <w:b/>
          <w:bCs/>
          <w:i w:val="false"/>
          <w:iCs w:val="false"/>
          <w:sz w:val="22"/>
          <w:szCs w:val="22"/>
        </w:rPr>
        <w:t xml:space="preserve">discriminating against rivals</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Examples include:</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equal access to APIs;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equal treatment of third-party apps;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no preferential access to infrastructure;</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no discrimination in ranking or access;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no discrimination between the platform's own services and competitors.</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This is particularly relevant where a merger creates a </w:t>
      </w:r>
      <w:r>
        <w:rPr>
          <w:rFonts w:ascii="Calibri" w:cs="Calibri" w:eastAsia="Calibri" w:hAnsi="Calibri"/>
          <w:b/>
          <w:bCs/>
          <w:i w:val="false"/>
          <w:iCs w:val="false"/>
          <w:sz w:val="22"/>
          <w:szCs w:val="22"/>
        </w:rPr>
        <w:t xml:space="preserve">vertical or conglomerate relationship</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For example:</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Platform + complementary service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Platform has incentive to favour its own complementary service</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Rival complementary services are foreclosed</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Remedy: non-discrimination obligation</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The European Commission's review of digital merger cases has identified non-discrimination commitments as an important category of behavioural remedy. </w:t>
      </w:r>
      <w:hyperlink w:history="1" r:id="rIdeiyew8qs0_wpsg4cbii5w">
        <w:r>
          <w:rPr>
            <w:rStyle w:val="Hyperlink"/>
            <w:rFonts w:ascii="Calibri" w:cs="Calibri" w:eastAsia="Calibri" w:hAnsi="Calibri"/>
            <w:sz w:val="22"/>
            <w:szCs w:val="22"/>
          </w:rPr>
          <w:t xml:space="preserve">[1]</w:t>
        </w:r>
      </w:hyperlink>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5. Self-preferencing restrictions</w:t>
      </w:r>
    </w:p>
    <w:p>
      <w:pPr>
        <w:spacing w:after="160"/>
      </w:pPr>
      <w:r>
        <w:rPr>
          <w:rFonts w:ascii="Calibri" w:cs="Calibri" w:eastAsia="Calibri" w:hAnsi="Calibri"/>
          <w:b w:val="false"/>
          <w:bCs w:val="false"/>
          <w:i w:val="false"/>
          <w:iCs w:val="false"/>
          <w:sz w:val="22"/>
          <w:szCs w:val="22"/>
        </w:rPr>
        <w:t xml:space="preserve">The merged company may be prohibited from </w:t>
      </w:r>
      <w:r>
        <w:rPr>
          <w:rFonts w:ascii="Calibri" w:cs="Calibri" w:eastAsia="Calibri" w:hAnsi="Calibri"/>
          <w:b/>
          <w:bCs/>
          <w:i w:val="false"/>
          <w:iCs w:val="false"/>
          <w:sz w:val="22"/>
          <w:szCs w:val="22"/>
        </w:rPr>
        <w:t xml:space="preserve">giving preferential treatment to its own products/services</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For example, a platform could be required not to:</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rank its own service above rivals solely because it owns it;</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give its own app preferential access to platform functionality;</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privilege its own marketplace products;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use platform data to advantage its own downstream service.</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This is especially relevant to </w:t>
      </w:r>
      <w:r>
        <w:rPr>
          <w:rFonts w:ascii="Calibri" w:cs="Calibri" w:eastAsia="Calibri" w:hAnsi="Calibri"/>
          <w:b/>
          <w:bCs/>
          <w:i w:val="false"/>
          <w:iCs w:val="false"/>
          <w:sz w:val="22"/>
          <w:szCs w:val="22"/>
        </w:rPr>
        <w:t xml:space="preserve">ecosystem/conglomerate theories of harm</w:t>
      </w:r>
      <w:r>
        <w:rPr>
          <w:rFonts w:ascii="Calibri" w:cs="Calibri" w:eastAsia="Calibri" w:hAnsi="Calibri"/>
          <w:b w:val="false"/>
          <w:bCs w:val="false"/>
          <w:i w:val="false"/>
          <w:iCs w:val="false"/>
          <w:sz w:val="22"/>
          <w:szCs w:val="22"/>
        </w:rPr>
        <w:t xml:space="preserve">.</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6. Non-exclusivity remedies</w:t>
      </w:r>
    </w:p>
    <w:p>
      <w:pPr>
        <w:spacing w:after="160"/>
      </w:pPr>
      <w:r>
        <w:rPr>
          <w:rFonts w:ascii="Calibri" w:cs="Calibri" w:eastAsia="Calibri" w:hAnsi="Calibri"/>
          <w:b w:val="false"/>
          <w:bCs w:val="false"/>
          <w:i w:val="false"/>
          <w:iCs w:val="false"/>
          <w:sz w:val="22"/>
          <w:szCs w:val="22"/>
        </w:rPr>
        <w:t xml:space="preserve">The merged entity can be prohibited from imposing exclusivity arrangements that would prevent users, suppliers, developers, or business customers from dealing with competitors.</w:t>
      </w:r>
    </w:p>
    <w:p>
      <w:pPr>
        <w:spacing w:after="160"/>
      </w:pPr>
      <w:r>
        <w:rPr>
          <w:rFonts w:ascii="Calibri" w:cs="Calibri" w:eastAsia="Calibri" w:hAnsi="Calibri"/>
          <w:b w:val="false"/>
          <w:bCs w:val="false"/>
          <w:i w:val="false"/>
          <w:iCs w:val="false"/>
          <w:sz w:val="22"/>
          <w:szCs w:val="22"/>
        </w:rPr>
        <w:t xml:space="preserve">For example:</w:t>
      </w:r>
    </w:p>
    <w:p>
      <w:pPr>
        <w:spacing w:after="160"/>
      </w:pPr>
      <w:r>
        <w:rPr>
          <w:rFonts w:ascii="Calibri" w:cs="Calibri" w:eastAsia="Calibri" w:hAnsi="Calibri"/>
          <w:b/>
          <w:bCs/>
          <w:i w:val="false"/>
          <w:iCs w:val="false"/>
          <w:sz w:val="22"/>
          <w:szCs w:val="22"/>
        </w:rPr>
        <w:t xml:space="preserve">Before remedy:</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Platform → exclusive relationship → business users cannot use rival platform</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bCs/>
          <w:i w:val="false"/>
          <w:iCs w:val="false"/>
          <w:sz w:val="22"/>
          <w:szCs w:val="22"/>
        </w:rPr>
        <w:t xml:space="preserve">After remedy:</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Business users → can multi-home → can use competing platforms</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This is particularly important in markets with strong </w:t>
      </w:r>
      <w:r>
        <w:rPr>
          <w:rFonts w:ascii="Calibri" w:cs="Calibri" w:eastAsia="Calibri" w:hAnsi="Calibri"/>
          <w:b/>
          <w:bCs/>
          <w:i w:val="false"/>
          <w:iCs w:val="false"/>
          <w:sz w:val="22"/>
          <w:szCs w:val="22"/>
        </w:rPr>
        <w:t xml:space="preserve">network effects</w:t>
      </w:r>
      <w:r>
        <w:rPr>
          <w:rFonts w:ascii="Calibri" w:cs="Calibri" w:eastAsia="Calibri" w:hAnsi="Calibri"/>
          <w:b w:val="false"/>
          <w:bCs w:val="false"/>
          <w:i w:val="false"/>
          <w:iCs w:val="false"/>
          <w:sz w:val="22"/>
          <w:szCs w:val="22"/>
        </w:rPr>
        <w:t xml:space="preserve">, because preserving multi-homing can prevent the market from tipping toward the merged platform. European digital-merger case practice has used non-exclusivity commitments for this purpose. </w:t>
      </w:r>
      <w:hyperlink w:history="1" r:id="rIduygm8ankhdt4dr8nqgddj">
        <w:r>
          <w:rPr>
            <w:rStyle w:val="Hyperlink"/>
            <w:rFonts w:ascii="Calibri" w:cs="Calibri" w:eastAsia="Calibri" w:hAnsi="Calibri"/>
            <w:sz w:val="22"/>
            <w:szCs w:val="22"/>
          </w:rPr>
          <w:t xml:space="preserve">[1]</w:t>
        </w:r>
      </w:hyperlink>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7. Choice remedies</w:t>
      </w:r>
    </w:p>
    <w:p>
      <w:pPr>
        <w:spacing w:after="160"/>
      </w:pPr>
      <w:r>
        <w:rPr>
          <w:rFonts w:ascii="Calibri" w:cs="Calibri" w:eastAsia="Calibri" w:hAnsi="Calibri"/>
          <w:b w:val="false"/>
          <w:bCs w:val="false"/>
          <w:i w:val="false"/>
          <w:iCs w:val="false"/>
          <w:sz w:val="22"/>
          <w:szCs w:val="22"/>
        </w:rPr>
        <w:t xml:space="preserve">These preserve users' ability to choose competing services.</w:t>
      </w:r>
    </w:p>
    <w:p>
      <w:pPr>
        <w:spacing w:after="160"/>
      </w:pPr>
      <w:r>
        <w:rPr>
          <w:rFonts w:ascii="Calibri" w:cs="Calibri" w:eastAsia="Calibri" w:hAnsi="Calibri"/>
          <w:b w:val="false"/>
          <w:bCs w:val="false"/>
          <w:i w:val="false"/>
          <w:iCs w:val="false"/>
          <w:sz w:val="22"/>
          <w:szCs w:val="22"/>
        </w:rPr>
        <w:t xml:space="preserve">They can include:</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allowing users to uninstall pre-installed applications;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choice screens;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preventing automatic default settings;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allowing OEMs to decide which services to pre-install;</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preventing contractual arrangements that make a particular service the default.</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Again, </w:t>
      </w:r>
      <w:r>
        <w:rPr>
          <w:rFonts w:ascii="Calibri" w:cs="Calibri" w:eastAsia="Calibri" w:hAnsi="Calibri"/>
          <w:b/>
          <w:bCs/>
          <w:i w:val="false"/>
          <w:iCs w:val="false"/>
          <w:sz w:val="22"/>
          <w:szCs w:val="22"/>
        </w:rPr>
        <w:t xml:space="preserve">Microsoft/LinkedIn</w:t>
      </w:r>
      <w:r>
        <w:rPr>
          <w:rFonts w:ascii="Calibri" w:cs="Calibri" w:eastAsia="Calibri" w:hAnsi="Calibri"/>
          <w:b w:val="false"/>
          <w:bCs w:val="false"/>
          <w:i w:val="false"/>
          <w:iCs w:val="false"/>
          <w:sz w:val="22"/>
          <w:szCs w:val="22"/>
        </w:rPr>
        <w:t xml:space="preserve"> is illustrative: commitments addressed concerns about LinkedIn being pre-installed and pushed through Microsoft's ecosystem. </w:t>
      </w:r>
      <w:hyperlink w:history="1" r:id="rId0j2nmzlzpkugcl1r-4fv-">
        <w:r>
          <w:rPr>
            <w:rStyle w:val="Hyperlink"/>
            <w:rFonts w:ascii="Calibri" w:cs="Calibri" w:eastAsia="Calibri" w:hAnsi="Calibri"/>
            <w:sz w:val="22"/>
            <w:szCs w:val="22"/>
          </w:rPr>
          <w:t xml:space="preserve">[3]</w:t>
        </w:r>
      </w:hyperlink>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8. Restrictions on use of commercially sensitive information</w:t>
      </w:r>
    </w:p>
    <w:p>
      <w:pPr>
        <w:spacing w:after="160"/>
      </w:pPr>
      <w:r>
        <w:rPr>
          <w:rFonts w:ascii="Calibri" w:cs="Calibri" w:eastAsia="Calibri" w:hAnsi="Calibri"/>
          <w:b w:val="false"/>
          <w:bCs w:val="false"/>
          <w:i w:val="false"/>
          <w:iCs w:val="false"/>
          <w:sz w:val="22"/>
          <w:szCs w:val="22"/>
        </w:rPr>
        <w:t xml:space="preserve">This is important in </w:t>
      </w:r>
      <w:r>
        <w:rPr>
          <w:rFonts w:ascii="Calibri" w:cs="Calibri" w:eastAsia="Calibri" w:hAnsi="Calibri"/>
          <w:b/>
          <w:bCs/>
          <w:i w:val="false"/>
          <w:iCs w:val="false"/>
          <w:sz w:val="22"/>
          <w:szCs w:val="22"/>
        </w:rPr>
        <w:t xml:space="preserve">platform/intermediation mergers</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Suppose:</w:t>
      </w:r>
    </w:p>
    <w:p>
      <w:pPr>
        <w:spacing w:after="16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Platform A intermediates transactions for businesses</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Platform A acquires competing seller/service provider</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Platform A now sees competitors' commercially sensitive data</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It can use that information against them</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A remedy can require </w:t>
      </w:r>
      <w:r>
        <w:rPr>
          <w:rFonts w:ascii="Calibri" w:cs="Calibri" w:eastAsia="Calibri" w:hAnsi="Calibri"/>
          <w:b/>
          <w:bCs/>
          <w:i w:val="false"/>
          <w:iCs w:val="false"/>
          <w:sz w:val="22"/>
          <w:szCs w:val="22"/>
        </w:rPr>
        <w:t xml:space="preserve">information firewalls/data separation</w:t>
      </w:r>
      <w:r>
        <w:rPr>
          <w:rFonts w:ascii="Calibri" w:cs="Calibri" w:eastAsia="Calibri" w:hAnsi="Calibri"/>
          <w:b w:val="false"/>
          <w:bCs w:val="false"/>
          <w:i w:val="false"/>
          <w:iCs w:val="false"/>
          <w:sz w:val="22"/>
          <w:szCs w:val="22"/>
        </w:rPr>
        <w:t xml:space="preserve">, preventing the merged entity's downstream business from accessing competitors' sensitive information.</w:t>
      </w:r>
    </w:p>
    <w:p>
      <w:pPr>
        <w:spacing w:after="160"/>
      </w:pPr>
      <w:r>
        <w:rPr>
          <w:rFonts w:ascii="Calibri" w:cs="Calibri" w:eastAsia="Calibri" w:hAnsi="Calibri"/>
          <w:b w:val="false"/>
          <w:bCs w:val="false"/>
          <w:i w:val="false"/>
          <w:iCs w:val="false"/>
          <w:sz w:val="22"/>
          <w:szCs w:val="22"/>
        </w:rPr>
        <w:t xml:space="preserve">The OECD identifies this as a particularly relevant concern in digital merger cases. </w:t>
      </w:r>
      <w:hyperlink w:history="1" r:id="rIdbwqv6tbr0fems_4gmq8m0">
        <w:r>
          <w:rPr>
            <w:rStyle w:val="Hyperlink"/>
            <w:rFonts w:ascii="Calibri" w:cs="Calibri" w:eastAsia="Calibri" w:hAnsi="Calibri"/>
            <w:sz w:val="22"/>
            <w:szCs w:val="22"/>
          </w:rPr>
          <w:t xml:space="preserve">[5]</w:t>
        </w:r>
      </w:hyperlink>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9. Licensing remedies</w:t>
      </w:r>
    </w:p>
    <w:p>
      <w:pPr>
        <w:spacing w:after="160"/>
      </w:pPr>
      <w:r>
        <w:rPr>
          <w:rFonts w:ascii="Calibri" w:cs="Calibri" w:eastAsia="Calibri" w:hAnsi="Calibri"/>
          <w:b w:val="false"/>
          <w:bCs w:val="false"/>
          <w:i w:val="false"/>
          <w:iCs w:val="false"/>
          <w:sz w:val="22"/>
          <w:szCs w:val="22"/>
        </w:rPr>
        <w:t xml:space="preserve">The merged firm may be required to license:</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patents;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technology;</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APIs;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software;</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intellectual property;</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essential infrastructure.</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The purpose is to prevent the merger from giving the firm control over an input that rivals need in order to compete.</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10. Monitoring and governance remedies</w:t>
      </w:r>
    </w:p>
    <w:p>
      <w:pPr>
        <w:spacing w:after="160"/>
      </w:pPr>
      <w:r>
        <w:rPr>
          <w:rFonts w:ascii="Calibri" w:cs="Calibri" w:eastAsia="Calibri" w:hAnsi="Calibri"/>
          <w:b w:val="false"/>
          <w:bCs w:val="false"/>
          <w:i w:val="false"/>
          <w:iCs w:val="false"/>
          <w:sz w:val="22"/>
          <w:szCs w:val="22"/>
        </w:rPr>
        <w:t xml:space="preserve">Digital remedies can be difficult to monitor because the underlying technology changes rapidly. Authorities may therefore require:</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independent monitoring trustees;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regular compliance reports;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auditing;</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transparency obligations;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technical monitoring;</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dispute-resolution mechanisms;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120"/>
      </w:pP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fixed-duration commitments with review mechanisms.</w:t>
      </w:r>
      <w:r>
        <w:rPr>
          <w:rFonts w:ascii="Calibri" w:cs="Calibri" w:eastAsia="Calibri" w:hAnsi="Calibri"/>
          <w:b w:val="false"/>
          <w:bCs w:val="false"/>
          <w:i w:val="false"/>
          <w:iCs w:val="false"/>
          <w:sz w:val="22"/>
          <w:szCs w:val="22"/>
        </w:rPr>
        <w:t xml:space="preserve">
</w:t>
      </w:r>
    </w:p>
    <w:p>
      <w:pPr>
        <w:spacing w:after="160"/>
      </w:pPr>
      <w:r>
        <w:rPr>
          <w:rFonts w:ascii="Calibri" w:cs="Calibri" w:eastAsia="Calibri" w:hAnsi="Calibri"/>
          <w:b w:val="false"/>
          <w:bCs w:val="false"/>
          <w:i w:val="false"/>
          <w:iCs w:val="false"/>
          <w:sz w:val="22"/>
          <w:szCs w:val="22"/>
        </w:rPr>
        <w:t xml:space="preserve">This is crucial because </w:t>
      </w:r>
      <w:r>
        <w:rPr>
          <w:rFonts w:ascii="Calibri" w:cs="Calibri" w:eastAsia="Calibri" w:hAnsi="Calibri"/>
          <w:b/>
          <w:bCs/>
          <w:i w:val="false"/>
          <w:iCs w:val="false"/>
          <w:sz w:val="22"/>
          <w:szCs w:val="22"/>
        </w:rPr>
        <w:t xml:space="preserve">a remedy that looks effective on paper may become ineffective as the platform, technology, or market evolves</w:t>
      </w:r>
      <w:r>
        <w:rPr>
          <w:rFonts w:ascii="Calibri" w:cs="Calibri" w:eastAsia="Calibri" w:hAnsi="Calibri"/>
          <w:b w:val="false"/>
          <w:bCs w:val="false"/>
          <w:i w:val="false"/>
          <w:iCs w:val="false"/>
          <w:sz w:val="22"/>
          <w:szCs w:val="22"/>
        </w:rPr>
        <w:t xml:space="preserve">.</w:t>
      </w:r>
    </w:p>
    <w:p>
      <w:pPr>
        <w:pBdr>
          <w:bottom w:val="single" w:color="999999" w:sz="6" w:space="1"/>
        </w:pBdr>
        <w:spacing w:after="120" w:before="120"/>
      </w:pPr>
    </w:p>
    <w:p>
      <w:pPr>
        <w:spacing w:after="120" w:before="240"/>
      </w:pPr>
      <w:r>
        <w:rPr>
          <w:rFonts w:ascii="Calibri" w:cs="Calibri" w:eastAsia="Calibri" w:hAnsi="Calibri"/>
          <w:b/>
          <w:bCs/>
          <w:i w:val="false"/>
          <w:iCs w:val="false"/>
          <w:sz w:val="22"/>
          <w:szCs w:val="22"/>
        </w:rPr>
        <w:t xml:space="preserve">The easiest way to remember them</w:t>
      </w:r>
    </w:p>
    <w:tbl>
      <w:tblPr>
        <w:tblW w:type="dxa" w:w="9810"/>
        <w:tblBorders>
          <w:top w:val="single" w:color="auto" w:sz="4"/>
          <w:left w:val="single" w:color="auto" w:sz="4"/>
          <w:bottom w:val="single" w:color="auto" w:sz="4"/>
          <w:right w:val="single" w:color="auto" w:sz="4"/>
          <w:insideH w:val="single" w:color="auto" w:sz="4"/>
          <w:insideV w:val="single" w:color="auto" w:sz="4"/>
        </w:tblBorders>
      </w:tblPr>
      <w:tblGrid>
        <w:gridCol w:w="4905"/>
        <w:gridCol w:w="4905"/>
      </w:tblGrid>
      <w:tr>
        <w:tc>
          <w:tcPr>
            <w:tcW w:type="dxa" w:w="4905"/>
          </w:tcPr>
          <w:p>
            <w:r>
              <w:rPr>
                <w:rFonts w:ascii="Calibri" w:cs="Calibri" w:eastAsia="Calibri" w:hAnsi="Calibri"/>
                <w:b/>
                <w:bCs/>
                <w:i w:val="false"/>
                <w:iCs w:val="false"/>
                <w:sz w:val="22"/>
                <w:szCs w:val="22"/>
              </w:rPr>
              <w:t xml:space="preserve">Remedy</w:t>
            </w:r>
          </w:p>
        </w:tc>
        <w:tc>
          <w:tcPr>
            <w:tcW w:type="dxa" w:w="4905"/>
          </w:tcPr>
          <w:p>
            <w:r>
              <w:rPr>
                <w:rFonts w:ascii="Calibri" w:cs="Calibri" w:eastAsia="Calibri" w:hAnsi="Calibri"/>
                <w:b/>
                <w:bCs/>
                <w:i w:val="false"/>
                <w:iCs w:val="false"/>
                <w:sz w:val="22"/>
                <w:szCs w:val="22"/>
              </w:rPr>
              <w:t xml:space="preserve">Main digital harm addressed</w:t>
            </w:r>
          </w:p>
        </w:tc>
      </w:tr>
      <w:tr>
        <w:tc>
          <w:tcPr>
            <w:tcW w:type="dxa" w:w="4905"/>
          </w:tcPr>
          <w:p>
            <w:r>
              <w:rPr>
                <w:rFonts w:ascii="Calibri" w:cs="Calibri" w:eastAsia="Calibri" w:hAnsi="Calibri"/>
                <w:b/>
                <w:bCs/>
                <w:i w:val="false"/>
                <w:iCs w:val="false"/>
                <w:sz w:val="22"/>
                <w:szCs w:val="22"/>
              </w:rPr>
              <w:t xml:space="preserve">Divestiture</w:t>
            </w:r>
          </w:p>
        </w:tc>
        <w:tc>
          <w:tcPr>
            <w:tcW w:type="dxa" w:w="4905"/>
          </w:tcPr>
          <w:p>
            <w:r>
              <w:rPr>
                <w:rFonts w:ascii="Calibri" w:cs="Calibri" w:eastAsia="Calibri" w:hAnsi="Calibri"/>
                <w:b w:val="false"/>
                <w:bCs w:val="false"/>
                <w:i w:val="false"/>
                <w:iCs w:val="false"/>
                <w:sz w:val="22"/>
                <w:szCs w:val="22"/>
              </w:rPr>
              <w:t xml:space="preserve">Loss of an important competitor</w:t>
            </w:r>
          </w:p>
        </w:tc>
      </w:tr>
      <w:tr>
        <w:tc>
          <w:tcPr>
            <w:tcW w:type="dxa" w:w="4905"/>
          </w:tcPr>
          <w:p>
            <w:r>
              <w:rPr>
                <w:rFonts w:ascii="Calibri" w:cs="Calibri" w:eastAsia="Calibri" w:hAnsi="Calibri"/>
                <w:b/>
                <w:bCs/>
                <w:i w:val="false"/>
                <w:iCs w:val="false"/>
                <w:sz w:val="22"/>
                <w:szCs w:val="22"/>
              </w:rPr>
              <w:t xml:space="preserve">Interoperability</w:t>
            </w:r>
          </w:p>
        </w:tc>
        <w:tc>
          <w:tcPr>
            <w:tcW w:type="dxa" w:w="4905"/>
          </w:tcPr>
          <w:p>
            <w:r>
              <w:rPr>
                <w:rFonts w:ascii="Calibri" w:cs="Calibri" w:eastAsia="Calibri" w:hAnsi="Calibri"/>
                <w:b w:val="false"/>
                <w:bCs w:val="false"/>
                <w:i w:val="false"/>
                <w:iCs w:val="false"/>
                <w:sz w:val="22"/>
                <w:szCs w:val="22"/>
              </w:rPr>
              <w:t xml:space="preserve">Ecosystem foreclosure / technical tying</w:t>
            </w:r>
          </w:p>
        </w:tc>
      </w:tr>
      <w:tr>
        <w:tc>
          <w:tcPr>
            <w:tcW w:type="dxa" w:w="4905"/>
          </w:tcPr>
          <w:p>
            <w:r>
              <w:rPr>
                <w:rFonts w:ascii="Calibri" w:cs="Calibri" w:eastAsia="Calibri" w:hAnsi="Calibri"/>
                <w:b/>
                <w:bCs/>
                <w:i w:val="false"/>
                <w:iCs w:val="false"/>
                <w:sz w:val="22"/>
                <w:szCs w:val="22"/>
              </w:rPr>
              <w:t xml:space="preserve">Data separation</w:t>
            </w:r>
          </w:p>
        </w:tc>
        <w:tc>
          <w:tcPr>
            <w:tcW w:type="dxa" w:w="4905"/>
          </w:tcPr>
          <w:p>
            <w:r>
              <w:rPr>
                <w:rFonts w:ascii="Calibri" w:cs="Calibri" w:eastAsia="Calibri" w:hAnsi="Calibri"/>
                <w:b w:val="false"/>
                <w:bCs w:val="false"/>
                <w:i w:val="false"/>
                <w:iCs w:val="false"/>
                <w:sz w:val="22"/>
                <w:szCs w:val="22"/>
              </w:rPr>
              <w:t xml:space="preserve">Data accumulation and leveraging</w:t>
            </w:r>
          </w:p>
        </w:tc>
      </w:tr>
      <w:tr>
        <w:tc>
          <w:tcPr>
            <w:tcW w:type="dxa" w:w="4905"/>
          </w:tcPr>
          <w:p>
            <w:r>
              <w:rPr>
                <w:rFonts w:ascii="Calibri" w:cs="Calibri" w:eastAsia="Calibri" w:hAnsi="Calibri"/>
                <w:b/>
                <w:bCs/>
                <w:i w:val="false"/>
                <w:iCs w:val="false"/>
                <w:sz w:val="22"/>
                <w:szCs w:val="22"/>
              </w:rPr>
              <w:t xml:space="preserve">Data portability</w:t>
            </w:r>
          </w:p>
        </w:tc>
        <w:tc>
          <w:tcPr>
            <w:tcW w:type="dxa" w:w="4905"/>
          </w:tcPr>
          <w:p>
            <w:r>
              <w:rPr>
                <w:rFonts w:ascii="Calibri" w:cs="Calibri" w:eastAsia="Calibri" w:hAnsi="Calibri"/>
                <w:b w:val="false"/>
                <w:bCs w:val="false"/>
                <w:i w:val="false"/>
                <w:iCs w:val="false"/>
                <w:sz w:val="22"/>
                <w:szCs w:val="22"/>
              </w:rPr>
              <w:t xml:space="preserve">Switching costs / network effects</w:t>
            </w:r>
          </w:p>
        </w:tc>
      </w:tr>
      <w:tr>
        <w:tc>
          <w:tcPr>
            <w:tcW w:type="dxa" w:w="4905"/>
          </w:tcPr>
          <w:p>
            <w:r>
              <w:rPr>
                <w:rFonts w:ascii="Calibri" w:cs="Calibri" w:eastAsia="Calibri" w:hAnsi="Calibri"/>
                <w:b/>
                <w:bCs/>
                <w:i w:val="false"/>
                <w:iCs w:val="false"/>
                <w:sz w:val="22"/>
                <w:szCs w:val="22"/>
              </w:rPr>
              <w:t xml:space="preserve">Non-discrimination</w:t>
            </w:r>
          </w:p>
        </w:tc>
        <w:tc>
          <w:tcPr>
            <w:tcW w:type="dxa" w:w="4905"/>
          </w:tcPr>
          <w:p>
            <w:r>
              <w:rPr>
                <w:rFonts w:ascii="Calibri" w:cs="Calibri" w:eastAsia="Calibri" w:hAnsi="Calibri"/>
                <w:b w:val="false"/>
                <w:bCs w:val="false"/>
                <w:i w:val="false"/>
                <w:iCs w:val="false"/>
                <w:sz w:val="22"/>
                <w:szCs w:val="22"/>
              </w:rPr>
              <w:t xml:space="preserve">Foreclosure of rivals</w:t>
            </w:r>
          </w:p>
        </w:tc>
      </w:tr>
      <w:tr>
        <w:tc>
          <w:tcPr>
            <w:tcW w:type="dxa" w:w="4905"/>
          </w:tcPr>
          <w:p>
            <w:r>
              <w:rPr>
                <w:rFonts w:ascii="Calibri" w:cs="Calibri" w:eastAsia="Calibri" w:hAnsi="Calibri"/>
                <w:b/>
                <w:bCs/>
                <w:i w:val="false"/>
                <w:iCs w:val="false"/>
                <w:sz w:val="22"/>
                <w:szCs w:val="22"/>
              </w:rPr>
              <w:t xml:space="preserve">Self-preferencing prohibition</w:t>
            </w:r>
          </w:p>
        </w:tc>
        <w:tc>
          <w:tcPr>
            <w:tcW w:type="dxa" w:w="4905"/>
          </w:tcPr>
          <w:p>
            <w:r>
              <w:rPr>
                <w:rFonts w:ascii="Calibri" w:cs="Calibri" w:eastAsia="Calibri" w:hAnsi="Calibri"/>
                <w:b w:val="false"/>
                <w:bCs w:val="false"/>
                <w:i w:val="false"/>
                <w:iCs w:val="false"/>
                <w:sz w:val="22"/>
                <w:szCs w:val="22"/>
              </w:rPr>
              <w:t xml:space="preserve">Platform favouring its own services</w:t>
            </w:r>
          </w:p>
        </w:tc>
      </w:tr>
      <w:tr>
        <w:tc>
          <w:tcPr>
            <w:tcW w:type="dxa" w:w="4905"/>
          </w:tcPr>
          <w:p>
            <w:r>
              <w:rPr>
                <w:rFonts w:ascii="Calibri" w:cs="Calibri" w:eastAsia="Calibri" w:hAnsi="Calibri"/>
                <w:b/>
                <w:bCs/>
                <w:i w:val="false"/>
                <w:iCs w:val="false"/>
                <w:sz w:val="22"/>
                <w:szCs w:val="22"/>
              </w:rPr>
              <w:t xml:space="preserve">Non-exclusivity</w:t>
            </w:r>
          </w:p>
        </w:tc>
        <w:tc>
          <w:tcPr>
            <w:tcW w:type="dxa" w:w="4905"/>
          </w:tcPr>
          <w:p>
            <w:r>
              <w:rPr>
                <w:rFonts w:ascii="Calibri" w:cs="Calibri" w:eastAsia="Calibri" w:hAnsi="Calibri"/>
                <w:b w:val="false"/>
                <w:bCs w:val="false"/>
                <w:i w:val="false"/>
                <w:iCs w:val="false"/>
                <w:sz w:val="22"/>
                <w:szCs w:val="22"/>
              </w:rPr>
              <w:t xml:space="preserve">Preventing multi-homing</w:t>
            </w:r>
          </w:p>
        </w:tc>
      </w:tr>
      <w:tr>
        <w:tc>
          <w:tcPr>
            <w:tcW w:type="dxa" w:w="4905"/>
          </w:tcPr>
          <w:p>
            <w:r>
              <w:rPr>
                <w:rFonts w:ascii="Calibri" w:cs="Calibri" w:eastAsia="Calibri" w:hAnsi="Calibri"/>
                <w:b/>
                <w:bCs/>
                <w:i w:val="false"/>
                <w:iCs w:val="false"/>
                <w:sz w:val="22"/>
                <w:szCs w:val="22"/>
              </w:rPr>
              <w:t xml:space="preserve">Choice remedies</w:t>
            </w:r>
          </w:p>
        </w:tc>
        <w:tc>
          <w:tcPr>
            <w:tcW w:type="dxa" w:w="4905"/>
          </w:tcPr>
          <w:p>
            <w:r>
              <w:rPr>
                <w:rFonts w:ascii="Calibri" w:cs="Calibri" w:eastAsia="Calibri" w:hAnsi="Calibri"/>
                <w:b w:val="false"/>
                <w:bCs w:val="false"/>
                <w:i w:val="false"/>
                <w:iCs w:val="false"/>
                <w:sz w:val="22"/>
                <w:szCs w:val="22"/>
              </w:rPr>
              <w:t xml:space="preserve">Defaults and user lock-in</w:t>
            </w:r>
          </w:p>
        </w:tc>
      </w:tr>
      <w:tr>
        <w:tc>
          <w:tcPr>
            <w:tcW w:type="dxa" w:w="4905"/>
          </w:tcPr>
          <w:p>
            <w:r>
              <w:rPr>
                <w:rFonts w:ascii="Calibri" w:cs="Calibri" w:eastAsia="Calibri" w:hAnsi="Calibri"/>
                <w:b/>
                <w:bCs/>
                <w:i w:val="false"/>
                <w:iCs w:val="false"/>
                <w:sz w:val="22"/>
                <w:szCs w:val="22"/>
              </w:rPr>
              <w:t xml:space="preserve">Information firewall</w:t>
            </w:r>
          </w:p>
        </w:tc>
        <w:tc>
          <w:tcPr>
            <w:tcW w:type="dxa" w:w="4905"/>
          </w:tcPr>
          <w:p>
            <w:r>
              <w:rPr>
                <w:rFonts w:ascii="Calibri" w:cs="Calibri" w:eastAsia="Calibri" w:hAnsi="Calibri"/>
                <w:b w:val="false"/>
                <w:bCs w:val="false"/>
                <w:i w:val="false"/>
                <w:iCs w:val="false"/>
                <w:sz w:val="22"/>
                <w:szCs w:val="22"/>
              </w:rPr>
              <w:t xml:space="preserve">Misuse of competitors' data</w:t>
            </w:r>
          </w:p>
        </w:tc>
      </w:tr>
      <w:tr>
        <w:tc>
          <w:tcPr>
            <w:tcW w:type="dxa" w:w="4905"/>
          </w:tcPr>
          <w:p>
            <w:r>
              <w:rPr>
                <w:rFonts w:ascii="Calibri" w:cs="Calibri" w:eastAsia="Calibri" w:hAnsi="Calibri"/>
                <w:b/>
                <w:bCs/>
                <w:i w:val="false"/>
                <w:iCs w:val="false"/>
                <w:sz w:val="22"/>
                <w:szCs w:val="22"/>
              </w:rPr>
              <w:t xml:space="preserve">Licensing/access</w:t>
            </w:r>
          </w:p>
        </w:tc>
        <w:tc>
          <w:tcPr>
            <w:tcW w:type="dxa" w:w="4905"/>
          </w:tcPr>
          <w:p>
            <w:r>
              <w:rPr>
                <w:rFonts w:ascii="Calibri" w:cs="Calibri" w:eastAsia="Calibri" w:hAnsi="Calibri"/>
                <w:b w:val="false"/>
                <w:bCs w:val="false"/>
                <w:i w:val="false"/>
                <w:iCs w:val="false"/>
                <w:sz w:val="22"/>
                <w:szCs w:val="22"/>
              </w:rPr>
              <w:t xml:space="preserve">Input or infrastructure foreclosure</w:t>
            </w:r>
          </w:p>
        </w:tc>
      </w:tr>
      <w:tr>
        <w:tc>
          <w:tcPr>
            <w:tcW w:type="dxa" w:w="4905"/>
          </w:tcPr>
          <w:p>
            <w:r>
              <w:rPr>
                <w:rFonts w:ascii="Calibri" w:cs="Calibri" w:eastAsia="Calibri" w:hAnsi="Calibri"/>
                <w:b/>
                <w:bCs/>
                <w:i w:val="false"/>
                <w:iCs w:val="false"/>
                <w:sz w:val="22"/>
                <w:szCs w:val="22"/>
              </w:rPr>
              <w:t xml:space="preserve">Monitoring</w:t>
            </w:r>
          </w:p>
        </w:tc>
        <w:tc>
          <w:tcPr>
            <w:tcW w:type="dxa" w:w="4905"/>
          </w:tcPr>
          <w:p>
            <w:r>
              <w:rPr>
                <w:rFonts w:ascii="Calibri" w:cs="Calibri" w:eastAsia="Calibri" w:hAnsi="Calibri"/>
                <w:b w:val="false"/>
                <w:bCs w:val="false"/>
                <w:i w:val="false"/>
                <w:iCs w:val="false"/>
                <w:sz w:val="22"/>
                <w:szCs w:val="22"/>
              </w:rPr>
              <w:t xml:space="preserve">Ensuring behavioural commitments actually work</w:t>
            </w:r>
          </w:p>
        </w:tc>
      </w:tr>
    </w:tbl>
    <w:p>
      <w:pPr>
        <w:spacing w:after="120"/>
      </w:pPr>
    </w:p>
    <w:p>
      <w:pPr>
        <w:spacing w:after="120" w:before="240"/>
      </w:pPr>
      <w:r>
        <w:rPr>
          <w:rFonts w:ascii="Calibri" w:cs="Calibri" w:eastAsia="Calibri" w:hAnsi="Calibri"/>
          <w:b/>
          <w:bCs/>
          <w:i w:val="false"/>
          <w:iCs w:val="false"/>
          <w:sz w:val="22"/>
          <w:szCs w:val="22"/>
        </w:rPr>
        <w:t xml:space="preserve">The key distinction</w:t>
      </w:r>
    </w:p>
    <w:p>
      <w:pPr>
        <w:spacing w:after="160"/>
      </w:pPr>
      <w:r>
        <w:rPr>
          <w:rFonts w:ascii="Calibri" w:cs="Calibri" w:eastAsia="Calibri" w:hAnsi="Calibri"/>
          <w:b w:val="false"/>
          <w:bCs w:val="false"/>
          <w:i w:val="false"/>
          <w:iCs w:val="false"/>
          <w:sz w:val="22"/>
          <w:szCs w:val="22"/>
        </w:rPr>
        <w:t xml:space="preserve">For an exam or competition-law analysis, I'd frame it as:</w:t>
      </w:r>
    </w:p>
    <w:p>
      <w:pPr>
        <w:spacing w:after="160"/>
      </w:pPr>
      <w:r>
        <w:rPr>
          <w:rFonts w:ascii="Calibri" w:cs="Calibri" w:eastAsia="Calibri" w:hAnsi="Calibri"/>
          <w:b/>
          <w:bCs/>
          <w:i w:val="false"/>
          <w:iCs w:val="false"/>
          <w:sz w:val="22"/>
          <w:szCs w:val="22"/>
        </w:rPr>
        <w:t xml:space="preserve">Structural remedies</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 change </w:t>
      </w:r>
      <w:r>
        <w:rPr>
          <w:rFonts w:ascii="Calibri" w:cs="Calibri" w:eastAsia="Calibri" w:hAnsi="Calibri"/>
          <w:b w:val="false"/>
          <w:bCs w:val="false"/>
          <w:i/>
          <w:iCs/>
          <w:sz w:val="22"/>
          <w:szCs w:val="22"/>
        </w:rPr>
        <w:t xml:space="preserve">who owns what</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bCs/>
          <w:i w:val="false"/>
          <w:iCs w:val="false"/>
          <w:sz w:val="22"/>
          <w:szCs w:val="22"/>
        </w:rPr>
        <w:t xml:space="preserve">Behavioural remedies</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 regulate </w:t>
      </w:r>
      <w:r>
        <w:rPr>
          <w:rFonts w:ascii="Calibri" w:cs="Calibri" w:eastAsia="Calibri" w:hAnsi="Calibri"/>
          <w:b w:val="false"/>
          <w:bCs w:val="false"/>
          <w:i/>
          <w:iCs/>
          <w:sz w:val="22"/>
          <w:szCs w:val="22"/>
        </w:rPr>
        <w:t xml:space="preserve">how the merged firm behaves</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bCs/>
          <w:i w:val="false"/>
          <w:iCs w:val="false"/>
          <w:sz w:val="22"/>
          <w:szCs w:val="22"/>
        </w:rPr>
        <w:t xml:space="preserve">Digital-specific remedies</w:t>
      </w:r>
      <w:r>
        <w:rPr>
          <w:rFonts w:ascii="Calibri" w:cs="Calibri" w:eastAsia="Calibri" w:hAnsi="Calibri"/>
          <w:b w:val="false"/>
          <w:bCs w:val="false"/>
          <w:i w:val="false"/>
          <w:iCs w:val="false"/>
          <w:sz w:val="22"/>
          <w:szCs w:val="22"/>
        </w:rPr>
        <w:t xml:space="preserve">
</w:t>
      </w:r>
      <w:r>
        <w:rPr>
          <w:rFonts w:ascii="Calibri" w:cs="Calibri" w:eastAsia="Calibri" w:hAnsi="Calibri"/>
          <w:b w:val="false"/>
          <w:bCs w:val="false"/>
          <w:i w:val="false"/>
          <w:iCs w:val="false"/>
          <w:sz w:val="22"/>
          <w:szCs w:val="22"/>
        </w:rPr>
        <w:t xml:space="preserve">
→ often focus on </w:t>
      </w:r>
      <w:r>
        <w:rPr>
          <w:rFonts w:ascii="Calibri" w:cs="Calibri" w:eastAsia="Calibri" w:hAnsi="Calibri"/>
          <w:b/>
          <w:bCs/>
          <w:i w:val="false"/>
          <w:iCs w:val="false"/>
          <w:sz w:val="22"/>
          <w:szCs w:val="22"/>
        </w:rPr>
        <w:t xml:space="preserve">interoperability, data, access, non-discrimination, self-preferencing, portability and multi-homing</w:t>
      </w:r>
      <w:r>
        <w:rPr>
          <w:rFonts w:ascii="Calibri" w:cs="Calibri" w:eastAsia="Calibri" w:hAnsi="Calibri"/>
          <w:b w:val="false"/>
          <w:bCs w:val="false"/>
          <w:i w:val="false"/>
          <w:iCs w:val="false"/>
          <w:sz w:val="22"/>
          <w:szCs w:val="22"/>
        </w:rPr>
        <w:t xml:space="preserve">.</w:t>
      </w:r>
    </w:p>
    <w:p>
      <w:pPr>
        <w:spacing w:after="160"/>
      </w:pPr>
      <w:r>
        <w:rPr>
          <w:rFonts w:ascii="Calibri" w:cs="Calibri" w:eastAsia="Calibri" w:hAnsi="Calibri"/>
          <w:b w:val="false"/>
          <w:bCs w:val="false"/>
          <w:i w:val="false"/>
          <w:iCs w:val="false"/>
          <w:sz w:val="22"/>
          <w:szCs w:val="22"/>
        </w:rPr>
        <w:t xml:space="preserve">And there is an important policy point: </w:t>
      </w:r>
      <w:r>
        <w:rPr>
          <w:rFonts w:ascii="Calibri" w:cs="Calibri" w:eastAsia="Calibri" w:hAnsi="Calibri"/>
          <w:b/>
          <w:bCs/>
          <w:i w:val="false"/>
          <w:iCs w:val="false"/>
          <w:sz w:val="22"/>
          <w:szCs w:val="22"/>
        </w:rPr>
        <w:t xml:space="preserve">behavioural remedies are attractive because they preserve merger efficiencies, but they can be difficult to monitor and may require the authority to regulate a fast-changing digital ecosystem for years.</w:t>
      </w:r>
      <w:r>
        <w:rPr>
          <w:rFonts w:ascii="Calibri" w:cs="Calibri" w:eastAsia="Calibri" w:hAnsi="Calibri"/>
          <w:b w:val="false"/>
          <w:bCs w:val="false"/>
          <w:i w:val="false"/>
          <w:iCs w:val="false"/>
          <w:sz w:val="22"/>
          <w:szCs w:val="22"/>
        </w:rPr>
        <w:t xml:space="preserve"> Structural remedies are usually cleaner, but can sacrifice efficiencies and may be difficult to design where the competitive asset is an algorithm, dataset, user network, or rapidly evolving technology. The European Commission's digital-merger case review found behavioural remedies to be much more common than structural remedies in the national cases examined. </w:t>
      </w:r>
      <w:hyperlink w:history="1" r:id="rIdldnjiqexdka95nekxf4h7">
        <w:r>
          <w:rPr>
            <w:rStyle w:val="Hyperlink"/>
            <w:rFonts w:ascii="Calibri" w:cs="Calibri" w:eastAsia="Calibri" w:hAnsi="Calibri"/>
            <w:sz w:val="22"/>
            <w:szCs w:val="22"/>
          </w:rPr>
          <w:t xml:space="preserve">[1]</w:t>
        </w:r>
      </w:hyperlink>
    </w:p>
    <w:p>
      <w:pPr>
        <w:spacing w:after="160"/>
      </w:pPr>
      <w:r>
        <w:rPr>
          <w:rFonts w:ascii="Calibri" w:cs="Calibri" w:eastAsia="Calibri" w:hAnsi="Calibri"/>
          <w:b w:val="false"/>
          <w:bCs w:val="false"/>
          <w:i w:val="false"/>
          <w:iCs w:val="false"/>
          <w:sz w:val="22"/>
          <w:szCs w:val="22"/>
        </w:rPr>
        <w:t xml:space="preserve">The EU's current merger-guideline review is also explicitly updating the framework in light of digitalisation and changed competitive dynamics; new draft guidelines were published in April 2026. </w:t>
      </w:r>
      <w:hyperlink w:history="1" r:id="rIdasdaia0lml_uwxkhshhfn">
        <w:r>
          <w:rPr>
            <w:rStyle w:val="Hyperlink"/>
            <w:rFonts w:ascii="Calibri" w:cs="Calibri" w:eastAsia="Calibri" w:hAnsi="Calibri"/>
            <w:sz w:val="22"/>
            <w:szCs w:val="22"/>
          </w:rPr>
          <w:t xml:space="preserve">[6]</w:t>
        </w:r>
      </w:hyperlink>
    </w:p>
    <w:p>
      <w:pPr>
        <w:spacing w:after="120" w:before="240"/>
      </w:pPr>
      <w:r>
        <w:rPr>
          <w:rFonts w:ascii="Calibri" w:cs="Calibri" w:eastAsia="Calibri" w:hAnsi="Calibri"/>
          <w:b/>
          <w:bCs/>
          <w:color w:val="1F4E5F"/>
          <w:sz w:val="28"/>
          <w:szCs w:val="28"/>
        </w:rPr>
        <w:t xml:space="preserve">Cited Sources</w:t>
      </w:r>
    </w:p>
    <w:p>
      <w:pPr>
        <w:pStyle w:val="ListParagraph"/>
        <w:numPr>
          <w:ilvl w:val="0"/>
          <w:numId w:val="2"/>
        </w:numPr>
        <w:spacing w:after="80"/>
      </w:pPr>
      <w:hyperlink w:history="1" r:id="rIdeymljb2eg5z_5oppxv99v">
        <w:r>
          <w:rPr>
            <w:rStyle w:val="Hyperlink"/>
            <w:rFonts w:ascii="Calibri" w:cs="Calibri" w:eastAsia="Calibri" w:hAnsi="Calibri"/>
            <w:sz w:val="22"/>
            <w:szCs w:val="22"/>
          </w:rPr>
          <w:t xml:space="preserve">https://competition-policy.ec.europa.eu/system/files/2022-12/kd0422317enn_merger_review_in_digital_and_tech_markets_1.pdf</w:t>
        </w:r>
      </w:hyperlink>
    </w:p>
    <w:p>
      <w:pPr>
        <w:pStyle w:val="ListParagraph"/>
        <w:numPr>
          <w:ilvl w:val="0"/>
          <w:numId w:val="2"/>
        </w:numPr>
        <w:spacing w:after="80"/>
      </w:pPr>
      <w:hyperlink w:history="1" r:id="rIdoshp2ie9outm914noznkf">
        <w:r>
          <w:rPr>
            <w:rStyle w:val="Hyperlink"/>
            <w:rFonts w:ascii="Calibri" w:cs="Calibri" w:eastAsia="Calibri" w:hAnsi="Calibri"/>
            <w:sz w:val="22"/>
            <w:szCs w:val="22"/>
          </w:rPr>
          <w:t xml:space="preserve">https://competition-policy.ec.europa.eu/mergers_en</w:t>
        </w:r>
      </w:hyperlink>
    </w:p>
    <w:p>
      <w:pPr>
        <w:pStyle w:val="ListParagraph"/>
        <w:numPr>
          <w:ilvl w:val="0"/>
          <w:numId w:val="2"/>
        </w:numPr>
        <w:spacing w:after="80"/>
      </w:pPr>
      <w:hyperlink w:history="1" r:id="rIdypf9nnu-vrzrt0cdusz6q">
        <w:r>
          <w:rPr>
            <w:rStyle w:val="Hyperlink"/>
            <w:rFonts w:ascii="Calibri" w:cs="Calibri" w:eastAsia="Calibri" w:hAnsi="Calibri"/>
            <w:sz w:val="22"/>
            <w:szCs w:val="22"/>
          </w:rPr>
          <w:t xml:space="preserve">https://www.oecd.org/content/dam/oecd/en/publications/reports/2021/10/abuse-of-dominance-in-digital-markets_cb5e6fa5/4c36b455-en.pdf</w:t>
        </w:r>
      </w:hyperlink>
    </w:p>
    <w:p>
      <w:pPr>
        <w:pStyle w:val="ListParagraph"/>
        <w:numPr>
          <w:ilvl w:val="0"/>
          <w:numId w:val="2"/>
        </w:numPr>
        <w:spacing w:after="80"/>
      </w:pPr>
      <w:hyperlink w:history="1" r:id="rId_y4kgb6ejojubavvbvwpu">
        <w:r>
          <w:rPr>
            <w:rStyle w:val="Hyperlink"/>
            <w:rFonts w:ascii="Calibri" w:cs="Calibri" w:eastAsia="Calibri" w:hAnsi="Calibri"/>
            <w:sz w:val="22"/>
            <w:szCs w:val="22"/>
          </w:rPr>
          <w:t xml:space="preserve">https://www.oecd.org/content/dam/oecd/en/publications/reports/2022/02/oecd-handbook-on-competition-policy-in-the-digital-age_50b6e951/c8c1841b-en.pdf</w:t>
        </w:r>
      </w:hyperlink>
    </w:p>
    <w:p>
      <w:pPr>
        <w:pStyle w:val="ListParagraph"/>
        <w:numPr>
          <w:ilvl w:val="0"/>
          <w:numId w:val="2"/>
        </w:numPr>
        <w:spacing w:after="80"/>
      </w:pPr>
      <w:hyperlink w:history="1" r:id="rId_5unaslma-c8whxc7oswc">
        <w:r>
          <w:rPr>
            <w:rStyle w:val="Hyperlink"/>
            <w:rFonts w:ascii="Calibri" w:cs="Calibri" w:eastAsia="Calibri" w:hAnsi="Calibri"/>
            <w:sz w:val="22"/>
            <w:szCs w:val="22"/>
          </w:rPr>
          <w:t xml:space="preserve">https://www.oecd.org/en/publications/remedies-in-digital-markets-in-latin-america-and-the-caribbean_34bbc7e4-en/full-report/component-5.html</w:t>
        </w:r>
      </w:hyperlink>
    </w:p>
    <w:p>
      <w:pPr>
        <w:pStyle w:val="ListParagraph"/>
        <w:numPr>
          <w:ilvl w:val="0"/>
          <w:numId w:val="2"/>
        </w:numPr>
        <w:spacing w:after="80"/>
      </w:pPr>
      <w:hyperlink w:history="1" r:id="rIdf2ejz1lk5zexjshz0haxq">
        <w:r>
          <w:rPr>
            <w:rStyle w:val="Hyperlink"/>
            <w:rFonts w:ascii="Calibri" w:cs="Calibri" w:eastAsia="Calibri" w:hAnsi="Calibri"/>
            <w:sz w:val="22"/>
            <w:szCs w:val="22"/>
          </w:rPr>
          <w:t xml:space="preserve">https://competition-policy.ec.europa.eu/mergers/review-merger-guidelines_en</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ohbpqkkngrssw99lnxtz" Type="http://schemas.openxmlformats.org/officeDocument/2006/relationships/hyperlink" Target="https://competition-policy.ec.europa.eu/system/files/2022-12/kd0422317enn_merger_review_in_digital_and_tech_markets_1.pdf" TargetMode="External"/><Relationship Id="rIdtslikufogypkuuvmei1yx" Type="http://schemas.openxmlformats.org/officeDocument/2006/relationships/hyperlink" Target="https://competition-policy.ec.europa.eu/mergers_en" TargetMode="External"/><Relationship Id="rIdqjftcajfrxuwpvzqyl2hy" Type="http://schemas.openxmlformats.org/officeDocument/2006/relationships/hyperlink" Target="https://www.oecd.org/content/dam/oecd/en/publications/reports/2021/10/abuse-of-dominance-in-digital-markets_cb5e6fa5/4c36b455-en.pdf" TargetMode="External"/><Relationship Id="rId8j7rxgj0mwhinawjxmsv_" Type="http://schemas.openxmlformats.org/officeDocument/2006/relationships/hyperlink" Target="https://competition-policy.ec.europa.eu/system/files/2022-12/kd0422317enn_merger_review_in_digital_and_tech_markets_1.pdf" TargetMode="External"/><Relationship Id="rIdo7lml14j-kbaatg8gbt4u" Type="http://schemas.openxmlformats.org/officeDocument/2006/relationships/hyperlink" Target="https://www.oecd.org/content/dam/oecd/en/publications/reports/2022/02/oecd-handbook-on-competition-policy-in-the-digital-age_50b6e951/c8c1841b-en.pdf" TargetMode="External"/><Relationship Id="rIdeiyew8qs0_wpsg4cbii5w" Type="http://schemas.openxmlformats.org/officeDocument/2006/relationships/hyperlink" Target="https://competition-policy.ec.europa.eu/system/files/2022-12/kd0422317enn_merger_review_in_digital_and_tech_markets_1.pdf" TargetMode="External"/><Relationship Id="rIduygm8ankhdt4dr8nqgddj" Type="http://schemas.openxmlformats.org/officeDocument/2006/relationships/hyperlink" Target="https://competition-policy.ec.europa.eu/system/files/2022-12/kd0422317enn_merger_review_in_digital_and_tech_markets_1.pdf" TargetMode="External"/><Relationship Id="rId0j2nmzlzpkugcl1r-4fv-" Type="http://schemas.openxmlformats.org/officeDocument/2006/relationships/hyperlink" Target="https://www.oecd.org/content/dam/oecd/en/publications/reports/2021/10/abuse-of-dominance-in-digital-markets_cb5e6fa5/4c36b455-en.pdf" TargetMode="External"/><Relationship Id="rIdbwqv6tbr0fems_4gmq8m0" Type="http://schemas.openxmlformats.org/officeDocument/2006/relationships/hyperlink" Target="https://www.oecd.org/en/publications/remedies-in-digital-markets-in-latin-america-and-the-caribbean_34bbc7e4-en/full-report/component-5.html" TargetMode="External"/><Relationship Id="rIdldnjiqexdka95nekxf4h7" Type="http://schemas.openxmlformats.org/officeDocument/2006/relationships/hyperlink" Target="https://competition-policy.ec.europa.eu/system/files/2022-12/kd0422317enn_merger_review_in_digital_and_tech_markets_1.pdf" TargetMode="External"/><Relationship Id="rIdasdaia0lml_uwxkhshhfn" Type="http://schemas.openxmlformats.org/officeDocument/2006/relationships/hyperlink" Target="https://competition-policy.ec.europa.eu/mergers/review-merger-guidelines_en" TargetMode="External"/><Relationship Id="rIdeymljb2eg5z_5oppxv99v" Type="http://schemas.openxmlformats.org/officeDocument/2006/relationships/hyperlink" Target="https://competition-policy.ec.europa.eu/system/files/2022-12/kd0422317enn_merger_review_in_digital_and_tech_markets_1.pdf" TargetMode="External"/><Relationship Id="rIdoshp2ie9outm914noznkf" Type="http://schemas.openxmlformats.org/officeDocument/2006/relationships/hyperlink" Target="https://competition-policy.ec.europa.eu/mergers_en" TargetMode="External"/><Relationship Id="rIdypf9nnu-vrzrt0cdusz6q" Type="http://schemas.openxmlformats.org/officeDocument/2006/relationships/hyperlink" Target="https://www.oecd.org/content/dam/oecd/en/publications/reports/2021/10/abuse-of-dominance-in-digital-markets_cb5e6fa5/4c36b455-en.pdf" TargetMode="External"/><Relationship Id="rId_y4kgb6ejojubavvbvwpu" Type="http://schemas.openxmlformats.org/officeDocument/2006/relationships/hyperlink" Target="https://www.oecd.org/content/dam/oecd/en/publications/reports/2022/02/oecd-handbook-on-competition-policy-in-the-digital-age_50b6e951/c8c1841b-en.pdf" TargetMode="External"/><Relationship Id="rId_5unaslma-c8whxc7oswc" Type="http://schemas.openxmlformats.org/officeDocument/2006/relationships/hyperlink" Target="https://www.oecd.org/en/publications/remedies-in-digital-markets-in-latin-america-and-the-caribbean_34bbc7e4-en/full-report/component-5.html" TargetMode="External"/><Relationship Id="rIdf2ejz1lk5zexjshz0haxq" Type="http://schemas.openxmlformats.org/officeDocument/2006/relationships/hyperlink" Target="https://competition-policy.ec.europa.eu/mergers/review-merger-guidelines_en"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2026-09-02T11:54:26.792Z</dcterms:created>
  <dcterms:modified xsi:type="dcterms:W3CDTF">2026-09-02T11:54:26.792Z</dcterms:modified>
</cp:coreProperties>
</file>

<file path=docProps/custom.xml><?xml version="1.0" encoding="utf-8"?>
<Properties xmlns="http://schemas.openxmlformats.org/officeDocument/2006/custom-properties" xmlns:vt="http://schemas.openxmlformats.org/officeDocument/2006/docPropsVTypes"/>
</file>