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Calibri" w:cs="Calibri" w:eastAsia="Calibri" w:hAnsi="Calibri"/>
          <w:b/>
          <w:bCs/>
          <w:color w:val="1F4E5F"/>
          <w:sz w:val="40"/>
          <w:szCs w:val="40"/>
        </w:rPr>
        <w:t xml:space="preserve">Response Transcript — Sample 6</w:t>
      </w:r>
    </w:p>
    <w:p>
      <w:pPr>
        <w:pBdr>
          <w:bottom w:val="single" w:color="CCCCCC" w:sz="6" w:space="4"/>
        </w:pBdr>
        <w:spacing w:after="300"/>
      </w:pPr>
    </w:p>
    <w:p>
      <w:pPr>
        <w:pStyle w:val="Heading1"/>
        <w:spacing w:after="140" w:before="280"/>
      </w:pPr>
      <w:r>
        <w:rPr>
          <w:rFonts w:ascii="Calibri" w:cs="Calibri" w:eastAsia="Calibri" w:hAnsi="Calibri"/>
          <w:b/>
          <w:bCs/>
          <w:color w:val="1F4E5F"/>
          <w:sz w:val="26"/>
          <w:szCs w:val="26"/>
        </w:rPr>
        <w:t xml:space="preserve">User Query</w:t>
      </w:r>
    </w:p>
    <w:p>
      <w:pPr>
        <w:pBdr>
          <w:left w:val="single" w:color="1F4E5F" w:sz="18" w:space="8"/>
        </w:pBdr>
        <w:spacing w:after="240"/>
        <w:ind w:left="360"/>
      </w:pPr>
      <w:r>
        <w:rPr>
          <w:rFonts w:ascii="Calibri" w:cs="Calibri" w:eastAsia="Calibri" w:hAnsi="Calibri"/>
          <w:i/>
          <w:iCs/>
          <w:sz w:val="24"/>
          <w:szCs w:val="24"/>
        </w:rPr>
        <w:t xml:space="preserve">What are the remedies in merger cases in digital markets?</w:t>
      </w:r>
    </w:p>
    <w:p>
      <w:pPr>
        <w:pStyle w:val="Heading1"/>
        <w:spacing w:after="140" w:before="280"/>
      </w:pPr>
      <w:r>
        <w:rPr>
          <w:rFonts w:ascii="Calibri" w:cs="Calibri" w:eastAsia="Calibri" w:hAnsi="Calibri"/>
          <w:b/>
          <w:bCs/>
          <w:color w:val="1F4E5F"/>
          <w:sz w:val="26"/>
          <w:szCs w:val="26"/>
        </w:rPr>
        <w:t xml:space="preserve">System Response</w:t>
      </w:r>
    </w:p>
    <w:p>
      <w:pPr>
        <w:spacing w:after="140"/>
      </w:pPr>
      <w:r>
        <w:rPr>
          <w:rFonts w:ascii="Calibri" w:cs="Calibri" w:eastAsia="Calibri" w:hAnsi="Calibri"/>
          <w:i w:val="false"/>
          <w:iCs w:val="false"/>
          <w:sz w:val="22"/>
          <w:szCs w:val="22"/>
        </w:rPr>
        <w:t xml:space="preserve">In merger cases, the remedies in digital markets are primarily aimed at preventing harmful horizontal and vertical effects that may arise from the acquisition or merger of two rival companies. The remedies can be differentiated into two main categories: structural and behavioral.</w:t>
      </w:r>
    </w:p>
    <w:p>
      <w:pPr>
        <w:spacing w:after="140"/>
      </w:pPr>
      <w:r>
        <w:rPr>
          <w:rFonts w:ascii="Calibri" w:cs="Calibri" w:eastAsia="Calibri" w:hAnsi="Calibri"/>
          <w:i w:val="false"/>
          <w:iCs w:val="false"/>
          <w:sz w:val="22"/>
          <w:szCs w:val="22"/>
        </w:rPr>
        <w:t xml:space="preserve">Structural remedies involve divesting or separating parts of the merged entity to maintain competition in the market. These measures include:</w:t>
      </w:r>
    </w:p>
    <w:p>
      <w:pPr>
        <w:pStyle w:val="ListParagraph"/>
        <w:numPr>
          <w:ilvl w:val="0"/>
          <w:numId w:val="1"/>
        </w:numPr>
        <w:spacing w:after="140"/>
      </w:pPr>
      <w:r>
        <w:rPr>
          <w:rFonts w:ascii="Calibri" w:cs="Calibri" w:eastAsia="Calibri" w:hAnsi="Calibri"/>
          <w:i w:val="false"/>
          <w:iCs w:val="false"/>
          <w:sz w:val="22"/>
          <w:szCs w:val="22"/>
        </w:rPr>
        <w:t xml:space="preserve">Selling off specific business units: This involves the acquiring company selling off certain business units or assets to the relevant regulatory authority or a third-party competitor. This can help to restore competition and reduce market power.</w:t>
      </w:r>
    </w:p>
    <w:p>
      <w:pPr>
        <w:pStyle w:val="ListParagraph"/>
        <w:numPr>
          <w:ilvl w:val="0"/>
          <w:numId w:val="1"/>
        </w:numPr>
        <w:spacing w:after="140"/>
      </w:pPr>
      <w:r>
        <w:rPr>
          <w:rFonts w:ascii="Calibri" w:cs="Calibri" w:eastAsia="Calibri" w:hAnsi="Calibri"/>
          <w:i w:val="false"/>
          <w:iCs w:val="false"/>
          <w:sz w:val="22"/>
          <w:szCs w:val="22"/>
        </w:rPr>
        <w:t xml:space="preserve">Divestiture trust: A divestiture trust is a legal entity that holds and manages assets sold by a company during a merger or acquisition. The trust ensures that the assets are managed and operated independently from the merged company, ensuring competition in the relevant market.</w:t>
      </w:r>
    </w:p>
    <w:p>
      <w:pPr>
        <w:spacing w:after="140"/>
      </w:pPr>
      <w:r>
        <w:rPr>
          <w:rFonts w:ascii="Calibri" w:cs="Calibri" w:eastAsia="Calibri" w:hAnsi="Calibri"/>
          <w:i w:val="false"/>
          <w:iCs w:val="false"/>
          <w:sz w:val="22"/>
          <w:szCs w:val="22"/>
        </w:rPr>
        <w:t xml:space="preserve">Behavioral remedies are aimed at modifying the behavior of the merged company to promote competition. These remedies include:</w:t>
      </w:r>
    </w:p>
    <w:p>
      <w:pPr>
        <w:pStyle w:val="ListParagraph"/>
        <w:numPr>
          <w:ilvl w:val="0"/>
          <w:numId w:val="1"/>
        </w:numPr>
        <w:spacing w:after="140"/>
      </w:pPr>
      <w:r>
        <w:rPr>
          <w:rFonts w:ascii="Calibri" w:cs="Calibri" w:eastAsia="Calibri" w:hAnsi="Calibri"/>
          <w:i w:val="false"/>
          <w:iCs w:val="false"/>
          <w:sz w:val="22"/>
          <w:szCs w:val="22"/>
        </w:rPr>
        <w:t xml:space="preserve">Behavioral commitments: The merged company may agree to a set of behavioral commitments, such as not engaging in anticompetitive practices, not lowering prices below a certain level, or not raising prices above a specific level.</w:t>
      </w:r>
    </w:p>
    <w:p>
      <w:pPr>
        <w:pStyle w:val="ListParagraph"/>
        <w:numPr>
          <w:ilvl w:val="0"/>
          <w:numId w:val="1"/>
        </w:numPr>
        <w:spacing w:after="140"/>
      </w:pPr>
      <w:r>
        <w:rPr>
          <w:rFonts w:ascii="Calibri" w:cs="Calibri" w:eastAsia="Calibri" w:hAnsi="Calibri"/>
          <w:i w:val="false"/>
          <w:iCs w:val="false"/>
          <w:sz w:val="22"/>
          <w:szCs w:val="22"/>
        </w:rPr>
        <w:t xml:space="preserve">Monitoring trustee: A monitoring trustee is appointed to oversee and monitor the merged company's compliance with the agreed-upon behavioral commitments. This ensures that the merged company adheres to the set rules and regulations to maintain a competitive market.</w:t>
      </w:r>
    </w:p>
    <w:p>
      <w:pPr>
        <w:pStyle w:val="ListParagraph"/>
        <w:numPr>
          <w:ilvl w:val="0"/>
          <w:numId w:val="1"/>
        </w:numPr>
        <w:spacing w:after="140"/>
      </w:pPr>
      <w:r>
        <w:rPr>
          <w:rFonts w:ascii="Calibri" w:cs="Calibri" w:eastAsia="Calibri" w:hAnsi="Calibri"/>
          <w:i w:val="false"/>
          <w:iCs w:val="false"/>
          <w:sz w:val="22"/>
          <w:szCs w:val="22"/>
        </w:rPr>
        <w:t xml:space="preserve">Consent decrees: A consent decree is a court-approved agreement between the parties involved and the relevant regulatory authority. The decree sets out the merged company's obligations to maintain competition in the market.</w:t>
      </w:r>
    </w:p>
    <w:p>
      <w:pPr>
        <w:pStyle w:val="ListParagraph"/>
        <w:numPr>
          <w:ilvl w:val="0"/>
          <w:numId w:val="1"/>
        </w:numPr>
        <w:spacing w:after="140"/>
      </w:pPr>
      <w:r>
        <w:rPr>
          <w:rFonts w:ascii="Calibri" w:cs="Calibri" w:eastAsia="Calibri" w:hAnsi="Calibri"/>
          <w:i w:val="false"/>
          <w:iCs w:val="false"/>
          <w:sz w:val="22"/>
          <w:szCs w:val="22"/>
        </w:rPr>
        <w:t xml:space="preserve">Conditional approval: Regulatory authorities may grant a merger approval subject to specific conditions. These conditions could include the merged company's commitment to specific behavioral requirements to ensure competition in the market.</w:t>
      </w:r>
    </w:p>
    <w:p>
      <w:pPr>
        <w:spacing w:after="140"/>
      </w:pPr>
      <w:r>
        <w:rPr>
          <w:rFonts w:ascii="Calibri" w:cs="Calibri" w:eastAsia="Calibri" w:hAnsi="Calibri"/>
          <w:i w:val="false"/>
          <w:iCs w:val="false"/>
          <w:sz w:val="22"/>
          <w:szCs w:val="22"/>
        </w:rPr>
        <w:t xml:space="preserve">Overall, the remedies in merger cases in digital markets aim to protect consumer welfare, maintain a healthy level of competition, and prevent any potential harm caused by the acquisition or merger of two rival companies.</w:t>
      </w:r>
    </w:p>
    <w:p>
      <w:pPr>
        <w:pStyle w:val="Heading1"/>
        <w:spacing w:after="140" w:before="280"/>
      </w:pPr>
      <w:r>
        <w:rPr>
          <w:rFonts w:ascii="Calibri" w:cs="Calibri" w:eastAsia="Calibri" w:hAnsi="Calibri"/>
          <w:b/>
          <w:bCs/>
          <w:color w:val="1F4E5F"/>
          <w:sz w:val="26"/>
          <w:szCs w:val="26"/>
        </w:rPr>
        <w:t xml:space="preserve">Cited Sources</w:t>
      </w:r>
    </w:p>
    <w:p>
      <w:pPr>
        <w:spacing w:after="140"/>
      </w:pPr>
      <w:r>
        <w:rPr>
          <w:rFonts w:ascii="Calibri" w:cs="Calibri" w:eastAsia="Calibri" w:hAnsi="Calibri"/>
          <w:i/>
          <w:iCs/>
          <w:sz w:val="22"/>
          <w:szCs w:val="22"/>
        </w:rPr>
        <w:t xml:space="preserve">No source links were included in the original response.</w:t>
      </w:r>
    </w:p>
    <w:sectPr>
      <w:headerReference w:type="default" r:id="rId7"/>
      <w:footerReference w:type="default" r:id="rId8"/>
      <w:pgSz w:w="12240" w:h="15840" w:orient="portrait"/>
      <w:pgMar w:top="1080" w:right="135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Competition-Law Assistant Evaluation — Blinded Transcript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2026-09-02T10:46:34.940Z</dcterms:created>
  <dcterms:modified xsi:type="dcterms:W3CDTF">2026-09-02T10:46:34.940Z</dcterms:modified>
</cp:coreProperties>
</file>

<file path=docProps/custom.xml><?xml version="1.0" encoding="utf-8"?>
<Properties xmlns="http://schemas.openxmlformats.org/officeDocument/2006/custom-properties" xmlns:vt="http://schemas.openxmlformats.org/officeDocument/2006/docPropsVTypes"/>
</file>