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https://www.agcm.it/dotcmsdoc/bollettini/2025/1-25.pdf</w:t>
      </w:r>
    </w:p>
    <w:p>
      <w:r>
        <w:t>Pages translated : 194</w:t>
      </w:r>
    </w:p>
    <w:p/>
    <w:p>
      <w:r>
        <w:rPr>
          <w:b/>
        </w:rPr>
        <w:t>[Pages 1–3]</w:t>
      </w:r>
    </w:p>
    <w:p>
      <w:r>
        <w:t>Bulletin</w:t>
        <w:br/>
        <w:t>Weekly</w:t>
        <w:br/>
        <w:t>Year XXXV - No. 1</w:t>
        <w:br/>
        <w:t>Published on the website www.agcm.it</w:t>
        <w:br/>
        <w:t>January 7, 2025</w:t>
      </w:r>
    </w:p>
    <w:p>
      <w:r>
        <w:t>SUMMARY</w:t>
        <w:br/>
        <w:t>AGREEMENTS AND ABUSE OF DOMINANT POSITION 5</w:t>
        <w:br/>
        <w:t>A559 - META/SIAE</w:t>
        <w:br/>
        <w:t>Measure No. 31422 5</w:t>
        <w:br/>
        <w:t>A570 - ACI-AUTOMOBILE EVENTS FOR AMATEURS</w:t>
        <w:br/>
        <w:t>Measure No. 31423 7</w:t>
        <w:br/>
        <w:t>I801AC - TAXI TRANSPORT BOOKING SERVICES - ROME - NON-COMPLIANCE</w:t>
        <w:br/>
        <w:t>Measure No. 31428 59</w:t>
        <w:br/>
        <w:t>I805H - PRICES OF CORRUGATED CARDBOARD/REDETERMINATION OF SANCTIONS FOR</w:t>
        <w:br/>
        <w:t>PIEDMONTESE PACKAGING</w:t>
        <w:br/>
        <w:t>Measure No. 31429 64</w:t>
        <w:br/>
        <w:t>I864 - PRICE OF BIOFUEL FOR ROAD TRANSPORT</w:t>
        <w:br/>
        <w:t>Measure No. 31430 76</w:t>
        <w:br/>
        <w:t>I867 - INCREASES IN HOLLOW GLASS PRICES</w:t>
        <w:br/>
        <w:t>Measure No. 31431 77</w:t>
        <w:br/>
        <w:t>CONCENTRATION OPERATIONS 79</w:t>
        <w:br/>
        <w:t>C12667 - PAC2000A/BRANCHES OF DOC ROMA-UNICOOP FIRENZE</w:t>
        <w:br/>
        <w:t>Measure No. 31424 79</w:t>
        <w:br/>
        <w:t>C12687 - NEW SIDAP/BRANCH OF IPLANET</w:t>
        <w:br/>
        <w:t>Measure No. 31425 148</w:t>
        <w:br/>
        <w:t>C12690 - DZBT HOLDINGS (MALTA)/BETTING</w:t>
        <w:br/>
        <w:t>Measure No. 31426 152</w:t>
        <w:br/>
        <w:t>C12692 - IREN/EGEA HOLDING</w:t>
        <w:br/>
        <w:t>Measure No. 31427 159</w:t>
        <w:br/>
        <w:t>REPORTING AND CONSULTATIVE ACTIVITIES 162</w:t>
        <w:br/>
        <w:t>AS2044 - INTERPRETATIVE CIRCULARS OF ARTICLE 9 OF THE HIGHWAY CODE 162</w:t>
        <w:br/>
        <w:t>AS2045 - COMPETITION REFORM PROPOSALS FOR THE ANNUAL LAW ON THE MARKET AND</w:t>
        <w:br/>
        <w:t>COMPETITION - YEAR 2024 166</w:t>
        <w:br/>
        <w:t>UNFAIR COMMERCIAL PRACTICES 191</w:t>
        <w:br/>
        <w:t>IP376 - MONDO CONVENIENZA - VARIOUS ISSUES</w:t>
        <w:br/>
        <w:t>Measure No. 31432 191</w:t>
      </w:r>
    </w:p>
    <w:p>
      <w:r>
        <w:t>BULLETIN NO. 1 OF JANUARY 7, 2025 5</w:t>
        <w:br/>
        <w:t>AGREEMENTS AND ABUSE OF DOMINANT POSITION</w:t>
        <w:br/>
        <w:t>A559 - META/SIAE</w:t>
        <w:br/>
        <w:t>Measure No. 31422</w:t>
        <w:br/>
        <w:t>THE COMPETITION AND MARKET AUTHORITY</w:t>
        <w:br/>
        <w:t>IN ITS MEETING of December 17, 2024;</w:t>
        <w:br/>
        <w:t>HEARD the Rapporteur, President Roberto Rustichelli;</w:t>
        <w:br/>
        <w:t>HAVING REGARD to Law No. 287 of October 10, 1990;</w:t>
        <w:br/>
        <w:t>HAVING REGARD to Law No. 192 of June 18, 1998, and in particular, Article 9, as amended by Article 33 of Law No. 118 of August 5, 2022;</w:t>
        <w:br/>
        <w:t>HAVING REGARD to Presidential Decree No. 217 of April 30, 1998;</w:t>
        <w:br/>
        <w:t>HAVING REGARD to its resolution adopted on April 4, 2023, by which an investigation was initiated, pursuant to Article 9, paragraph 3 bis, Article 14, and Article 14 bis of Law No. 287 of October 10, 1990, against the companies Meta Platforms Inc., Meta Platforms Ireland Limited, Meta Platforms Technologies UK Limited, and Facebook Italy S.r.l. (hereinafter collectively referred to as Meta), in order to ascertain a possible violation of Article 9 of Law No. 192 of June 18, 1998, consisting, in a context characterized by a significant economic imbalance between the parties involved, in the possible violation of the principles of good faith, fairness, and transparency during the negotiation with the Italian Society of Authors and Publishers (hereinafter SIAE) of the new license for the use of musical works protected by the latter on Meta's social platforms;</w:t>
        <w:br/>
        <w:t>HAVING REGARD to its resolution adopted on April 4, 2023, No. 30606, by which specific precautionary measures were imposed on the companies Meta Platforms Inc., Meta Platforms Ireland Limited, Meta Platforms Technologies UK Limited, and Facebook Italy S.r.l. pursuant to Article 14 bis of Law No. 287/1990 aimed at promptly reactivating the negotiation between Meta and SIAE;</w:t>
        <w:br/>
        <w:t>HAVING REGARD to the ruling of the Council of State of July 2, No. 5827, which reformed the ruling of the Lazio TAR No. 16069/2023 and, as a result, annulled the Authority's resolution of April 20, 2023, No. 30606 mentioned above;</w:t>
        <w:br/>
        <w:t>HAVING REGARD to the documentation recently acquired in the proceedings containing numerous and new factual elements;</w:t>
        <w:br/>
        <w:t>HAVING REGARD to all the acts of the proceedings;</w:t>
        <w:br/>
        <w:t>CONSIDERING the complexity of the case subject to the Proceedings;</w:t>
        <w:br/>
        <w:t>HAVING REGARD, given the complexity of the case, to continue the investigative activity, also proceeding to a careful evaluation of the factual elements acquired;</w:t>
        <w:br/>
        <w:t>CONSIDERING, furthermore, the need to ensure the Parties the broadest exercise of the right of defense and guarantee the full exercise of the adversarial principle;</w:t>
        <w:br/>
        <w:t>HAVING REGARD, therefore, to the necessity to extend the deadline for the conclusion of the proceedings, currently set for December 31, 2024, in order to evaluate the contested case in light of the acquired documentation, as well as to fully guarantee the exercise of the right of defense and the full unfolding of the adversarial process;</w:t>
      </w:r>
    </w:p>
    <w:p>
      <w:r>
        <w:rPr>
          <w:b/>
        </w:rPr>
        <w:t>[Pages 4–6]</w:t>
      </w:r>
    </w:p>
    <w:p>
      <w:r>
        <w:t>6 BULLETIN NO. 1 OF JANUARY 7, 2025</w:t>
        <w:br/>
        <w:t>RESOLUTION</w:t>
        <w:br/>
        <w:t>to extend the deadline for the conclusion of the procedure to June 30, 2025.</w:t>
        <w:br/>
        <w:t>This measure will be notified to the interested parties and published in the Bulletin of the Competition and Market Authority.</w:t>
        <w:br/>
        <w:t>Against this measure, an appeal may be submitted to the TAR of Lazio, pursuant to Article 135, paragraph 1, letter b), of the Code of Administrative Procedure (Legislative Decree No. 104 of July 2, 2010),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w:t>
        <w:br/>
        <w:t>THE SECRETARY GENERAL THE PRESIDENT</w:t>
        <w:br/>
        <w:t>Guido Stazi Roberto Rustichelli</w:t>
      </w:r>
    </w:p>
    <w:p>
      <w:r>
        <w:t>BULLETIN NO. 1 OF JANUARY 7, 2025 7</w:t>
        <w:br/>
        <w:t>A570 - ACI-AUTOMOBILE SPORTING EVENTS FOR AMATEURS</w:t>
        <w:br/>
        <w:t>Measure No. 31423</w:t>
        <w:br/>
        <w:t>THE COMPETITION AND MARKET AUTHORITY</w:t>
        <w:br/>
        <w:t>IN ITS MEETING of December 17, 2024;</w:t>
        <w:br/>
        <w:t>HEARD the Rapporteur, Professor Elisabetta Iossa;</w:t>
        <w:br/>
        <w:t>HAVING REGARD to Article 102 of the Treaty on the Functioning of the European Union (TFEU);</w:t>
        <w:br/>
        <w:t>HAVING REGARD to Regulation (EC) No. 1/2003 of the Council of December 16, 2002, concerning the application of competition rules laid down in Articles 81 and 82 of the EC Treaty (current Articles 101 and 102 TFEU);</w:t>
        <w:br/>
        <w:t>HAVING REGARD to the Commission Communication on cooperation within the network of competition authorities of April 27, 2004;</w:t>
        <w:br/>
        <w:t>HAVING REGARD to Law No. 287 of October 10, 1990;</w:t>
        <w:br/>
        <w:t>HAVING REGARD to Presidential Decree No. 217 of April 30, 1998;</w:t>
        <w:br/>
        <w:t>HAVING REGARD to its own measure of October 10, 2023, No. 30807, by which a procedure was initiated against Automobile Club d’Italia-ACI, ACI Sport S.p.A. and Club ACI Storico to ascertain the existence of a violation of Article 102 of the TFEU;</w:t>
        <w:br/>
        <w:t>HAVING REGARD to the Communication of Investigative Results, transmitted to the Parties on October 3, 2024, pursuant to Article 14 of Presidential Decree No. 217 of April 30, 1998;</w:t>
        <w:br/>
        <w:t>HAVING REGARD to the final submissions of Automobile Club d’Italia-ACI, ACI Sport S.p.A., Club ACI Storico and Automotoclub Storico Italiano-ASI received on November 13, 2024;</w:t>
        <w:br/>
        <w:t>HEARD in the final hearing the representatives of Automobile Club d’Italia-ACI, ACI Sport S.p.A., Club ACI Storico and Automotoclub Storico Italiano-ASI on November 18, 2024;</w:t>
        <w:br/>
        <w:t>HAVING REGARD to the acts of the procedure and the documentation acquired during the investigation;</w:t>
        <w:br/>
        <w:t>CONSIDERING the following;</w:t>
        <w:br/>
        <w:t>I. THE PARTIES</w:t>
        <w:br/>
        <w:t>I.1 The reported parties</w:t>
        <w:br/>
        <w:t>1. The Automobile Club d’Italia-ACI (hereinafter, “ACI” or “the Federation”) is a public associative entity, established in 1905 as a federation of some local Automobile Clubs aimed at associating motorists and primarily organizing sporting events, which over time has been recognized as a public entity and has been assigned or delegated tasks by the State.1 ACI federates the provincial and local Automobile Clubs (hereinafter, “AC”), associative entities to which all citizens “ACI members” are in turn registered. ACI members are provided with a set of additional services, also through a large group of companies controlled by ACI, operating in a variety of economic sectors.2 The ACs also constitute the territorial articulation of ACI, through which it exercises part of its competencies, including those related to the promotion and organization of sporting activities.</w:t>
        <w:br/>
        <w:t>ACI performs important functions regarding motor sports, as it is one of the founding members of the Fédération Internationale de l’Automobile (hereinafter “FIA”), which recognizes it as the only national authority in Italy for motor sports. Furthermore, ACI is federated with the Italian National Olympic Committee (hereinafter, “CONI”), which in turn recognizes it as the reference Italian Federation for motor sports. Through the ACI Sport logo, used by ACI in the field of motor sports, the Federation is tasked with promoting and organizing sporting activities - also for the purpose of formulating regulations - intervenes in the production of technical-sporting regulations, recruits race officials for the control of events, oversees the approval of race courses and the homologation of technical material to be used in motor racing. Participants in various capacities in motor sports activities are required to register with ACI, which supervises sporting competitions also through the in-house company ACI Sport S.p.A., through the attainment of specific licenses issued according to the provisions of a specific National Sporting Regulation (hereinafter, “RSN”) adopted annually by the federation.</w:t>
        <w:br/>
        <w:t>In 2023, ACI generated total revenues of over 415 million euros.</w:t>
        <w:br/>
        <w:t>2. ACI Sport S.p.A. (hereinafter, “ACI Sport”) is the in-house company of ACI that promotes national motor sports activities, with particular regard to logistics, communication, and image. The company primarily engages in the promotion, communication, and enhancement of races and championships that ACI organizes as the Italian Federation of Motor Sports.</w:t>
        <w:br/>
        <w:t>In 2023, ACI Sport generated total revenues of over 55 million euros.</w:t>
        <w:br/>
        <w:t>3. The Club ACI Storico (hereinafter, “ACI Storico”) is a non-profit association established in 2013 with the aim of promoting and enhancing the Italian motor heritage and culture and protecting the interests of enthusiasts and collectors of vehicles of historical-collectible relevance. By statutory provisions, due to the purposes pursued, it adheres to ACI, which is a founding member of the association by law.</w:t>
        <w:br/>
        <w:t>I.2 The complainants</w:t>
        <w:br/>
        <w:t>4. The Automotoclub Storico Italiano - ASI (hereinafter, “ASI”) is a recognized non-commercial non-profit association that, according to its statute, “represents, promotes, and protects the general interests of historical locomotion and motorization in Italy, enhancing its cultural and social importance […] bringing together in a Federation the associations of enthusiasts of historical vehicles.” ASI currently has 286 federated clubs and fifty-seven affiliated clubs that include approximately 130,000 enthusiasts of historical vehicles of collectible interest.</w:t>
        <w:br/>
        <w:t>5. The clubs Abruzzo Drivers’ Club, Club Officina Ferrarese del Motorismo Storico, Club Auto Moto Epoca Perugino, Aste e Bilanceri Automotoclub Città di Bitonto, Club Auto e Moto d’Epoca.</w:t>
      </w:r>
    </w:p>
    <w:p>
      <w:r>
        <w:rPr>
          <w:b/>
        </w:rPr>
        <w:t>[Pages 7–9]</w:t>
      </w:r>
    </w:p>
    <w:p>
      <w:r>
        <w:t>BULLETIN NO. 1 OF JANUARY 7, 2025 9</w:t>
      </w:r>
    </w:p>
    <w:p>
      <w:r>
        <w:t>Francesco Santarelli are sports associations affiliated with ASI, active in the field of events with vintage cars.</w:t>
      </w:r>
    </w:p>
    <w:p>
      <w:r>
        <w:t>6. ASI - Italian Sports and Social Associations Sicily (hereinafter, "ASI Sicily") represents ASI - Italian Sports and Social Associations at the regional level, a Sports Promotion Body (hereinafter, "EPS") recognized by CONI5 since its establishment in 1994. ASI Sicily is also a National Associative Network, as well as a Social Promotion Association recognized by the Ministry of Labor and Social Policies, and brings together amateur sports associations, sports clubs, social promotion associations, and other affiliated third sector entities, contributing to their sports, recreational, social, and cultural activities.</w:t>
      </w:r>
    </w:p>
    <w:p>
      <w:r>
        <w:t>7. Palatinus Motorsport, an Amateur Sports Association affiliated with the EPS ACSI - Italian Sports Centers Association, is particularly active in the promotion and organization of recreational-amateur automotive events.</w:t>
      </w:r>
    </w:p>
    <w:p>
      <w:r>
        <w:t>II. THE INVESTIGATIVE PROCEDURE</w:t>
      </w:r>
    </w:p>
    <w:p>
      <w:r>
        <w:t>II.1 The Reports</w:t>
      </w:r>
    </w:p>
    <w:p>
      <w:r>
        <w:t>8. Between October 2022 and June 2023, several reports were received concerning possible abusive behaviors carried out by ACI, consisting of obstructing the organization of road events of a recreational-amateur nature, promoted by Amateur Sports Associations (hereinafter, "ASD"), by Amateur Sports Societies (hereinafter, "SSD"), by sports promotion bodies (hereinafter, "EPS"), and/or by clubs active in the field of events with vintage cars, in order to favor ACI itself, which is also active in organizing similar events.</w:t>
      </w:r>
    </w:p>
    <w:p>
      <w:r>
        <w:t>9. In particular, on October 20, 2022, a first report6 was received by the Authority from ASI and some associated clubs7, according to which ACI intervened to inhibit the holding of important events with historic cars by sending warning letters to various Prefectures located throughout the national territory, based on the alleged failure of the event organizers to obtain the opinion of the sports federation, an opinion that, according to the reporters, is not required for this type of events, pursuant to Article 9, paragraph 3, third sentence, of the Highway Code (hereinafter, "CDS").</w:t>
      </w:r>
    </w:p>
    <w:p>
      <w:r>
        <w:t>10. The reporters emphasize that ACI's warning letters primarily target the most significant regularity events in terms of the number of editions organized and the number of participants, amounting to about twenty events per year, particularly related to the so-called "Circuito Tricolore"8. Furthermore, such letters would be sent to the Public Security Authorities (hereinafter, "APS") in close temporal proximity to the start date of the event, in order to cause the greatest economic9 and reputational damage to the organizing clubs and to ASI as a whole. This would have the effect of suspending or canceling the events and, in any case, obstructing their conduct, causing serious harm to the organizing entities and participants10.</w:t>
      </w:r>
    </w:p>
    <w:p>
      <w:r>
        <w:t>11. Among the most significant cases, also for the subsequent judicial developments that recognized the validity of ASI's position, the reporters highlight the events related to the letter sent by ACI on September 9, 2016, to the Prefecture of Trapani, to the Police Headquarters, to the Free Municipal Consortium of Trapani, to the Municipality of Trapani, to the Secretary General of CONI, and to the President of the Regional Committee of Sicily of CONI11.</w:t>
      </w:r>
    </w:p>
    <w:p>
      <w:r>
        <w:t>12. On November 15, 2022, a second report12 was received by the Authority from local representatives of the EPS ASI in Sicily, complaining that ACI, for non-competitive events organized by the EPS and the affiliated ASDs, and therefore not subject to the regulation of the CDS, would illegitimately require the prior opinion of CONI and, therefore, of ACI itself, as the sports federation delegated by it. Such conduct by ACI would have led to the cancellation of events promoted by the reporter, resulting in economic and reputational harm13. The issues raised by ASI Sicily were subsequently shared by the national representatives of A.S.I. – Italian Social Sports Associations14.</w:t>
      </w:r>
    </w:p>
    <w:p>
      <w:r>
        <w:t>13. Finally, on June 12, 2023, a complaint15 was received from ASD Palatinus Motorsport, subsequently supplemented on October 11, 202316, according to which, similarly to what was reported by ASI and ASI Sicily, ACI would report to the Prefectures, Police Headquarters, and/or municipal authorities of various Italian provinces, particularly in Sicily, that the motor events organized by the complainant should have been subject to its opinion for their proper and safe conduct, regardless of their nature, competitive or non-competitive.</w:t>
      </w:r>
    </w:p>
    <w:p>
      <w:r>
        <w:t>II.2 The Investigative Activity</w:t>
      </w:r>
    </w:p>
    <w:p>
      <w:r>
        <w:t>14. On October 10, 2023, the Authority decided to initiate an investigative procedure to ascertain the existence of any violations of Article 102 TFEU by ACI, ACI Sport, and ACI Storico, in particular, concerning the definition of a strategy aimed at obstructing or preventing EPS, ASD/SSD, and/or other motor clubs from carrying out their activities in the market for organizing non-competitive events and manifestations - that is, promotional and recreational-amateur in nature, including those of historical regularity referred to in Article 9, paragraph 3, of the Highway Code - at the national, regional, and provincial levels, in order to expand its position in this market.</w:t>
      </w:r>
    </w:p>
    <w:p>
      <w:r>
        <w:t>15. On October 18, 2023, inspections were carried out in Rome, at the premises, offices, and locations of ACI, ACI Sport, and ACI Storico, attaching to an inspection report17 a request for information subsequently answered by the reported parties on November 13, 202318.</w:t>
      </w:r>
    </w:p>
    <w:p>
      <w:r>
        <w:t>16. On February 29, 2024, the reported parties submitted commitments19 pursuant to Article 14-ter of Law No. 287/1990, subsequently rejected by the Authority with a resolution of April 10, 2024. In particular, the commitments, considered as a whole, did not appear to resolve the competitive issues hypothesized at the outset, as ACI reserved the possibility of reporting events, which it claimed were not attributable to recreational-amateur events, based on elements not manifestly derived from the event organized by it and considered non-competitive (cfr. doc. 1367-bis). This communication was responded to by the MIT on June 14, 2024 (cfr. doc. 1385).</w:t>
      </w:r>
    </w:p>
    <w:p>
      <w:r>
        <w:t>17. Cfr. doc. 208.</w:t>
      </w:r>
    </w:p>
    <w:p>
      <w:r>
        <w:t>18. Cfr. doc. 1334.</w:t>
      </w:r>
    </w:p>
    <w:p>
      <w:r>
        <w:t>19. Cfr. doc. 1353. In particular, while not recognizing in any way the validity of the hypotheses formulated in the initiation of the investigation, it presented the commitments briefly described below:</w:t>
        <w:br/>
        <w:t>˗ Commitment 1): ACI, noting that the characteristics of the different types of automotive sporting events - competitive, low-competitive, pre-competitive, and non-competitive-recreational and amateur - are precisely defined in Articles 2.4 and 19 ROF, as well as in Article 12 RSN, in order to dispel any doubt about a possible instrumental use of its regulatory and coordinating powers, commits to do everything in its power to promote, in agreement with CONI, the repeal of the provision in the last paragraph of Article 2.4.4 of the ROF and the last paragraph of Article 12.2 of the RSN, which reads: "ACI reserves the right to evaluate at any time the recreational and amateur nature of an event."</w:t>
        <w:br/>
        <w:t>˗ Commitment 2): ACI commits not to require its prior opinion for recreational and amateur automotive events (pursuant to Articles 2.4.4 and 19.4 of the ROF and Article 12.2 of the RSN), as well as for regularity events with historic cars that meet the requirements of Article 9, paragraph 3, of the CDS.</w:t>
        <w:br/>
        <w:t>˗ Commitment 3): ACI commits to report to the Public Authorities, for any relevant checks, exclusively those automotive events, however named, which, based on specific elements in its possession (i.e., race regulations, videos of previous editions, or other documents), to be indicated and attached to the report, do not appear prima facie to be effectively attributable either to the category of recreational and amateur automotive events (pursuant to Articles 2.4.4 and 19.4 of the ROF and Article 12.2 of the RSN) or to the category of regularity events with historic cars referred to in Article 9, paragraph 3, of the CDS.</w:t>
        <w:br/>
        <w:t>˗ Commitment 4): ACI commits to send any reports referred to in Commitment No. 3 with adequate advance notice of the scheduled date for the event to allow for a careful evaluation by the Public Authority receiving the report. An adequate notice is considered to be the sending of the report no later than seven days prior to the event, unless ACI demonstrates that it has come into possession of the specific elements referred to in Commitment No. 3 only shortly before the event date.</w:t>
        <w:br/>
        <w:t>˗ Commitment 5): ACI commits not to initiate proceedings or apply disciplinary sanctions against its members due to their participation in recreational and amateur events (pursuant to Articles 2.4.4 and 19.4 of the ROF and Article 12.2 of the RSN) or to regularity events with historic cars pursuant to Article 9, paragraph 3, of the CDS.</w:t>
        <w:br/>
        <w:t>˗ Commitment 6): ACI commits to adopt an antitrust compliance program in accordance with the guidelines contained in the Authority's Guidelines published on September 25, 2018.</w:t>
      </w:r>
    </w:p>
    <w:p>
      <w:r>
        <w:rPr>
          <w:b/>
        </w:rPr>
        <w:t>[Pages 10–12]</w:t>
      </w:r>
    </w:p>
    <w:p>
      <w:r>
        <w:t>12 BULLETIN NO. 1 OF JANUARY 7, 2025</w:t>
      </w:r>
    </w:p>
    <w:p>
      <w:r>
        <w:t>objective and therefore not verifiable, with an intervention timing that is too close to the event.</w:t>
      </w:r>
    </w:p>
    <w:p>
      <w:r>
        <w:t>17. In order to obtain relevant elements for the proceedings, the Offices sent requests for information to the reported parties on May 21, 2024, July 5 and 23, 2024, August 5, 2024, September 5, 2024, and October 14, 202420, which were respectively responded to on June 17, 2024, July 18 and 31, 2024, September 12, 2024, and October 31, 202421. Additional requests for information were sent to 12 EPS active in the automotive sector on May 22, 2024, and July 5, 202422, to which the EPS responded between July 12 and 24, 202423.</w:t>
      </w:r>
    </w:p>
    <w:p>
      <w:r>
        <w:t>18. Similarly, the Central Directorate for General Administration and the Prefectures – Territorial Government Offices at the Ministry of the Interior24, as well as ASI25, were recipients of requests for information, sent on June 20 and 26, 2024, respectively. ASI provided a response on July 5, 202426, while the Central Directorate of the Ministry responded on July 19, 2024, forwarding the request sent by the Authority to the Prefectures located throughout the national territory27.</w:t>
      </w:r>
    </w:p>
    <w:p>
      <w:r>
        <w:t>19. Furthermore, representatives of ACI, ACI Sport, and ACI Storico28, the MIT29, the Ministry of the Interior30, and the EPS A.S.I. – Italian Social Sports Associations31 were heard in a hearing.</w:t>
      </w:r>
    </w:p>
    <w:p>
      <w:r>
        <w:t>20. During the proceedings, ACI, ACI Sport, and ACI Storico repeatedly accessed the documents of the file32.</w:t>
      </w:r>
    </w:p>
    <w:p>
      <w:r>
        <w:t>21. On July 10, 2024, ACI, ACI Sport, and ACI Storico submitted a request for "reinstatement of terms" for the submission of new commitments, supplementing those previously submitted by the same companies, which was rejected by the Authority on July 17, 202433.</w:t>
      </w:r>
    </w:p>
    <w:p>
      <w:r>
        <w:t>22. On July 11, 2024, the EPS CNS Libertas - National Sports Center Libertas submitted a complaint, simultaneously requesting to be admitted to participate in the proceedings34. The participation request was rejected on July 18, 2024, as it was late35.</w:t>
      </w:r>
    </w:p>
    <w:p>
      <w:r>
        <w:t>23. On October 3, 2024, the Communication of Investigative Results (hereinafter, "CRI")36 was notified to the Parties.</w:t>
      </w:r>
    </w:p>
    <w:p>
      <w:r>
        <w:t>24. The reported Parties and ASI submitted final briefs on November 13, 2024, and the final hearing before the Board took place on November 18, 2024.</w:t>
      </w:r>
    </w:p>
    <w:p>
      <w:r>
        <w:t>20 See, respectively, docs. 1359, 1403, 1426, 1434, 1438, and 1459.</w:t>
        <w:br/>
        <w:t>21 See, respectively, docs. 1390, 1422, 1432, 1441, and 1462.</w:t>
        <w:br/>
        <w:t>22 See docs. 1360 and 1404.</w:t>
        <w:br/>
        <w:t>23 See docs. 1410, 1411, 1412, 1413, 1414, 1415, 1419, 1420, 1423, 1424, 1427, 1428.</w:t>
        <w:br/>
        <w:t>24 See doc. 1398.</w:t>
        <w:br/>
        <w:t>25 See doc. 1399.</w:t>
        <w:br/>
        <w:t>26 See doc. 1405.</w:t>
        <w:br/>
        <w:t>27 See doc. 1422. For the responses from the Prefectures and the Ministry of the Interior see docs. 1429, 1430, 1431, 1433, and 1437.</w:t>
        <w:br/>
        <w:t>28 See doc. 1407. The hearing took place on July 3, 2024.</w:t>
        <w:br/>
        <w:t>29 See doc. 1368. The hearing took place on May 23, 2024.</w:t>
        <w:br/>
        <w:t>30 See doc. 1365. The hearing took place on May 24, 2024.</w:t>
        <w:br/>
        <w:t>31 See doc. 1406. The hearing took place on June 27, 2024.</w:t>
        <w:br/>
        <w:t>32 See docs. 1339, 1343, 1358, 1374, 1454, 1455, and 1470.</w:t>
        <w:br/>
        <w:t>33 See, respectively, docs. 1408 and 1417.</w:t>
        <w:br/>
        <w:t>34 See doc. 1409.</w:t>
        <w:br/>
        <w:t>35 See doc. 1419.</w:t>
        <w:br/>
        <w:t>36 See docs. 1448-1451.</w:t>
      </w:r>
    </w:p>
    <w:p>
      <w:r>
        <w:t>BULLETIN NO. 1 OF JANUARY 7, 2025 13</w:t>
      </w:r>
    </w:p>
    <w:p>
      <w:r>
        <w:t>III. THE INVESTIGATIVE RESULTS</w:t>
      </w:r>
    </w:p>
    <w:p>
      <w:r>
        <w:t>25. The following paragraphs describe the results of the investigative activity: specifically, the regulatory-normative framework is first described, and subsequently, the evidence collected during the investigative activity is outlined.</w:t>
      </w:r>
    </w:p>
    <w:p>
      <w:r>
        <w:t>III.1 The regulatory framework</w:t>
      </w:r>
    </w:p>
    <w:p>
      <w:r>
        <w:t>III.1.1 The nature of ACI as a sports federation recognized by CONI</w:t>
      </w:r>
    </w:p>
    <w:p>
      <w:r>
        <w:t>26. The regulation of the sports sector in Italy is based on a pyramidal system that sees CONI37 at its apex, which performs coordination tasks with international bodies and provides guidance and control at the national level.</w:t>
      </w:r>
    </w:p>
    <w:p>
      <w:r>
        <w:t>27. For each sport, CONI recognizes only one National Sports Federation (FSN) or an Associated Sports Discipline (DSA), where a given sport is not already regulated by an FSN38. The Statutes of FSNs and DSAs must comply with the fundamental principles issued by the National Council of CONI39.</w:t>
      </w:r>
    </w:p>
    <w:p>
      <w:r>
        <w:t>28. Sports federations "carry out sports activities in harmony with the decisions and guidelines of the IOC, international federations, and CONI, also considering the public value of specific types of activities identified in the CONI statute" (Article 15, Legislative Decree No. 242/1999). National sports federations are associations with legal personality under private law, do not pursue profit-making purposes (paragraph 2), and their budgets are approved by CONI (paragraphs 2 and 3). Pursuant to Article 16 of Legislative Decree No. 242/1999, FSNs have statutory and regulatory powers in accordance with the fundamental principles established by CONI40.</w:t>
      </w:r>
    </w:p>
    <w:p>
      <w:r>
        <w:t>29. ACI is therefore the only Sports Federation recognized by CONI, by delegation from the FIA, for competitive motorsport in Italy. By virtue of this, it holds regulatory and coordination powers at the national level and enjoys statutory, technical-organizational, and management autonomy under the supervision of CONI. This status is reaffirmed in the ACI Statute, where it is specified in Article 4, letter e), that the federation, in order to achieve its institutional purposes, "promotes, encourages, and organizes automotive sports activities, exercising the sports powers that come from the Fédération Internationale de l’Automobile - F.I.A.; assists and associates automotive sportsmen; is the national sports federation for motorsport recognized by the F.I.A. and a component of CONI, which carries out the activities of a national sports federation according to the discipline provided by its own regulations pursuant to Article 2, paragraph 5, of Legislative Decree No. 15 of 2004."</w:t>
      </w:r>
    </w:p>
    <w:p>
      <w:r>
        <w:t>30. A prominent role in the federal activity is played by local ACs, which, as already emphasized, are federated to ACI and aim to associate motorists and, among other tasks, organize automotive sporting events. They, although having their own assets, distinct from that of ACI, and enjoying autonomy in relation to the latter within the limits of the federal statute41, carry out their activities - including the promotion, encouragement, and organization of automotive sports activities (both competitive and non-competitive, including those with historic cars) - in compliance with federal regulations and directives42.</w:t>
      </w:r>
    </w:p>
    <w:p>
      <w:r>
        <w:t>31. In this regard, consider Article 1 of the federal statute which, in the first paragraph, states that "The Automobile Club of Italy - A.C.I. is the Federation that associates the Automobile Clubs regularly established." From statutory provisions, there are numerous interconnections between ACI and the ACs in terms of mutual governance. It is noted, for example, that the Presidents of the ACs are among the members of the Assembly43 of ACI and, similarly, the General Council44, the National Sports Council, and the Sports Board of ACI include representatives of the ACs among their members45.</w:t>
      </w:r>
    </w:p>
    <w:p>
      <w:r>
        <w:t>III.1.2 Organization and sports regulation of ACI</w:t>
      </w:r>
    </w:p>
    <w:p>
      <w:r>
        <w:t>32. Articles 20 to 22 of the ACI Statute govern the general principles of sports activity and identify the National Sports Council and the Sports Board as the top bodies of the sector, holders of the exercise and management of sports power in full regulatory, regulatory, and financial autonomy46.</w:t>
      </w:r>
    </w:p>
    <w:p>
      <w:r>
        <w:t>33. For their respective competencies, Articles 21 and 22 of the Statute establish that they are governed by a specific Regulation of Organization and Functioning of sports activities (hereinafter, "ROF"), approved first by the ACI Assembly47 on the proposal of the National Sports Council of ACI and subsequently approved, for sports purposes and definitively, by the National Board of CONI, which evaluates its compliance with the law, the CONI Statute, the fundamental principles, the guidelines, and the criteria deliberated by the National Council of CONI.</w:t>
      </w:r>
    </w:p>
    <w:p>
      <w:r>
        <w:t>41 See Article 37 of the ACI Statute.</w:t>
        <w:br/>
        <w:t>42 See Article 36 of the ACI Statute.</w:t>
        <w:br/>
        <w:t>43 Pursuant to Article 8 of the ACI Statute, the Assembly determines the services and benefits that ACI must implement towards members and the consequent obligations of the ACs.</w:t>
        <w:br/>
        <w:t>44 Pursuant to Article 15 of the ACI Statute, the General Council performs the following functions towards local ACs: I) deliberates on the direction, conduct, and extension of ACI and AC activities within the limits of the ACI Statute and the decisions of the Assembly; II) approves the general regulations issued by individual ACs on all matters not covered by the ACI Statute and reflecting the functioning methods of the individual social bodies of the ACs; III) resolves any conflicts between the ACs; IV) proposes, for serious reasons, to the supervising Administration the dissolution of the governing bodies of the ACs; V) deliberates on requests for federation to ACI from new ACs.</w:t>
        <w:br/>
        <w:t>45 See Articles 12, 13, 14, 21, and 22 of the ACI Statute.</w:t>
        <w:br/>
        <w:t>46 While the first constitutes the guiding body of the automotive sports policy, the second is the management and implementation body of the policies deliberated by the Council itself. According to the Statute, in both Bodies, the presence of athletes and sports technicians in activity or who have been registered for at least two of the last ten years must be guaranteed at a rate of no less than 30% of the total number of their members. In the national governing bodies, a quota of 30% must also be reserved for representatives of the ACs.</w:t>
        <w:br/>
        <w:t>47 See Article 8, letter m), of the Statute.</w:t>
      </w:r>
    </w:p>
    <w:p>
      <w:r>
        <w:rPr>
          <w:b/>
        </w:rPr>
        <w:t>[Pages 13–15]</w:t>
      </w:r>
    </w:p>
    <w:p>
      <w:r>
        <w:t>BULLETIN NO. 1 OF JANUARY 7, 2025 15</w:t>
      </w:r>
    </w:p>
    <w:p>
      <w:r>
        <w:t>34. In regulating sports organization, the ROF assigns important functions also to the President of ACI48, the Secretary of the ACI Sports Bodies49 (i.e., National Sports Council and Sports Board), and the technical and advisory bodies50. Among these, the Provincial51 and local Delegations and the Regional Delegations52 are significant, as they not only represent ACI in their area of competence but also promote automobile sporting activities based on the plans and programs indicated by the Sports Board, oversee events taking place in their area of competence reporting to the Sports Bodies, represent ACI in the testing of competition routes as per Article 9, paragraph 4, CDS, and organize Regional or Interregional Championships53. The Provincial and local Delegations are established by each AC whose governing bodies are elected by ACI members of the province (the Provincial Delegations are chaired by the President of the Provincial AC); the Regional Delegations, on the other hand, are composed of the Regional Committees of the ACs, pursuant to Article 58 of the ACI Statute54 (the President of the Regional Committee of the AC has the representation of ACI at the CONI Regional Committees and is the President of the Regional Delegation).</w:t>
      </w:r>
    </w:p>
    <w:p>
      <w:r>
        <w:t>35. Regarding the detailed regulation of automobile sporting activities, Article 17 of the ROF refers to the aforementioned National Sports Regulation (hereinafter, "RSN") issued by the Sports Board, aimed at establishing the rules for the conduct and control of the aforementioned activity at the national level.</w:t>
      </w:r>
    </w:p>
    <w:p>
      <w:r>
        <w:t>36. As for the regulation and organization of automobile events, it should be noted that the RSN sets forth a wide range of rules primarily applicable to the generality of competitive events, from the issuance of the various types of licenses55 necessary to participate directly or indirectly in automobile sporting activities, to the requirements necessary to organize events, to the general rules governing their entire conduct, from registration and pre-race sports and technical checks to the homologation of results.</w:t>
      </w:r>
    </w:p>
    <w:p>
      <w:r>
        <w:t>48 See Article 10 of the ROF. The President has overall responsibility for the proper functioning of the Federation and presides over programming, direction, and control functions of automobile technical and sporting activities. Among various functions, he convenes and presides over the National Sports Council, the Sports Board, and the Presidency Office.</w:t>
      </w:r>
    </w:p>
    <w:p>
      <w:r>
        <w:t>49 See Article 11 of the ROF. The Secretary of the Sports Bodies is the Director of the ACI Automobile Sports Directorate. Among various functions, he assists the President of ACI in carrying out his duties in sports matters, ensures the coordination of the sports bodies by participating in related meetings without voting rights, manages relations with participants (in any capacity) in automobile sporting activities, and takes all necessary actions for the regular conduct of such activities. Pursuant to Article 39 of the ROF, the management of sports activities, whose competence is attributed to the ACI Sports Bodies, is indeed exclusively handled by the ACI Automobile Sports Directorate.</w:t>
      </w:r>
    </w:p>
    <w:p>
      <w:r>
        <w:t>50 See Article 7 of the ROF. This includes the Provincial and local Delegations, the Regional Delegations, the Commissions for sectors of activity, the Presidency Office, and the Group of Race Officials.</w:t>
      </w:r>
    </w:p>
    <w:p>
      <w:r>
        <w:t>51 See Article 12 of the ROF.</w:t>
      </w:r>
    </w:p>
    <w:p>
      <w:r>
        <w:t>52 See Article 13 of the ROF.</w:t>
      </w:r>
    </w:p>
    <w:p>
      <w:r>
        <w:t>53 The Regional Delegations, specifically, can therefore visit the RPG and express opinions regarding new registrations of races in their Region.</w:t>
      </w:r>
    </w:p>
    <w:p>
      <w:r>
        <w:t>54 Article 58 of the ACI Statute establishes that a Regional Committee is set up at the AC of the capital of each Region, composed of the Presidents of the ACs of the Region. The Committees, among various tasks, elect the regional representatives to the General Council of ACI pursuant to Article 14 of the Statute.</w:t>
      </w:r>
    </w:p>
    <w:p>
      <w:r>
        <w:t>55 See Articles 177 et seq. of the RSN. In particular, anyone participating in various capacities in competitive automobile activities carried out under the federal aegis (e.g., driver, competitor, constructor, navigator, mechanical assistant, team, race official, organizer, circuit, etc.) is required to hold a sports card issued by ACI, the so-called "license." Depending on the type of license, a specific registration fee is required (see doc. 1334). Holders of any of the licenses provided must know and comply with the provisions of the international sports code established by the FIS and the national regulations (RSN, RDS, as well as RPG). The license is not required for the conduct of recreational activities, see Article 177 RSN.</w:t>
      </w:r>
    </w:p>
    <w:p>
      <w:r>
        <w:t>16 BULLETIN NO. 1 OF JANUARY 7, 2025</w:t>
      </w:r>
    </w:p>
    <w:p>
      <w:r>
        <w:t>Article 11 of the RSN states that "National sports events, which are not of a recreational nature [therefore, competitive n.d.r] and which take place in Italy, must be under the aegis of ACI and must be organized in accordance with the rules contained in this Regulation and in the RDS."</w:t>
      </w:r>
    </w:p>
    <w:p>
      <w:r>
        <w:t>37. Regarding the organization of competitive sports events, Article 46 of the RSN specifies that "[I]n Italy, an automobile sporting event can be organized, in compliance with legal norms regarding public events, by all subjects holding a valid Organizer sports license who have registered the event in the National Sports Calendar and obtained permission to organize from ACI56."</w:t>
      </w:r>
    </w:p>
    <w:p>
      <w:r>
        <w:t>38. The National Sports Calendar (hereinafter, "ACI Calendar") therefore represents the calendar of sports events organized under the aegis of ACI (those competitive and, as specified below, those recreational-amateur registered at the mere will of the organizer) in Italy during the year, within which the relevant characteristics of each event are also specified57. Those who announce a sports event and intend to register it in the ACI Calendar must therefore submit a request to ACI according to operational registration methods that are communicated annually through the publication of a specific circular on the Federation's website and provide for the payment of a specific registration fee58.</w:t>
      </w:r>
    </w:p>
    <w:p>
      <w:r>
        <w:t>39. Among the documentation to be produced for the organization, particular importance is given to the program and the Particular Race Regulation (hereinafter, "RPG"). The former is the official document prepared by the organizer after the approval of the RPG to inform the public about the conduct of the event59. The latter constitutes the official document, prerequisite and mandatory for the issuance of the organization permit, which certifies that the modalities of the event's conduct comply with the technical-sporting norms issued by the Federation and the applicable legal norms60.</w:t>
      </w:r>
    </w:p>
    <w:p>
      <w:r>
        <w:t>40. The RSN also provides for the infractions and related sanctions that license holders may incur for violating the regulatory provisions set by ACI61.</w:t>
      </w:r>
    </w:p>
    <w:p>
      <w:r>
        <w:t>41. Although not specifically regulated in the ROF and the RSN, it is finally worth mentioning the role of the in-house company ACI Sport in the production/supply of goods and services instrumental and strictly necessary for the pursuit of ACI's institutional purposes, with specific reference to the activities of promotion, communication, and enhancement of the races and championships organized by the federation. ACI Sport promotes such races and championships, coordinating initiatives, including advertising and commercial ones, aimed at disseminating, promoting, and increasing automobile sporting activities, for example by transmitting information to the sports newsrooms of the major television and radio broadcasters, with which it enters into agreements for the widest possible dissemination of images and audio content of the races and events promoted62.</w:t>
      </w:r>
    </w:p>
    <w:p>
      <w:r>
        <w:t>III.1.3 The classification of automobile sporting disciplines into competitive and recreational-amateur</w:t>
      </w:r>
    </w:p>
    <w:p>
      <w:r>
        <w:t>42. Automobile sporting events are structured based on different disciplines, including, for example, rally, cross-country, speed, regularity, off-road, hill climb, historic cars, and karting, each of which can be divided into subcategories, depending on the type of road surface on which the races are run, the type of vehicle used, and specific peculiarities dictated at the regulatory and operational level for the individual type of race. Thus, for example, there are rallies and rallies on dirt, speed races "on circuit" and "hill climb," competitions with modern cars and historic cars, speed races reserved for particular categories of vehicles (e.g., prototypes, single-make, "grand touring," etc.). Events can take place on the road or at a facility (e.g., a racetrack). From an organizational point of view, different disciplines or, in particular, different subcategories can take place within the same event.</w:t>
      </w:r>
    </w:p>
    <w:p>
      <w:r>
        <w:t>43. There is also a regulatory distinction between events of a competitive nature, which also include those with a reduced competitive content and pre-competitive, and those of a recreational-amateur nature63. Each type of event includes certain "activity sectors," that is, different automobile sporting disciplines, subject to specific sector regulations (hereinafter, "RDS")64. As mentioned, competitive events taking place in Italy must be placed under the aegis of ACI and, therefore, registered in the ACI Calendar and governed by the RSN, RDS, and RPG65. Conversely, as confirmed by ACI itself, "[A]nyone can […] freely organize non-competitive automobile sporting events (i.e., recreational and amateur) referred to in Article 12.2 of the RSN in complete autonomy, outside the aegis of ACI, without any involvement or intervention from the latter and without having to comply with the provisions of the RSN as well as the RDS"66; a non-competitive event, if requested by the organizer, can still be registered in the ACI Calendar and in that case must comply with the content of the federal regulation.</w:t>
      </w:r>
    </w:p>
    <w:p>
      <w:r>
        <w:t>44. According to Article 19 of the ROF and Article 12 of the RSN, the distinction between competitive and non-competitive activity is given by the value of the performance "tending to the maximum in the former and almost</w:t>
      </w:r>
    </w:p>
    <w:p>
      <w:r>
        <w:t>62 Regarding sports activity and the role of ACI Sport, it is relevant to consider Article 23 of the RSN, which states: "ACI annually announces Championships, Trophies, Cups, Challenges. […] A Championship, a Trophy, a Cup, or a Challenge can consist of a series of events or a single event and can be international or national. International Championships, Cups, Trophies, and Challenges are the property of the FIA, while national ones belong to ACI. […] For the Italian Championships in which the Promoter ACI Sport Spa is present, the choice of races valid for the title and the related dates of conduct are determined by the Sports Board upon proposal of the aforementioned Promoter after consulting the relevant Commissions. Organizers who wish to be part of a Championship promoted by ACI Sport Spa must sign a bilateral agreement with the latter in which they commit to comply with the organizational and promotional format previously defined by the ACI Sports Board."</w:t>
      </w:r>
    </w:p>
    <w:p>
      <w:r>
        <w:t>63 Article 2, paragraph 4, of the ROF establishes that "[the] ACI, in application of Article 13 of the fundamental principles of the statutes of National Sports Federations issued by CONI, groups the sports disciplines practiced in events with competitive content including those with reduced competitive content and pre-competitive, and those non-competitive including recreational and amateur ones, listed below."</w:t>
      </w:r>
    </w:p>
    <w:p>
      <w:r>
        <w:t>64 For each discipline, ACI defines a specific RDS mainly concerning the rules and modalities of conducting events, the admitted vehicles, and safety profiles.</w:t>
      </w:r>
    </w:p>
    <w:p>
      <w:r>
        <w:t>65 See Article 11, paragraph 2, of the RSN.</w:t>
      </w:r>
    </w:p>
    <w:p>
      <w:r>
        <w:t>66 See docs. 1390 and 1421.</w:t>
      </w:r>
    </w:p>
    <w:p>
      <w:r>
        <w:rPr>
          <w:b/>
        </w:rPr>
        <w:t>[Pages 16–18]</w:t>
      </w:r>
    </w:p>
    <w:p>
      <w:r>
        <w:t>18 BULLETIN NO. 1 OF JANUARY 7, 2025</w:t>
      </w:r>
    </w:p>
    <w:p>
      <w:r>
        <w:t>negligible in the second” and not from the element of competitiveness, which can also be present in non-competitive contexts. In motorsport, “which presupposes a high level of technical performance, the disciplines falling under non-competitive activities are limited to certain specialties whose performance is negligible.” ACI categorizes the races into their respective categories “in relation to the characteristics and purposes of the events, the level of medical-sporting suitability required, as well as based on the characteristics of the routes, the type of vehicles allowed, and the methods of compiling the rankings.”</w:t>
      </w:r>
    </w:p>
    <w:p>
      <w:r>
        <w:t>a) Competitive events</w:t>
      </w:r>
    </w:p>
    <w:p>
      <w:r>
        <w:t>45. Article 12.1 of the RSN establishes that sports events are competitive when the performance tends to maximum effort concerning the following factors, individually or combined:</w:t>
        <w:br/>
        <w:t>- the time taken to cover a predefined distance;</w:t>
        <w:br/>
        <w:t>- the distance covered in a determined period of time;</w:t>
        <w:br/>
        <w:t>- adherence to predetermined times for covering a route or parts of it;</w:t>
        <w:br/>
        <w:t>- the driving skill of the participants;</w:t>
        <w:br/>
        <w:t>- the psycho-physical commitment of the participants;</w:t>
        <w:br/>
        <w:t>- the duration of the commitment;</w:t>
        <w:br/>
        <w:t>- the performance of the vehicles.</w:t>
      </w:r>
    </w:p>
    <w:p>
      <w:r>
        <w:t>Among the events with competitive content are those belonging to a specific set of activity sectors, governed by specific RDS67, for which a certificate of competitive sports suitability is required.</w:t>
      </w:r>
    </w:p>
    <w:p>
      <w:r>
        <w:t>46. Pursuant to Article 12 letter b) of the RSN and Article 19.3 of the ROF, sports events are of “reduced competitive content” if the performance determined by the aforementioned factors is present in a reduced manner due to the specific characteristics of the individual disciplines68.</w:t>
      </w:r>
    </w:p>
    <w:p>
      <w:r>
        <w:t>b) Recreational-amateur events</w:t>
      </w:r>
    </w:p>
    <w:p>
      <w:r>
        <w:t>47. Finally, pursuant to Articles 12.2 of the RSN and 19.4 of the ROF, sports events organized by entities or associations for purposes of recreation, growth, health, personal and social maturation are considered recreational and amateur. Such events may also take place in competitive formats and may involve the awarding of prizes and/or trophies of a purely symbolic nature, provided they do not involve the establishment of rankings based on the factors typical of competitive events or the awarding of titles.</w:t>
      </w:r>
    </w:p>
    <w:p>
      <w:r>
        <w:t>67 These particularly include the following sectors (or otherwise attributable to them): circuit speed; hill climb; rally; cross country rally; speed on dirt; speed on ice; rallycross; formula challenge; slalom; historic cars (circuit speed, hill climb, and rally); off-road speed; karting; regularity sports for historic cars; record attempts; atypical experimental; acceleration; drifting; competitions using renewable and alternative energies, see Article 12, letter A) of the RSN and Article 2.4.1 of the ROF.</w:t>
      </w:r>
    </w:p>
    <w:p>
      <w:r>
        <w:t>68 For such events, following the commitments presented by ACI and made mandatory by the Authority in case A396 - Gargano Corse/ACI (measure No. 19946 of September 18, 2009, in Bulletin No. 23/2009). ACI had committed to establishing a Convention with the EPS to allow them to organize automobile events of both competitive and/or limited competitive content. Specifically, the following events may fall under the Convention: trial; gymkhanas; leisure karting events; tourist regularity, challenge, and classic for historic and modern cars; as well as mini slaloms, drifting, acceleration, speed on dirt, speed on ice, formula challenge provided they are conducted with performances of reduced competitive content. On this point, see also Articles 19, letter B) of the RSN and 2.4.2 of the ROF.</w:t>
      </w:r>
    </w:p>
    <w:p>
      <w:r>
        <w:t>BULLETIN NO. 1 OF JANUARY 7, 2025 19</w:t>
      </w:r>
    </w:p>
    <w:p>
      <w:r>
        <w:t>As with the categories described above, this type includes certain sports disciplines specifically identified and subject to the RDS69, which must be observed only if the organizer wishes to register the event in the ACI Calendar70.</w:t>
      </w:r>
    </w:p>
    <w:p>
      <w:r>
        <w:t>48. As mentioned, no provisions of the RSN (and consequently of the specific RDS) apply to non-competitive events - recreational and amateur as per Article 12.2 of the RSN, unless the organizers voluntarily choose to register them in the ACI Calendar, thus placing them under the federal aegis71. As illustrated by the reported parties, this would apply both to organizers already holding an ACI sports license - who, for example, may request to include such an event as an additional event in the program of a competitive event already registered in the Calendar - and to parties who do not already hold an ACI sports license, who may request registration in the Calendar of such an event as a standalone event, requesting and obtaining from ACI a specific organization certificate for the event in question72, while still needing to obtain an organization permit73.</w:t>
      </w:r>
    </w:p>
    <w:p>
      <w:r>
        <w:t>III.1.4 The regulatory framework for road automobile events</w:t>
      </w:r>
    </w:p>
    <w:p>
      <w:r>
        <w:t>49. Road automobile sports events are governed by Article 9 of the Highway Code, as well as by some ministerial circulars that, as will be discussed later, have over time specified their scope of application.</w:t>
      </w:r>
    </w:p>
    <w:p>
      <w:r>
        <w:t>50. In particular, Article 9 of the CDS and subsequent amendments subject competitive motor racing to a detailed authorization procedure. Specifically, the administrative process presupposes the issuance of an authorization “after hearing the competent national sports federations” and given “timely information to the public security authority”: “from the region and the autonomous provinces of Trento and Bolzano for roads that constitute the national interest network; from the provinces for provincial roads; from municipalities for municipal roads” (Article 9, paragraph 1, of the CDS).</w:t>
      </w:r>
    </w:p>
    <w:p>
      <w:r>
        <w:t>51. The logic of this process lies in the legislator's intention to involve, on one hand, the authorities responsible for ensuring road safety and public safety and, on the other hand, the relevant sports institutions. The authorization process begins with a request to the road owner (Municipality, Province, Region) and is completed with the request for “no objection from the Ministry of Infrastructure and Transport,” to which the “preliminary opinion of CONI” must be attached, which is issued by the competent sports federations depending on whether it is a car or motorcycle competition. This is, in particular, the opinion that ACI refers to in the reports subject to this investigation.</w:t>
      </w:r>
    </w:p>
    <w:p>
      <w:r>
        <w:t>52. The legislator, with the provisions contained in the CDS, in Article 9, paragraph 3, third sentence, has explicitly exempted from the preliminary opinion by CONI, and consequently ACI74, the regularity events reserved for vehicles of historical and collectible interest “registered in one of the following registers: ASI, Historic Lancia, Italian FIAT, Italian Alfa Romeo, Historic FMI” under Article 60 CDS and in which “the imposed speed is below 40 km/h for the entire route and the event is organized in accordance with the technical sports regulations of the competent federation”75. The detailed regulations regarding the requirements for their circulation on the road are contained in the Ministerial Decree of December 17, 2009, issued by the MIT.</w:t>
      </w:r>
    </w:p>
    <w:p>
      <w:r>
        <w:t>53. Although Article 9 of the CDS regulates competitive events, an explicit exemption is provided for historical regularity events that meet the characteristics of paragraph 3, third sentence, of the same article, which therefore have the same nature as recreational-amateur events. Regarding their non-competitive nature, which makes the issuance of the preliminary opinion from CONI unnecessary - and therefore in its place from ACI - the Council of State expressed itself in ruling No. 7451 of 202276, which noted that “[T]he terminology used by the code, which refers to all “motor events” of regularity without investigating their exclusively or predominantly recreational or sporting nature, is not accidental, allowing for an unambiguous depiction (which would be detrimental to the controls aimed at protecting public safety) of all events reserved for vintage cars that allow drivers to test their driving skills by competing in regularity competitions that, not concerning commercial or economic-productive or tourist uses of the vehicles (which are unsuitable for this purpose, being vintage cars), are by definition “sporting,” and may also involve races, rankings (even following time checks, as provided by the aforementioned circular and as occurred in this case) and prizes, but also “recreational,” as they highlight the relationship of affection or collection with the vehicles, do not originate competitive events in the strict sense and do not fit into national or international sports championships.”</w:t>
      </w:r>
    </w:p>
    <w:p>
      <w:r>
        <w:t>74 CONI issues its opinions through the relevant sports federations; the federation holding the national power of automotive sports, pursuant to Article 2, paragraph 5 of Legislative Decree No. 15/2004 (which amended and supplemented the reorganization of CONI under Legislative Decree No. 242/1999) is ACI.</w:t>
      </w:r>
    </w:p>
    <w:p>
      <w:r>
        <w:t>75 See Article 9, paragraph 3, CDS.</w:t>
      </w:r>
    </w:p>
    <w:p>
      <w:r>
        <w:t>76 In the first instance, the TAR Lazio (First Section-Ter on January 25, 2018, No. 916) intervened with a decision to accept the appeal presented by the organizing club and ASI against the measure with which the Prefecture of Trapani intervened at the behest of ACI to block the organization of the event. The legal reasoning of the administrative judge was ultimately confirmed even in the revocation proceedings, with the rejection ruling of the extraordinary appeal promoted by ACI (see Council of State, Section III - 07/18/2023, No. 7056).</w:t>
      </w:r>
    </w:p>
    <w:p>
      <w:r>
        <w:rPr>
          <w:b/>
        </w:rPr>
        <w:t>[Pages 19–21]</w:t>
      </w:r>
    </w:p>
    <w:p>
      <w:r>
        <w:t>BULLETIN NO. 1 OF JANUARY 7, 2025 21</w:t>
      </w:r>
    </w:p>
    <w:p>
      <w:r>
        <w:t>54. The Council of State, in qualifying the event under review as non-competitive, also cited an international agreement signed between the FIA and the Fédération Internationale des Véhicules Anciens (hereinafter, "FIVA") from which it emerges the freedom of the organizer of historical regularity events of a non-competitive nature to indiscriminately choose which federal regulation to apply.77</w:t>
      </w:r>
    </w:p>
    <w:p>
      <w:r>
        <w:t>55. To complete the regulatory framework outlined above, the interpretative circulars of Article 9 of the CDS, issued annually by the MIT since 2008, along with some circulars and opinions sporadically released by the Ministry of the Interior and CONI, are relevant.</w:t>
      </w:r>
    </w:p>
    <w:p>
      <w:r>
        <w:t>56. In particular, the most recent circular of January 19, 2024, No. 1933 from the MIT - in line with those from previous years - clarifies that events that do not have a competitive nature do not fall under the provisions of Article 9, paragraph 2, of the CDS. For these events, the circular continues, the usual authorization procedures provided for in Title III of Royal Decree No. 635 of May 6, 1940 - that is, the Implementing Regulation of the TULPS79 (Consolidated Text of Public Security Laws) - remain in force, which provides for oversight of the safe conduct of events by appropriate supervisory commissions.80</w:t>
      </w:r>
    </w:p>
    <w:p>
      <w:r>
        <w:t>57. Furthermore, regularity events with historic cars referred to in Article 9, paragraph 3, third sentence, of the CDS are expressly excluded from the opinion.</w:t>
      </w:r>
    </w:p>
    <w:p>
      <w:r>
        <w:t>58. However, the same circular emphasizes the necessity for the competent authority, "regardless of the type of sporting event," to obtain the prior opinion of CONI expressed by the national sports federations. This, the circular continues, "also in order to verify the 'sporting nature' of the competitions themselves, to which it seems logical to refer all the characteristics that guarantee, from the perspective of the type of race, but also of the professionalism of the organizers, the prerequisites for an orderly conduct of the initiatives in compliance with safety standards." This position appears to have also been adopted by CONI in a note dated July 13, 2016, addressed to the MIT and concerning the application of Article 9 of the CDS.81</w:t>
      </w:r>
    </w:p>
    <w:p>
      <w:r>
        <w:t>59. On the other hand, the Circular of the Ministry of the Interior - Department of Public Security of May 31, 2022, concerning "Motor Competitions on the Road pursuant to Article 9 of the Highway Code. Authorization regime and opinions of motor federations," addressed also to ACI82, modified the position expressed in circular No. 300/A/3737/11/116/6 of April 19, 2011, which was largely aligned with that of the MIT, and asserted that the authorization regime referred to in Article 9 of the CDS applies only to competitive events83, with non-competitive events being subject to the provisions of the aforementioned Royal Decree No. 635 of May 6, 1940. Additionally, this last circular emphasizes the role of Public Security Authorities (hereinafter, "APS") that must independently assess the nature of an event notified to them by the organizers, specifying that the programs and regulations of the events may constitute the documents through which to qualify the types of events.84</w:t>
      </w:r>
    </w:p>
    <w:p>
      <w:r>
        <w:t>60. Regarding the interpretation of Article 9 of the CDS provided by the ministerial circulars, both the MIT and the Ministry of the Interior were heard in a hearing.</w:t>
      </w:r>
    </w:p>
    <w:p>
      <w:r>
        <w:t>61. In particular, the representative of the MIT, during the hearing held on May 23, 202485, while justifying the inclusion in the circulars of the necessity for the competent authority to obtain the opinion of ACI essentially based on safety reasons86 related to the concern that an event advertised as recreational may actually have a competitive nature, confirmed that "the provisions of Article 9 of the Highway Code, including the ministerial clearance, apply only to competitive competitions, as indicated in the MIT circulars."87</w:t>
      </w:r>
    </w:p>
    <w:p>
      <w:r>
        <w:t>62. In the hearing held on May 24, 2024, the representative of the Ministry of the Interior88 (Division I, Road Police Service, Department of Public Security) reiterated what was indicated in the Circular of May 31, 2022, namely that "authorization under Article 9 of the Highway Code is not required for an event organized as a recreational-amateur event, that is, for example, an event whose possible prizes awarded to participants do not concern the achievement of a competitive performance. Such events are subject exclusively to prior notice to the Public Security Authority pursuant to the TULPS and do not even require the opinion of the competent federation."</w:t>
      </w:r>
    </w:p>
    <w:p>
      <w:r>
        <w:t>63. In particular, the representative of the Ministry of the Interior explained that the aforementioned circular was issued to raise awareness among the competent authorities to avoid unjustified prohibitions of correctly organized recreational-amateur events, exposing themselves to the risk of incurring compensation actions by the organizers. The objective of the Circular was to provide the tools for a correct qualification of the nature of the event (competitive or recreational-amateur) and to prevent the phenomenon of events presented by organizers as recreational-amateur, but secretly competitive, for which the authorization regime referred to in the aforementioned Article 9 is therefore required.89 Specifically, the "autonomy of the Public Security Authorities in discerning the exact nature of the events submitted to them, without necessarily having to consult with the sports federations," was highlighted, also emphasizing that "the task of ensuring the safe conduct of the events referred to in Article 9 of the Highway Code primarily falls to the Public Security Authorities. As for the supervisory commissions, they also play a significant role in protecting the public spectator of the event, whether it is a competitive or non-competitive event."</w:t>
      </w:r>
    </w:p>
    <w:p>
      <w:r>
        <w:t>III.2 The agreements of ACI, ACI Sport, and ACI Storico</w:t>
      </w:r>
    </w:p>
    <w:p>
      <w:r>
        <w:t>64. During the investigation, it emerged that the reported parties have entered into specific agreements (renewed periodically) among themselves in which they regulate their mutual rights and obligations related to the organizational and promotional activities of the automotive sector, highlighting a relationship of coordination and support among ACI, ACI Sport, ACI Storico, and the ACs.</w:t>
      </w:r>
    </w:p>
    <w:p>
      <w:r>
        <w:t>65. The examined agreements, depending on their subject matter, concern this activity both in general terms90 and with reference to specific events, involving in the latter case some ACs91 and ASDs92, which (among various obligations) commit themselves to ACI Sport to submit for its approval any economic commitments as well as to remit to it the proceeds from competitor registrations and any other income such as sponsorships.</w:t>
      </w:r>
    </w:p>
    <w:p>
      <w:r>
        <w:t>66. The important role played by ACI Sport in the automotive sector is better articulated in the "general character" agreement that the in-house company has entered into with ACI since the early 2000s93, through which the Federation entrusts it "with the realization of services and activities aimed at the best and most profitable planning, promotion, and development of sporting events [...] [granting it, ed.] the mandate to carry out, on its own behalf and in accordance with its institutional purposes, the legal acts necessary for the realization of the services and activities covered by this agreement" (emphasis added).</w:t>
      </w:r>
    </w:p>
    <w:p>
      <w:r>
        <w:rPr>
          <w:b/>
        </w:rPr>
        <w:t>[Pages 22–24]</w:t>
      </w:r>
    </w:p>
    <w:p>
      <w:r>
        <w:t>24 BULLETIN NO. 1 OF JANUARY 7, 2025</w:t>
      </w:r>
    </w:p>
    <w:p>
      <w:r>
        <w:t>67. Taking as a reference the text of the currently valid agreement94, it is indeed stated that among the tasks assigned to ACI Sport, in addition to the promotion of events95, there is a wide range of additional tasks. In particular, the Federation assigns to ACI Sport the task of: “a) coordinating the activities of the organizers; […] f) coordinating, based on the guidelines set by ACI, the sporting activities of the provincial and local Automobile Clubs. […]” (emphasis added)96.</w:t>
      </w:r>
    </w:p>
    <w:p>
      <w:r>
        <w:t>68. The methods of carrying out the aforementioned tasks are also specified from time to time by a specific Annual Activity Plan97 (submitted each year by ACI Sport to ACI, along with the attached Budget98, concerning the following year), a document through which ACI exercises its ex ante control over ACI Sport pursuant to Article 7 of the agreement99. According to what is reported in the agreement100, the aforementioned plan, among other things, contains the indication: of the initiatives undertaken in order to achieve the coordination of the organizers and collaboration for the better promotion of the events; of the methods of carrying out collaborative activities with the various AC101; of the contents of the promotional activities of the events; of the initiatives aimed at the economic exploitation of competitive activities.</w:t>
      </w:r>
    </w:p>
    <w:p>
      <w:r>
        <w:t>69. From some RPGs of events registered in the ACI Calendar102, it emerges how ACI Sport is also involved in the management, as well as in some cases the collection of the related revenues, of the registration procedures for individual events, with a different degree of involvement depending on the type of event. In particular:</w:t>
        <w:br/>
        <w:t>94 The agreement has a three-year duration starting from January 1, 2022, and can be renewed at the express request of one of the parties (see doc. 1300, Article 13 of the agreement).</w:t>
        <w:br/>
        <w:t>95 See doc. 1300, Article 3, paragraph 4, letter c) of the agreement.</w:t>
        <w:br/>
        <w:t>96 See doc. 1300, Article 3 of the agreement.</w:t>
        <w:br/>
        <w:t>97 See doc. 1421. In response to a request for information, ACI provided copies of the Annual Activity Plans of ACI Sport (with attached Budgets) for each year in the period 2013-2023. According to ACI, “[t]he Annual Plans indicate all the individual automobile sporting events or Championships (including the type and, in the case of Championships, the number of races they consist of) for which ACI Sport has carried out activities on behalf of ACI, also detailing such activities”.</w:t>
        <w:br/>
        <w:t>98 As reported in Article 6 of the agreement (see doc. 1300), “[t]he Budget contains the indication, analytically for each initiative, of the estimated costs and revenues of the activities included in the Plan. The costs and revenues must be indicated with reference to those ascertainable from previous experiences and in particular from results achieved in the previous year. The Budget reports the estimate of costs directly attributable to the activities and services planned for the following year as well as indirect and structural costs of the company for the part attributable to the activities covered by this Agreement”.</w:t>
        <w:br/>
        <w:t>99 As reported in Article 6 of the agreement (see doc. 1300), “The Annual Activity Plan and the attached Budget must be submitted for approval to the ACI Sports Board, which may prepare at any time, also at the proposal of ACI Sport, the changes to the Annual Activity Plan and the related Budget that may be necessary to ensure the full realization of the expected objectives”.</w:t>
        <w:br/>
        <w:t>100 See doc. 1300 Article 6 of the agreement.</w:t>
        <w:br/>
        <w:t>101 The annual plan of 2015 provides, for example, with reference to the Targa Florio event that: “[I]n 2015 ACI will support through ACI Sport A.C. Palermo in organizing the services related to the 99th edition of the Targa Florio […] The event, open to both modern and historic cars, will take place from May 21 to 24 and will develop its route on the traditional roads of the Madonie with the involvement of the municipalities of Palermo, Termini Imerese, Cefalù, and Campofelice di Roccella […] ACI Sport will provide ACI with the services related to the organization of the Award Ceremony for the Champions”, see doc. 1421.</w:t>
        <w:br/>
        <w:t>102 A total of 66 RPGs related to events scheduled in the years 2021, 2022, and 2023 were examined.</w:t>
      </w:r>
    </w:p>
    <w:p>
      <w:r>
        <w:t>25 BULLETIN NO. 1 OF JANUARY 7, 2025</w:t>
      </w:r>
    </w:p>
    <w:p>
      <w:r>
        <w:t>- a first category103 includes competitions for which an online pre-registration procedure is provided on the website www.acisport.it104;</w:t>
        <w:br/>
        <w:t>- a second category does not provide for the online pre-registration procedure but generally establishes that registration occurs – or can be carried out, as an alternative to other methods – through the federal/ACI Sport website105;</w:t>
        <w:br/>
        <w:t>- a third and final category requires, alongside the online pre-registration procedure, also the payment of a fee to ACI Sport106.</w:t>
      </w:r>
    </w:p>
    <w:p>
      <w:r>
        <w:t>70. Finally, among the “general character” agreements, the one signed between ACI, ACI Sport, ACI Storico, and ACI Informatica S.p.A.107 is noteworthy. The purpose of the aforementioned agreement is mutual collaboration between the parties in carrying out the activities of ACI Storico; they “commit […] to collaborate to pool their know-how, experience, and respective structures in order to promote the development of the ACI Storico Club, as well as the enhancement of historic motoring within the broader context of automotive culture”108. In observance of the aforementioned purposes, the parties are required to support the ACs in organizing various events and activities related to historic motoring109, as well as the delegation to ACI Sport (by ACI Storico) of “all management and operational support activities necessary to ensure the life of the ACI Storico Club both at the central and territorial level. At the territorial level, in carrying out the aforementioned activities, ACI Sport coordinates with the individual Automobile Clubs both to support them in the actions to be carried out for the development of the ACI Storico Club and to prepare autonomous activities in support of historic associations, under the ACI Storico brand”110 (emphasis added). In this perspective, ACI Sport is assigned the commitment “to provide the ACs with informational assistance, support for activities and communication initiatives, and for the realization of promotional and social events, support in organizing regularity competitions or other types of events with historic cars both of a sporting and amateur nature”111 (emphasis added).</w:t>
      </w:r>
    </w:p>
    <w:p>
      <w:r>
        <w:t>71. Among the “Further areas of collaboration” referred to in Article 10 of this latest agreement, it is also specified that the parties may collaborate in the “realization of amateur and recreational activities for enthusiasts and collectors of automotive memorabilia and organization of events, gatherings, and exhibitions in racetracks or other contexts” (emphasis added).</w:t>
      </w:r>
    </w:p>
    <w:p>
      <w:r>
        <w:t>72. With reference to historic motoring, the investigative findings have confirmed the synergy between the various parties in organizing important events such as, for example, “Wheels in History 2023”112, the “2023 Gold Cup of the Dolomites”113, and the “2023 Targa Florio Classic”114.</w:t>
      </w:r>
    </w:p>
    <w:p>
      <w:r>
        <w:t>73. From the analysis of the agreements, it emerges, therefore, how ACI, through its in-house company Sport, plays a role of direction and coordination over the organizational and promotional activities concerning both events with modern cars and with historic cars, thus supporting both the individual local ACs and ACI Storico.</w:t>
      </w:r>
    </w:p>
    <w:p>
      <w:r>
        <w:t>III.3 The sector concerned</w:t>
      </w:r>
    </w:p>
    <w:p>
      <w:r>
        <w:t>74. The present proceeding concerns the organization of automobile events at the national, regional, and local levels, in which, in addition to ACI and its controlled companies, various local ACs and numerous operators such as associations, EPS, ASD/SSD, and automobile clubs, including so-called single-brand clubs115 (hereinafter also “other operators”), are active, which</w:t>
      </w:r>
    </w:p>
    <w:p>
      <w:r>
        <w:t>110 See doc. 1301, Article 2, paragraph 5, of the agreement.</w:t>
        <w:br/>
        <w:t>111 See doc. 1301, Article 6 of the agreement.</w:t>
        <w:br/>
        <w:t>112 From a page available on the ACI Storico website (https://www.clubacistorico.it/notizie-ed-eventi/comunicati/automobile-club/dettaglio</w:t>
        <w:br/>
        <w:t>evento.html?tx_news_pi1%5Bnews%5D=1401&amp;tx_news_pi1%5Bcontroller%5D=News&amp;tx_news_pi1%5Baction%5D=de</w:t>
        <w:br/>
        <w:t>tail&amp;cHash=a37e95ce05e7ed2bc6ead092a81d4b0a) it appears that “the prestigious gathering” was organized by ACI Storico and ACI and was broadcast on ACI Sport TV and ACI Storico Magazine. In the “PROGRAMMING” paragraph of the same page, it is stated that almost all appointments were “realized with the collaboration”, “realized with” or “held with the support” of local ACs.</w:t>
        <w:br/>
        <w:t>113 On the ACI Storico website, it reads: “the event, organized by the Automobile Club of Belluno and the Automobile Club of Italy, with the collaboration of the ACI Storico Club and ACI Sport, will take place from July 20 to 23 […]” (emphasis added) (https://www.clubacistorico.it/notizie-ed-eventi/comunicati/aci-storico/dettaglio-</w:t>
        <w:br/>
        <w:t>evento.html?no_cache=1&amp;tx_news_pi1%5Bnews%5D=1400&amp;tx_news_pi1%5Bcontroller%5D=News&amp;tx_news_pi1%5Ba</w:t>
        <w:br/>
        <w:t>ction%5D=detail&amp;cHash=e37bfddb68846ba030eb2e0bab08cf63).</w:t>
        <w:br/>
        <w:t>114 On the website related to the Targa Florio, it reads: “the event, organized by the Automobile Club of Palermo with the fundamental support of the Automobile Club of Italy and ACI Storico […]” (emphasis added) (https://targa-</w:t>
        <w:br/>
        <w:t>florio.it/targaflorioclassica/2023/10/12/la-targa-florio-classica-e-pronta-allo-start/).</w:t>
        <w:br/>
        <w:t>115 These are entities that bring together drivers and enthusiasts of a particular brand of cars and, among other initiatives, promote the so-called Series registered in the ACI Calendar and falling within the category of competitive events (on track), pairing them with races organized by other subjects, and, outside the orbit of ACI, organize some events within the framework of recreational-amateur events. According to Article 20.1 of the RSN, “Series are defined as a set of competitions chosen from those registered in the National Sports Calendar, proposed by a single Promoter and approved by the Federation”. Furthermore, some of these clubs, such as those of the Lancia, Alfa Romeo, and FIAT brands, also carry out activities related to ASI, managing the registers of the respective historic vehicles.</w:t>
      </w:r>
    </w:p>
    <w:p>
      <w:r>
        <w:rPr>
          <w:b/>
        </w:rPr>
        <w:t>[Pages 25–27]</w:t>
      </w:r>
    </w:p>
    <w:p>
      <w:r>
        <w:t>BULLETIN NO. 1 OF JANUARY 7, 2025 27</w:t>
      </w:r>
    </w:p>
    <w:p>
      <w:r>
        <w:t>are required to comply with federal regulations when organizing competitive events, without prejudice to the possibility of registering non-competitive events in the ACI calendar116.</w:t>
      </w:r>
    </w:p>
    <w:p>
      <w:r>
        <w:t>75. As for ACI, during the period 2013-2023, an average of about 950 automobile sporting events were held each year (as shown in Table 1 below), some of which had international significance, organized "during the season in more than 25 sports disciplines 'on four wheels' under the guidance of the ACI Sports Board and the ACI Automobile Sports Directorate, with the contribution of ACI Sport S.p.a., an 'in-house' company of ACI with promotional and operational tasks"117. This count includes all events registered in the ACI Calendar, that is, officially "held under the aegis" of the Federation, both on-road and off-road118. The count of non-competitive events also includes the number of historical regularity events under Article 9, paragraph 3, of the CDS.</w:t>
      </w:r>
    </w:p>
    <w:p>
      <w:r>
        <w:t>Table 1 – Number of on-road and off-road events registered in the ACI Calendar</w:t>
      </w:r>
    </w:p>
    <w:p>
      <w:r>
        <w:t>| Year | Competitive Events | Non-Competitive Events | Total |</w:t>
        <w:br/>
        <w:t>|------|--------------------|-----------------------|-------|</w:t>
        <w:br/>
        <w:t>|      | ACI | AC | Others | ACI | AC | Others | |</w:t>
        <w:br/>
        <w:t>| 2013 | 0   | 70 | 695   | 0   | 11 | 77    | 853   |</w:t>
        <w:br/>
        <w:t>| 2014 | 1   | 83 | 746   | 0   | 16 | 88    | 934   |</w:t>
        <w:br/>
        <w:t>| 2015 | 1   | 73 | 745   | 0   | 20 | 98    | 937   |</w:t>
        <w:br/>
        <w:t>| 2016 | 0   | 75 | 759   | 0   | 22 | 126   | 982   |</w:t>
        <w:br/>
        <w:t>| 2017 | 1   | 72 | 771   | 0   | 26 | 141   | 1011  |</w:t>
        <w:br/>
        <w:t>| 2018 | 1   | 69 | 711   | 0   | 34 | 116   | 931   |</w:t>
        <w:br/>
        <w:t>| 2019 | 9   | 55 | 696   | 0   | 44 | 112   | 916   |</w:t>
        <w:br/>
        <w:t>| 2020 | 3   | 20 | 722   | 0   | 14 | 43    | 802   |</w:t>
        <w:br/>
        <w:t>| 2021 | 11  | 57 | 764   | 0   | 77 | 106   | 1015  |</w:t>
        <w:br/>
        <w:t>| 2022 | 4   | 63 | 766   | 0   | 102| 131   | 1066  |</w:t>
        <w:br/>
        <w:t>| 2023 | 13  | 63 | 693   | 0   | 99 | 105   | 973   |</w:t>
      </w:r>
    </w:p>
    <w:p>
      <w:r>
        <w:t>Source: data provided by ACI (docs. 1421 and 1441) and AGCM elaborations.</w:t>
      </w:r>
    </w:p>
    <w:p>
      <w:r>
        <w:t>76. From the information reported in Table 1, it is evident that, over the period in question, while there was a substantially constant trend in the number of competitive events registered in the ACI Calendar, there was an increase in the number of non-competitive events registered, especially by the ACs. In particular, the number of events that the latter registered in the ACI Calendar almost tripled between 2018 and 2023, rising from 34 to 99 (not considering the data related to 2020, which was affected by the Covid pandemic). As for the events directly organized by ACI, the Parties clarified that the competitive events organized (as per Table 1) are all races valid for international championships promoted by the FIA120.</w:t>
      </w:r>
    </w:p>
    <w:p>
      <w:r>
        <w:t>77. Regarding on-road automobile events, during the period 2013-2023, an average of about 450 events per year were registered in the ACI Calendar (570 not considering 2020, in which activity was reduced due to the Covid pandemic). From Figure 1 below, it can be seen that while there was a substantial stability in competitive events (with a slight decline in the last three years), there was a marked increase in recreational-amateur events.</w:t>
      </w:r>
    </w:p>
    <w:p>
      <w:r>
        <w:t>Figure 1 – On-road events registered in the ACI Calendar: event type</w:t>
      </w:r>
    </w:p>
    <w:p>
      <w:r>
        <w:t>| Year | Total | Competitive | Recreational-Amateur |</w:t>
        <w:br/>
        <w:t>|------|-------|-------------|----------------------|</w:t>
        <w:br/>
        <w:t>| 2013 | 600   | 400         | 200                  |</w:t>
        <w:br/>
        <w:t>| 2014 | 500   | 400         | 100                  |</w:t>
        <w:br/>
        <w:t>| 2015 | 400   | 300         | 100                  |</w:t>
        <w:br/>
        <w:t>| 2016 | 300   | 200         | 100                  |</w:t>
        <w:br/>
        <w:t>| 2017 | 200   | 100         | 100                  |</w:t>
        <w:br/>
        <w:t>| 2018 | 100   | 0           | 100                  |</w:t>
        <w:br/>
        <w:t>| 2019 | 0     | 0           | 0                    |</w:t>
        <w:br/>
        <w:t>| 2020 | 0     | 0           | 0                    |</w:t>
        <w:br/>
        <w:t>| 2021 | 0     | 0           | 0                    |</w:t>
        <w:br/>
        <w:t>| 2022 | 0     | 0           | 0                    |</w:t>
        <w:br/>
        <w:t>| 2023 | 0     | 0           | 0                    |</w:t>
      </w:r>
    </w:p>
    <w:p>
      <w:r>
        <w:t>Source: data provided by ACI (doc. 1421) and AGCM elaborations.</w:t>
      </w:r>
    </w:p>
    <w:p>
      <w:r>
        <w:t>78. As mentioned earlier, ACI has stated that it directly organizes a very limited number of on-road events: specifically, the Monza Rally and the Rally d'Italia-Sardegna (valid for the World Rally Championship)121. The Federation clarified that the majority of events are organized by local ACs122 and by third-party organizers123. This scenario is illustrated by Table 2 below:</w:t>
      </w:r>
    </w:p>
    <w:p>
      <w:r>
        <w:t>Table 2 – Number of on-road events registered in the ACI Calendar</w:t>
      </w:r>
    </w:p>
    <w:p>
      <w:r>
        <w:t>| Year | Competitive Events | Non-Competitive Events | Total |</w:t>
        <w:br/>
        <w:t>|------|--------------------|-----------------------|-------|</w:t>
        <w:br/>
        <w:t>|      | ACI | AC | Others | ACI | AC | Others | |</w:t>
        <w:br/>
        <w:t>| 2013 | 0   | 47 | 269   | 0   | 11 | 77    | 316   |</w:t>
        <w:br/>
        <w:t>| 2014 | 1   | 52 | 281   | 0   | 16 | 88    | 334   |</w:t>
        <w:br/>
        <w:t>| 2015 | 1   | 56 | 260   | 0   | 20 | 98    | 317   |</w:t>
        <w:br/>
        <w:t>| 2016 | 0   | 60 | 259   | 0   | 22 | 126   | 319   |</w:t>
        <w:br/>
        <w:t>| 2017 | 1   | 60 | 290   | 0   | 26 | 141   | 351   |</w:t>
        <w:br/>
        <w:t>| 2018 | 1   | 60 | 276   | 0   | 34 | 116   | 337   |</w:t>
        <w:br/>
        <w:t>| 2019 | 1   | 54 | 262   | 0   | 44 | 112   | 317   |</w:t>
        <w:br/>
        <w:t>| 2020 | 2   | 20 | 98    | 0   | 14 | 43    | 120   |</w:t>
        <w:br/>
        <w:t>| 2021 | 2   | 57 | 236   | 0   | 77 | 106   | 295   |</w:t>
        <w:br/>
        <w:t>| 2022 | 1   | 63 | 246   | 0   | 102| 131   | 310   |</w:t>
        <w:br/>
        <w:t>| 2023 | 1   | 63 | 228   | 0   | 99 | 105   | 292   |</w:t>
      </w:r>
    </w:p>
    <w:p>
      <w:r>
        <w:t>Source: information provided by the Parties, doc. 1421.</w:t>
      </w:r>
    </w:p>
    <w:p>
      <w:r>
        <w:t>79. Table 3 below provides details on the number of entities that registered on-road events in the ACI Calendar during the three-year period 2021-2023:</w:t>
      </w:r>
    </w:p>
    <w:p>
      <w:r>
        <w:t>Table 3 – Number of entities that registered on-road events in the ACI Calendar</w:t>
      </w:r>
    </w:p>
    <w:p>
      <w:r>
        <w:t>| Year | Competitive Events | Non-Competitive Events |</w:t>
        <w:br/>
        <w:t>|------|--------------------|-----------------------|</w:t>
        <w:br/>
        <w:t>|      | AC | Others | AC | Others |</w:t>
        <w:br/>
        <w:t>| 2021 | 26 | 131 | 66 | 73 |</w:t>
        <w:br/>
        <w:t>| 2022 | 30 | 142 | 83 | 92 |</w:t>
        <w:br/>
        <w:t>| 2023 | 32 | 141 | 79 | 77 |</w:t>
      </w:r>
    </w:p>
    <w:p>
      <w:r>
        <w:t>Source: information provided by the Parties, doc. 1441.</w:t>
      </w:r>
    </w:p>
    <w:p>
      <w:r>
        <w:t>From the table, it can be seen that while the number of ACs that registered competitive events in the ACI Calendar is lower than that which registered non-competitive events, conversely, there is a greater number of "other operators" in the context of competitive events. Over the three-year period, the number of such operators has increased; each operator registered on average less than 2 competitive events and less than 3 non-competitive events124.</w:t>
      </w:r>
    </w:p>
    <w:p>
      <w:r>
        <w:t>80. Regarding off-road automobile events, during the period 2013-2023, an average of 500 events per year were held, which, as shown in Table 4 below, are exclusively of a competitive nature. As emphasized by the Parties, the off-road competitive events directly organized by ACI are all races valid for international championships promoted by the FIA125. Local ACs, on the other hand, have progressively ceased to</w:t>
      </w:r>
    </w:p>
    <w:p>
      <w:r>
        <w:t>124 The reported values correspond to simple arithmetic averages calculated based on the data provided by the Parties: in particular, the data from Table 3 and those from Table 2 were considered (see also docs. 1421 and 1441).</w:t>
      </w:r>
    </w:p>
    <w:p>
      <w:r>
        <w:t>125 See doc. 1441.</w:t>
      </w:r>
    </w:p>
    <w:p>
      <w:r>
        <w:rPr>
          <w:b/>
        </w:rPr>
        <w:t>[Pages 28–30]</w:t>
      </w:r>
    </w:p>
    <w:p>
      <w:r>
        <w:t>30 BULLETIN NO. 1 OF JANUARY 7, 2025</w:t>
      </w:r>
    </w:p>
    <w:p>
      <w:r>
        <w:t>local ACI clubs, on the other hand, have progressively ceased to organize competitive events (not on the road) since 2018-2019, unlike what has been found regarding those on the road.</w:t>
      </w:r>
    </w:p>
    <w:p>
      <w:r>
        <w:t>Table 4 – Number of non-road events registered in the ACI Calendar</w:t>
      </w:r>
    </w:p>
    <w:p>
      <w:r>
        <w:t xml:space="preserve">Non-road Total non- </w:t>
        <w:br/>
        <w:t xml:space="preserve">Competitive Events Road Events </w:t>
        <w:br/>
        <w:t xml:space="preserve">Year ACI AC Others ACI AC Others </w:t>
        <w:br/>
        <w:t xml:space="preserve">2013 0 23 426 0 0 0 449 </w:t>
        <w:br/>
        <w:t xml:space="preserve">2014 0 31 465 0 0 0 496 </w:t>
        <w:br/>
        <w:t xml:space="preserve">2015 0 17 485 0 0 0 502 </w:t>
        <w:br/>
        <w:t xml:space="preserve">2016 0 15 500 0 0 0 515 </w:t>
        <w:br/>
        <w:t xml:space="preserve">2017 0 12 481 0 0 0 493 </w:t>
        <w:br/>
        <w:t xml:space="preserve">2018 0 9 435 0 0 0 444 </w:t>
        <w:br/>
        <w:t xml:space="preserve">2019 8 1 434 0 0 0 443 </w:t>
        <w:br/>
        <w:t xml:space="preserve">2020 1 0 624 0 0 0 625 </w:t>
        <w:br/>
        <w:t xml:space="preserve">2021 9 0 528 0 0 0 537 </w:t>
        <w:br/>
        <w:t xml:space="preserve">2022 3 0 520 0 0 0 523 </w:t>
        <w:br/>
        <w:t>2023 12 0 465 0 0 0 477</w:t>
      </w:r>
    </w:p>
    <w:p>
      <w:r>
        <w:t>Source: information provided by the Parties, doc. 1441.</w:t>
      </w:r>
    </w:p>
    <w:p>
      <w:r>
        <w:t>81. The following Table 5 provides details on the number of entities that registered non-road events in the ACI Calendar in the three-year period 2021-2023:</w:t>
      </w:r>
    </w:p>
    <w:p>
      <w:r>
        <w:t>Table 5 – Number of entities that registered non-road events in the ACI Calendar</w:t>
      </w:r>
    </w:p>
    <w:p>
      <w:r>
        <w:t xml:space="preserve">Competitive Events Non-competitive Events </w:t>
        <w:br/>
        <w:t xml:space="preserve">Year AC Others AC Others </w:t>
        <w:br/>
        <w:t xml:space="preserve">2021 0 80 0 0 </w:t>
        <w:br/>
        <w:t xml:space="preserve">2022 0 91 0 0 </w:t>
        <w:br/>
        <w:t>2023 0 82 0 0</w:t>
      </w:r>
    </w:p>
    <w:p>
      <w:r>
        <w:t>Source: information provided by the Parties, doc. 1441.</w:t>
      </w:r>
    </w:p>
    <w:p>
      <w:r>
        <w:t>Consistent with the information reported in Table 4 regarding the number of events held, it is evident that, in the last three years, the ACs have not registered any events in the Calendar, while other operators have only registered competitive events. Over the three-year period, the number of such operators has tended to increase, and each of them has registered an average of 6 events per year.126</w:t>
      </w:r>
    </w:p>
    <w:p>
      <w:r>
        <w:t>82. Regarding the type of members related to the automobile sporting events sector, it should be noted that there is a distinction between the Federation and the generality of EPS. In fact, with regard to events held under the federal aegis, as previously clarified, ACI, instead of a "generic" membership, provides for the issuance, upon payment of a fee, of specific sports cards called "licenses" to participate in competitive activities in various capacities, while no similar obligation is provided for amateur activities (which can therefore be carried out without holding a license); regarding the EPS, some of them also issue sports licenses (distinguishing, for example, between drivers and race officials), while others provide for the issuance of a generic sports card.127</w:t>
      </w:r>
    </w:p>
    <w:p>
      <w:r>
        <w:t>83. As for the number of members related to competitive events, the number of licenses has been taken into consideration. In fact, participation in competitive events registered in the ACI Calendar is allowed for holders of various types of sports licenses that grant access to the automobile sports system and commit to compliance with the rules and federal sports obligations, as well as recognition of the federal justice bodies and the measures issued by them.128 Athletes, as well as those performing technical, organizational, decision-making, or otherwise relevant functions for the automobile sports system, such as managers, team directors, teams, organizers, race officials, and mechanics, are required to hold an ACI sports license.</w:t>
      </w:r>
    </w:p>
    <w:p>
      <w:r>
        <w:t>In relation to ordinary sports activity, in 2023 the Federation issued approximately 37,240 sports licenses in the car sector; additionally, about 8,210 licenses were issued in the Karting sector, while those in the model car sector were 320 and 958 in the e-sport sector. The following Table 6 accounts for the number of ordinary sports licenses issued annually by the Federation in the period 2013-2023. Over the decade, ACI has issued an increasing number of licenses, averaging over 30,000 per year.</w:t>
      </w:r>
    </w:p>
    <w:p>
      <w:r>
        <w:t>Table 6 – ACI Sports Licenses</w:t>
      </w:r>
    </w:p>
    <w:p>
      <w:r>
        <w:t xml:space="preserve">2013 2014 2015 2016 2017 2018 2019 2020 2021 2022 2023 </w:t>
        <w:br/>
        <w:t xml:space="preserve">Licenses </w:t>
        <w:br/>
        <w:t xml:space="preserve">27,593 29,285 29,988 30,480 30,474 33,094 33,004 26,742 42,944 39,467 37,238 </w:t>
        <w:br/>
        <w:t>Source: information provided by the Parties, doc. 1390.</w:t>
      </w:r>
    </w:p>
    <w:p>
      <w:r>
        <w:t>84. Regarding ACI Storico, as previously illustrated, the Club relies on the organizational collaboration of both ACI Sport, which "is responsible for organizing events and promotional activities towards members and third parties"130 (emphasis added), and local ACs. In 2023, ACI Storico was present at 10 "important sector events," including several international ones, such as various "ACI Storico Festivals," the Coppa d’Oro delle Dolomiti, Targa Florio Classica, Circuito Stradale del Mugello131, as well as in 76 events held throughout the national territory as part of the Ruote nella Storia initiative132. From 2015 to 2023, the members of the ACI Storico Club increased from just over 1,000 in the year of its founding to about 21,900 in 2023, which is approximately 22 times higher.133</w:t>
      </w:r>
    </w:p>
    <w:p>
      <w:r>
        <w:t>85. Regarding ACI's revenues related to automobile sporting events under its aegis, the Federation has stated that they come from:</w:t>
        <w:br/>
        <w:t>˗ the payment, by the organizers, of the fee due for registration in the ACI Calendar134;</w:t>
        <w:br/>
        <w:t>˗ the issuance of organization permits135;</w:t>
        <w:br/>
        <w:t>˗ the issuance of ACI sports licenses136.</w:t>
      </w:r>
    </w:p>
    <w:p>
      <w:r>
        <w:t>86. Additionally, revenues derive from commercial exploitation - also understood as promotional activities - for the championships and individual events for which ACI Sport, on behalf of ACI, performs promotional and support services137.</w:t>
      </w:r>
    </w:p>
    <w:p>
      <w:r>
        <w:t>Regarding competitive events, the previously mentioned Monza Rally and Rally d'Italia-Sardegna, Targa Florio, Coppa D’oro delle Dolomiti, and Circuito Stradale del Mugello are relevant; the latter three events, as previously illustrated, are subject to specific agreements between ACI Sport and the respective local ACs, which are the formal organizers but benefit from a series of "promotional and organizational support services" from ACI Sport, which exceptionally also collects the "registration fees."138 In relation to the Italian championships for Rally, Mountain Speed, Cross Country, and Historic Cars, revenues derive from the promotional activities carried out by ACI Sport, which, according to ACI, includes various types of services such as the promotion of television rights and overall communication management, sponsorships, and coordination of initiatives also of an advertising and commercial nature (in this regard, see what is described above in section III.1.2.).</w:t>
      </w:r>
    </w:p>
    <w:p>
      <w:r>
        <w:t>87. Regarding ASI, the notifier reported organizing directly about ten major events per year distinguished by motor sector (cars, motorcycles, utility vehicles, military vehicles, boats, aircraft, etc.), while the events of a recreational-amateur nature that</w:t>
      </w:r>
    </w:p>
    <w:p>
      <w:r>
        <w:t>133 In particular, the members of ACI Storico are divided into Founding Members, Adhering Members, Base Members, Members of Affiliated Clubs, Regularity Members, and Tourist Regularity Members, as well as Affiliated Clubs (which in 2023 amounted to 21 and are excluded from the count of members), see docs. 1390 and 1425.</w:t>
      </w:r>
    </w:p>
    <w:p>
      <w:r>
        <w:t>134 For non-competitive events, the registration fee is 150 euros for historic and modern cars, 800 euros for historical regularity events, and 100 euros for the "Ruote nella Storia" events of ACI Storico; for competitive events, the fee depends on the type of event and varies widely. See Appendix 9 to the RSN 2023, at the site https://www.acisport.it/public_federazione/2023/pdf/Annuario/app_9_3-10-2023.pdf.</w:t>
      </w:r>
    </w:p>
    <w:p>
      <w:r>
        <w:t>135 The cost of this permit for non-competitive road events with historic and modern cars is 525 euros, for regularity events it is 840 euros, while for competitive events the costs vary depending on the category and are approximately 1,000 euros (see Appendix 9 to the RSN 2023 mentioned in the previous note). It is noted that the organization permit, referred to in Articles 54 and 56 of the RSN, is the document with which ACI, as the Italian Automobile Sports Federation, authorizes the holding of an event registered in its calendar. For the issuance of this permit, a fee is due to ACI in exchange for a series of checks and services carried out by ACI, including: verification of compliance of the specific race regulations (RPG) with the technical-sporting regulations, checking the financial position of the organizer and the regularity of the licenses of all sports subjects included in the RPG, checking the homologation of tracks and routes, checking the existence of the safety and health emergency plan (where required by the specialty), services related to any accident report, the assignment of officials delegated by the Federation, the assignment of the progressive repertory number which is the concluding act, and finally, the mandatory insurance coverage for RCT and RCA required by law (see doc. 1390).</w:t>
      </w:r>
    </w:p>
    <w:p>
      <w:r>
        <w:t>136 Licenses are required for anyone participating in various capacities in competitive automobile activities carried out under the federal aegis (for example, driver, competitor, constructor, navigator, mechanical assistant, team, race official, organizer, circuit, etc.); depending on the type of license, a specific fee is required, see doc. 1334.</w:t>
      </w:r>
    </w:p>
    <w:p>
      <w:r>
        <w:t>137 Regarding these revenues, ACI has stated that they pertain to ACI Sport, which also bears the related costs, see doc. 1390.</w:t>
      </w:r>
    </w:p>
    <w:p>
      <w:r>
        <w:t>138 See doc. 1390.</w:t>
      </w:r>
    </w:p>
    <w:p>
      <w:r>
        <w:rPr>
          <w:b/>
        </w:rPr>
        <w:t>[Pages 31–33]</w:t>
      </w:r>
    </w:p>
    <w:p>
      <w:r>
        <w:t>BULLETIN NO. 1 OF JANUARY 7, 2025 33</w:t>
      </w:r>
    </w:p>
    <w:p>
      <w:r>
        <w:t>events that provide regularity tests are organized by the federated ASI Clubs139. These events are divided between those registered in the official ASI calendar, amounting to about 300 per year, of which 20 are of particular value in terms of the number of editions held and participants, with national or even international relevance, and other minor events autonomously promoted by the federated Clubs140.</w:t>
      </w:r>
    </w:p>
    <w:p>
      <w:r>
        <w:t>88. Beyond the relevance of the event, the only distinction between the events registered in the calendar and those autonomously promoted by individual clubs lies in the fact that for the former, ASI can provide additional contributions to the organizers for covering expenses; however, the events are still subject to the regulations of the Authority, and none of them is registered in the ACI Calendar or organized under the aegis of the Federation.</w:t>
      </w:r>
    </w:p>
    <w:p>
      <w:r>
        <w:t>89. The organization of recreational-amateur automobile events carried out by the federated ASI Clubs is non-profit and does not generate revenues; according to ASI, it even happens that the Clubs themselves or the Authority, as previously mentioned, intervene financially to support the coverage of costs.</w:t>
      </w:r>
    </w:p>
    <w:p>
      <w:r>
        <w:t>90. Regarding the number of members, ASI considers only those who request membership without distinguishing the type of membership (such as drivers, technical staff, simple enthusiasts, etc.), therefore it is unable to provide details on the number of drivers. The total number of ASI members has decreased overall during the period 2013-2023, from over 205,000 to about 156,000 members141.</w:t>
      </w:r>
    </w:p>
    <w:p>
      <w:r>
        <w:t>91. As for the EPS, responses to information requests indicate that some of them are active in organizing automobile events only indirectly, through the affiliated ASD,142 or in a marginal way143, while others are not active at all144. Other EPS, however, are also active directly145.</w:t>
      </w:r>
    </w:p>
    <w:p>
      <w:r>
        <w:t>92. In particular, ACSI reported that its affiliated ASDs organized a very small number of races during the period 2013-2023, on the order of 2-3 per year146. UISP, both directly and indirectly, estimated that it organized about 50 events in 2013, down to about 10 in 2023. MSP, through its affiliated ASDs and SSDs, organizes about 15-20 amateur events per year147. US ACLI reported organizing a limited number of events during the period in question, both directly and indirectly through associated ASDs148. CSEN stated that it is active in the automotive sector, in a limited and indirect manner, through affiliated ASDs149. ASC indicated that it operates only indirectly through 9 affiliated ASDs, which organized 12 events in 2023150. Other EPS did not report the number of organized events, as they either do not have a history of organized events, also due to the fact that they are active indirectly or marginally, or are not active at all in either road events or, in some cases, in the automotive sector151.</w:t>
      </w:r>
    </w:p>
    <w:p>
      <w:r>
        <w:t>93. Overall, EPS have represented that the events they organize directly or indirectly have a recreational-amateur character152. From the information received, it appears that the activity is carried out essentially without profit, and sometimes the EPS contributes to the organizational costs incurred by the active affiliated ASDs/SSDs during the organization and logistics phases153.</w:t>
      </w:r>
    </w:p>
    <w:p>
      <w:r>
        <w:t>94. With regard to members in the automotive sector, the majority of EPS that responded to information requests were unable to provide comprehensive data regarding the number and/or type of members. In particular, some were unable to provide data for the entire period considered, while others, in relation to the automotive sector, stated that they do not distinguish between different types of members.</w:t>
      </w:r>
    </w:p>
    <w:p>
      <w:r>
        <w:t>III.4 The investigative findings</w:t>
      </w:r>
    </w:p>
    <w:p>
      <w:r>
        <w:t>95. Preliminary findings indicate that the investigative activity has allowed for the collection of evidence regarding the primary role of ACI – essentially through ACI Sport – in organizing automobile events, as well as general aspects such as the role of ACs and the interactions that ACI undertakes with Institutions (especially Ministries and Prefectures) in order to support its positions regarding the adoption of a specific authorization regime for automobile events on the road governed by Article 9 of the CDS. The evidence acquired regarding the reports sent by ACI to the APS did not confirm that the conduct contested by ACI, also through ACI Sport and ACI Storico, aimed at extending the Federation's dominant position in the market for competitive automobile events to the market for recreational-amateur automobile events, was suitable to hinder and/or exclude the holding of non-competitive events by ASI, EPS, and their affiliated ASDs.</w:t>
      </w:r>
    </w:p>
    <w:p>
      <w:r>
        <w:t>The following will describe the conduct under examination as it emerges from the elements on record.</w:t>
      </w:r>
    </w:p>
    <w:p>
      <w:r>
        <w:t>III.4.1 The content and methods of the reports</w:t>
      </w:r>
    </w:p>
    <w:p>
      <w:r>
        <w:t>96. On record, there are over 300 reports sent by ACI to the APS and/or local Authorities during the period 2013-2023154, concerning possible critical issues related to the sports automobile events organized by third parties such as ASI, EPS, or ASD/SSD affiliated with them. In particular, in about 120, the allegedly competitive nature of the event is indicated based on specific elements of the same; in about 180 reports (of which about 70 in the two-year period 2022-23), the nature (recreational-amateur or competitive) of the events is not questioned based on objective elements or other specific motivations, but the lack of prior opinion acquisition is stigmatized, emphasizing that it is necessary for every type of sports event.</w:t>
      </w:r>
    </w:p>
    <w:p>
      <w:r>
        <w:t>97. Regarding the specific contents of the reports, as will be highlighted later, many of them do not contain any specific motivation to support them, but seem to rely essentially i) on the generic non-compliance with safety regulations under which accidents could occur and ii) on the mere circumstance that the organizers did not request prior authorization, regardless of whether the event is competitive or not155.</w:t>
      </w:r>
    </w:p>
    <w:p>
      <w:r>
        <w:t>98. More specifically, from the examination of the documentation on record, it appears that in its reports ACI systematically reiterates certain phrases156. With particular reference to reports dating back to 2016, it also emerged that ACI would have, on several occasions, tried to "warn" the recipient APS of the possible accidents that could arise in the case of unauthorized events, systematically citing two specific incidents that occurred during events held in Sicily157. Additionally, ACI has, on some occasions, attached to the reports copies of measures from the prefectures relating to the cancellation of events deemed "unauthorized"158, which are in no way connected to the event subject to the specific report159.</w:t>
      </w:r>
    </w:p>
    <w:p>
      <w:r>
        <w:t>99. In several reports, there would then be warnings to the APS regarding the possible liabilities they could incur in the event of failing to acquire ACI's prior opinion on the reported events160.</w:t>
      </w:r>
    </w:p>
    <w:p>
      <w:r>
        <w:t>It is noted that the reports on record do not represent the total number of those actually sent: in this regard, reference is made to what ACI itself stated in doc. 372 (see infra §126), where it refers to 90 reports sent in 2015 alone. Furthermore, it is noteworthy that the Prefectures subject to information requests (doc. 1422) were unable to provide the totality of the reports actually received, having transmitted a number far lower than that resulting from the documentation collected during the inspections. It is emphasized that the reports on record were sent to about 50 Prefectures throughout the national territory.</w:t>
      </w:r>
    </w:p>
    <w:p>
      <w:r>
        <w:t>155 See, for example, the reports relating to different years in docs. 487 (year 2017), 626 (year 2023), 670 (year 2021), 674 (year 2023), 683 (year 2013), 747 (year 2017), 949 (year 2023).</w:t>
      </w:r>
    </w:p>
    <w:p>
      <w:r>
        <w:t>156 See, for example, the reports in docs. 349 (year 2022), 443 (year 2015), and 683 (year 2013).</w:t>
      </w:r>
    </w:p>
    <w:p>
      <w:r>
        <w:t>157 See, for example, the reports in docs. 425, 682, 708. In particular, in the reports concerning such events, the following period is reported: "It has happened, moreover, that in races called 'Loopshow' there have been even serious accidents (lastly Loopshow city of Patti of 6.3.16 and Loopshow of Santa Teresa of 31.1.2016) with significant risk for third parties who rush to the scene given the undeniable appeal that road motor competitions generate without there being, due to the self-declared recreational and non-competitive nature, any form of control by the Federation even with respect to what is provided for by Article 124 of the Insurance Code (Legislative Decree No. 209/2005 and subsequent amendments)."</w:t>
      </w:r>
    </w:p>
    <w:p>
      <w:r>
        <w:t>158 From the documentation on record, ACI qualifies as "unauthorized" those events that, presented by the organizers as non-competitive, would actually conceal characteristics typical of a competitive nature and should in any case be subject to the Federation's opinion.</w:t>
      </w:r>
    </w:p>
    <w:p>
      <w:r>
        <w:t>159 See, for example, docs. 243, 279, 1227, containing the following sentence: "Of the same tenor regarding the necessity to acquire the opinion of CONI, issued through the competent federation (ACI-CSAI and FMI) - are the notes from the Prefecture of Avellino, Area III, prot.42668 of 11/5/22 (annex 2) and from the Prefecture of Rieti prot. Fasc. 104/2022/Area III of 23.05.2022 (annex 3) in relation to road events organized in the territories of competence of the respective Authorities."</w:t>
      </w:r>
    </w:p>
    <w:p>
      <w:r>
        <w:t>160 See, for example, in some reports from 2017, it is stated that the APS addressed could incur a "legal error in identifying the legislative discipline to be applied" if they did not request the technical sports opinion of the Federation (see docs. 364, 592, 681, 823, 919, and 1000. In similar terms also docs. 410, 424, 442, 687, 719, 811, and 916).</w:t>
      </w:r>
    </w:p>
    <w:p>
      <w:r>
        <w:rPr>
          <w:b/>
        </w:rPr>
        <w:t>[Pages 34–36]</w:t>
      </w:r>
    </w:p>
    <w:p>
      <w:r>
        <w:t>36 BULLETIN NO. 1 OF JANUARY 7, 2025</w:t>
      </w:r>
    </w:p>
    <w:p>
      <w:r>
        <w:t>100. On some occasions, the necessity for the opinion would arise from the circumstance that the events are allegedly considered competitive based solely on the flyer. Furthermore, even in cases where ACI seems to make explicit reference to the regulation of the reported event, the arguments raised do not appear to refer to specific and objective reasons, and solely rely on the necessity of the federal opinion in order to hold the event.161</w:t>
      </w:r>
    </w:p>
    <w:p>
      <w:r>
        <w:t>101. Lastly, there are also some reports on file sent to the APS or to representatives of local authorities by local ACs. These reports, which according to the organizers would have a recreational-amateur nature, are characterized by content and methods similar to those described previously.162</w:t>
      </w:r>
    </w:p>
    <w:p>
      <w:r>
        <w:t>III.4.2 Monitoring of automobile events by ACs</w:t>
      </w:r>
    </w:p>
    <w:p>
      <w:r>
        <w:t>102. The analysis of the inspection evidence has highlighted the role of local ACs in monitoring the events taking place in the relevant territory, particularly emphasizing their involvement in the census of "illegal races" conducted by ACI, precisely through the ACs, at least since 2013, within a working group specifically created by the Sports Board of the Federation.</w:t>
      </w:r>
    </w:p>
    <w:p>
      <w:r>
        <w:t>In this regard, the communication from 2013 addressed to the Regional Trustees and the Presidents of the Regional Delegations is noteworthy, which included a census form for "illegal races" to be filled out, in which the central director of the Automobile Sports and International Relations Department of ACI asks the recipients "to provide the information to their knowledge and availability, indicating in the attached model, for each type of race (slalom, formula challenge, regularity) the number of races identified as illegal and to indicate any sites where these events are advertised."163</w:t>
      </w:r>
    </w:p>
    <w:p>
      <w:r>
        <w:t>103. Regarding the activities carried out by the working group, there are two reports in Word format on file intended to inform the Sports Board of ACI about this activity. In the first report, related to the year 2013, it is highlighted as follows: "The administrations have non-uniform practices and it is therefore being evaluated whether ... it is appropriate to update the content of the reports ... The standard notice of contestation to be sent to the authorized administrations has been implemented and contacts have been initiated with representatives of various institutions (Prefectures, Local Police, Local Administrations) providing informal precise legal references concerning ACI's sports regulatory power and the legal sources of the general system that expressly require compliance with sports regulations ... The activity must therefore continue with contacts with the central administrations: M.I.T., Ministry of the Interior, and CONI, so that clear circulars are issued to ensure the correct application of the current regulations, while maintaining strict respect for the prerogatives and role of each competent entity."164</w:t>
      </w:r>
    </w:p>
    <w:p>
      <w:r>
        <w:t>In the second report related to the period 2015-2016, it states: "The actions against unauthorized competitive races have continued throughout the national territory for more than five years ... Only in 2015 were 90 reports and clarifications sent to the competent administrations ... The results achieved are disappointing ... This is due to the fact that the role of the federation is not recognized [by the local entities] ... positive results have been achieved thanks to the synergy with the territorial AA.CC., which have had the opportunity to be heard by the Prefect."165</w:t>
      </w:r>
    </w:p>
    <w:p>
      <w:r>
        <w:t>104. Regarding the monitoring activities of the ACs, consider, more recently, the long exchange of emails that took place in the years 2021 and 2022 between a regional delegate of ACI and an official from the central office, in which, with reference to various automobile events in the Sardinian territory, the regional delegate states: "I believe it is appropriate to send, as soon as possible, with your valuable and fundamental collaboration, a communication directly from your offices to the Prefectures and Prosecutors of the entire Sardinia, in order to do preparatory work for the coming months."166 Furthermore, there is an email exchange from March 2023 in which the AC Genoa, at the instigation of a provincial trustee, reports to ACI the organization of a series of events considered illegal.167</w:t>
      </w:r>
    </w:p>
    <w:p>
      <w:r>
        <w:t>III.4.3 ACI's interactions with Ministries, CONI, and Public Security Authorities</w:t>
      </w:r>
    </w:p>
    <w:p>
      <w:r>
        <w:t>105. As previously mentioned, there are communications on file in which representatives of ACI (including the President) write in advance to various APS, the Ministry of the Interior, and representatives of CONI to express their position on the interpretation of Article 9, paragraph 3, of the CDS.</w:t>
      </w:r>
    </w:p>
    <w:p>
      <w:r>
        <w:t>106. In this regard, a document from 2014 written for a Central Director of ACI states: "In discussions with the Administrations, the need to clarify some passages in the circular of the Ministry of Transport has emerged. Currently, in fact, the intent to facilitate the application of Article 9 and the scope of the various provisions does not seem to be fully achieved. In particular, operators find it difficult to perceive three principles that we believe are fundamental: ... the opinion of ACI is required for every competition (paragraph 1)..."168</w:t>
      </w:r>
    </w:p>
    <w:p>
      <w:r>
        <w:t>107. In a similar manner, CONI also appears to have been involved by ACI on the matter. For example, in a draft communication - following a conversation that took place in 2016 - from the President of ACI to the President of a regional CONI committee, it emphasizes the proliferation in Sicily of events allegedly declared recreational but considered competitive by the Federation and states: "As agreed, I ask you to renew the sending to the territorial administrations, to the Police Forces of a circular note reiterating that it is necessary for the competent entity, whatever the type of automobile sporting event, to acquire the prior opinion of CONI, expressed by the national sports federation ACI."169</w:t>
      </w:r>
    </w:p>
    <w:p>
      <w:r>
        <w:t xml:space="preserve">164 Cf. doc. 370. </w:t>
        <w:br/>
        <w:t xml:space="preserve">165 Cf. doc. 372. In this regard, some communications from 2015 addressed to the Central Director of ACI by some trustees/delegates of ACI from the Sicily Region (holding representative positions in local ACs) complain about the proliferation of illegal events and request the intervention of CONI with the competent APS, cf. doc. 958. </w:t>
        <w:br/>
        <w:t xml:space="preserve">166 Cf. doc 305. </w:t>
        <w:br/>
        <w:t xml:space="preserve">167 Cf. doc. 304. </w:t>
        <w:br/>
        <w:t xml:space="preserve">168 Cf. doc. 369. </w:t>
        <w:br/>
        <w:t>169 Cf. doc. 835.</w:t>
      </w:r>
    </w:p>
    <w:p>
      <w:r>
        <w:t>38 BULLETIN NO. 1 OF JANUARY 7, 2025</w:t>
      </w:r>
    </w:p>
    <w:p>
      <w:r>
        <w:t>108. Based on the evidence acquired, Prefectures and Police Headquarters appear to be the main recipients of ACI's awareness-raising activities170, with contacts occurring both directly with the APS and indirectly through other central institutions171,172.</w:t>
      </w:r>
    </w:p>
    <w:p>
      <w:r>
        <w:t>109. Indirect contacts occur through requests for meetings and sending communications to the Ministry of the Interior to support and share ACI's interpretation with the Prefectures173. In this regard, with specific reference to events with historic cars, a communication dated May 24, 2022, sent by the President of ACI to the then Minister of the Interior, raises the problem represented by the Prefectures that would not have "aligned" with federal positions174.</w:t>
      </w:r>
    </w:p>
    <w:p>
      <w:r>
        <w:t>III.4.4 The outcomes of the reports</w:t>
      </w:r>
    </w:p>
    <w:p>
      <w:r>
        <w:t>110. During the investigative activity, the reporters stated, with the support of limited evidence, that the reports sent by ACI would have hindered the regular conduct of some of the events they organized, as well as, more generally, their activity of organizing and commercially exploiting recreational-amateur automobile events. Except for the limited cases that will be accounted for below, the reporters did not accurately quantify the events that would have been canceled, as, also due to the historical nature of the reported conduct, no record would have been kept of the alleged cancellations that would have occurred over time.</w:t>
      </w:r>
    </w:p>
    <w:p>
      <w:r>
        <w:t>111. Regarding the main events organized by the reporting ASI, about 20 per year among the 300 registered in its calendar (and the estimated 3,000 minor unregistered events per year), particularly noteworthy are those of the previously mentioned Circuito Tricolore175, the association has provided information on the number of events reported by ACI and those that would have been canceled following such reports176, as illustrated in Table 7 relating to the three-year period 2021-2023.</w:t>
      </w:r>
    </w:p>
    <w:p>
      <w:r>
        <w:t xml:space="preserve">170 Cf. doc. 277. </w:t>
        <w:br/>
        <w:t xml:space="preserve">171 Cf. email exchange of March 27, 2023, among some ACI officials regarding the Calabria region, which states: "the Calabria delegation has raised awareness among the regional prefectures and police headquarters about the phenomenon of illegal races" (doc. 277). </w:t>
        <w:br/>
        <w:t xml:space="preserve">172 Cf. joint communication signed by the President of the ACI Campania Regional Committee and the Regional President of CONI Campania dated April 26, 2022, addressed to various Prefects in the Campania territory, inviting them to request the opinion under Article 9 CDS even for recreational-amateur events (doc. 1202). Regarding general discussions on Article 9 of the CDS initiated by ACI with various APS across the national territory, see also docs. 271, 356, 896. </w:t>
        <w:br/>
        <w:t xml:space="preserve">173 Cf. in this regard doc. 370, cited. </w:t>
        <w:br/>
        <w:t xml:space="preserve">174 Cf. doc. 105. See also doc. 57, consisting of a Word file titled "notes for meeting at the Ministry of the Interior - 28.9.2021 (2)" and doc. 368 in which the President of ACI writes to the Ministry: "It is hoped that the Ministry of the Interior will recommend to the competent offices that the need to verify the sporting nature of the event during the authorization phase by accurately checking the regulations issued by ACI or acquiring the prior opinion of C.O.N.I. expressed by the ACI Federation. This in order to put an end to disputes regarding the regulations to which the event should be subjected." This also appears to be confirmed by WhatsApp chats (dating back to February and March 2023) found during inspections among ACI officials, senior figures of a local AC, and the President of ACI himself, in which reference is made to contacts that have taken place (or to be undertaken) with Prefectures and local Police to report some events with historic cars under the aegis of ASI, cf. docs. 47, 48, 49, 50, and 51. </w:t>
        <w:br/>
        <w:t xml:space="preserve">175 It is noted that these are international events, distributed throughout the national territory, characterized by a significant number of registered crews/drivers. </w:t>
        <w:br/>
        <w:t>176 Cf. doc. 1405.</w:t>
      </w:r>
    </w:p>
    <w:p>
      <w:r>
        <w:rPr>
          <w:b/>
        </w:rPr>
        <w:t>[Pages 37–39]</w:t>
      </w:r>
    </w:p>
    <w:p>
      <w:r>
        <w:t>BULLETIN NO. 1 OF JANUARY 7, 2025 39</w:t>
        <w:br/>
        <w:t>Table 7 – The main ASI events reported by ACI</w:t>
        <w:br/>
        <w:t>Year No. of events reported by ACI No. of events reported and canceled</w:t>
        <w:br/>
        <w:t>2023 18 4</w:t>
        <w:br/>
        <w:t>2022 16 4</w:t>
        <w:br/>
        <w:t>2021 11* 3</w:t>
        <w:br/>
        <w:t>* In 2021, the events took place only in the second half of the year.</w:t>
        <w:br/>
        <w:t>Source: doc. 1405 and AGCM elaborations.</w:t>
      </w:r>
    </w:p>
    <w:p>
      <w:r>
        <w:t>112. Some of the EPS have generically represented that the conduct carried out by ACI in recent years would have caused numerous critical issues in the organization of automobile events, effectively limiting the development and growth of the EPS in this sector, which has affected the limited number of organized events.</w:t>
      </w:r>
    </w:p>
    <w:p>
      <w:r>
        <w:t>113. In particular, ACSI reported that its scarce presence in the organization of automobile events would be a “direct consequence of years of inappropriate conduct carried out by ACI, which in the last decade has led to a significant contraction in the number of events held/promoted by the Entity in the automotive sector, especially those on the road and, consequently, negatively impacting the growth of the movement and the structuring of the Sports Sector…”177. UISP stated that in 2013 about 50 events were organized, which then decreased to 10 in 2023 “following the issues subject to the measure.” Furthermore, MSP reported having received, also through the ASD affiliated with it that organize about 15-20 annual events, a series of reports from ACI similar to those subject to the initiation, generally close to the event178. Similarly, CSEN specified that its limited presence and that of its affiliates in the automotive sector would also stem from issues related to the relationship with ACI: “a small-sized automotive sector that struggles to take off precisely due to the relationship issues with ACI”; clarifying in any case that “…each event is organized solely at an amateur and cultural level”179.</w:t>
      </w:r>
    </w:p>
    <w:p>
      <w:r>
        <w:t>114. Issues related to ACI's conduct were also raised during the hearing180 by the National Responsible for the Karting Sector of the EPS to which the complainant (ASI Sicilia) belongs, who “reports sharing the critical issues regarding the relations between ACI and the EPS raised during the initiation.”</w:t>
      </w:r>
    </w:p>
    <w:p>
      <w:r>
        <w:t>115. Finally, CNS Libertas emphasized that the current regulatory provisions, particularly with reference to Article 12.2 RSN, would lead to “absolute discretion” on the part of ACI in assessing the nature of an event, for which the Federation can therefore deny authorization even without providing specific reasons181. This context, along with the conduct of ACI also subject to this proceeding, would have resulted in a general decrease in the number of recreational-amateur events that EPS and ASD can organize, with serious reputational and economic harm. According to CNS Libertas, this would encourage ASDs to choose to co-organize amateur events with ACI at generally higher costs,177 Cfr. doc. 1394.178 Cfr. doc. 1396.179 Cfr. docc. 1367 and 1391.180 Cfr. doc. 1406.181 Cfr. doc. 1409.</w:t>
      </w:r>
    </w:p>
    <w:p>
      <w:r>
        <w:t>40 BULLETIN NO. 1 OF JANUARY 7, 2025</w:t>
        <w:br/>
        <w:t>resulting in an increase for ACI of its induced and its members to the detriment of the EPS. According to the notifier, the economic exploitation of events by ACI “may derive from membership, from the inclusion of races in the calendar, from the fact that it would be required that all involved elements be affiliated with ACI, in direct competition with EPS and ASD.”</w:t>
      </w:r>
    </w:p>
    <w:p>
      <w:r>
        <w:t>IV. THE ARGUMENTS OF THE PARTIES</w:t>
        <w:br/>
        <w:t>116. During the investigation, ACI, ACI Sport, ACI Storico, and the other Parties represented their position both in the hearing and through the submission of documentation.</w:t>
      </w:r>
    </w:p>
    <w:p>
      <w:r>
        <w:t>IV.1 The arguments of ACI, ACI Sport, and ACI Storico</w:t>
        <w:br/>
        <w:t>117. As a preliminary matter, ACI deemed it appropriate to emphasize that, in general, it does not organize national events (either alone or in co-organization), but only races valid for international championships promoted by the FIA. In relation to such races, ACI has no power to approve calendars or regulations, not participating in any way in the deliberative process182. As for the local ACs, they would not have organized national competitive events during the period 2016-2023 either exclusively or in co-organization with ASDs (but not with EPS). In particular, according to the Parties, local ACs, which are “non-economic public entities based on associations, non-profit, autonomous and independent,” “organize their events in total autonomy and in a free market regime, identifying from time to time their commercial partners and suppliers of goods and services in the territory, exactly like other private Organizers” and “In the world of motorsport […] they are equated in every way to private entities and associations, in compliance with what is provided by the Authority at the conclusion of procedure A396”183.</w:t>
      </w:r>
    </w:p>
    <w:p>
      <w:r>
        <w:t>118. Subsequently, in responses to subsequent requests for information sent, ACI specified that, in the period 2013-2023, it periodically organized the editions of two road races, namely (a) the Monza Rally and (b) the Rally of Italy-Sardinia, valid for the World Rally Championship. With reference to three other specific races - namely the Targa Florio, the Coppa D’oro delle Dolomiti, and the Mugello Road Circuit - it highlighted that, although formally organized by the respective local ACs, in order to give them international visibility (which the local ACs were unable to do), the latter entered into an agreement with ACI Sport under which the latter provides promotional services and organizational support, exceptionally also collecting the registration fees for such races. The exceptional nature of the collections would derive from the fact that, according to the Parties, ACI Sport's activity would be confined solely to the promotion, communication, and enhancement of the championships184 organized by ACI as the Italian Sports Automobile Federation185, in addition to the fact that ACI itself has declared that it does not derive revenue from the registration of drivers for individual automobile sporting events nor revenue from logistical activities, since such revenues are collected directly by the third-party organizer – who registered the event in the ACI Calendar and – who retains them entirely.</w:t>
      </w:r>
    </w:p>
    <w:p>
      <w:r>
        <w:t>119. Therefore, ACI would not hold a dominant position in the market for the organization of competitive automobile sporting events, as, even in light of the most recent jurisprudential developments, the mere qualification of itself as a sports federation holding regulatory and coordinating powers would not be sufficient, in the absence of further elements, to configure the existence of a dominant position.</w:t>
      </w:r>
    </w:p>
    <w:p>
      <w:r>
        <w:t>120. As for recreational-amateur events, ACI stated that it does not organize either directly or indirectly recreational-amateur events, including regularity events with historic cars referred to in Article 9, paragraph 3, of the CDS, consequently asserting the non-existence of interest in expanding its position in this market186.</w:t>
      </w:r>
    </w:p>
    <w:p>
      <w:r>
        <w:t>121. Furthermore, regarding the historical regularity events under Article 9, paragraph 3, of the CDS, the reported parties, contrary to what was proposed in the initiation measure and in the CRI, support their competitive nature, as they are subject to the discipline of the CDS with the exception of the federal opinion187.</w:t>
      </w:r>
    </w:p>
    <w:p>
      <w:r>
        <w:t>122. Regarding the individual reports sent to the APS, the reported parties observed “that the contested reports, varied and distributed over time, have never been made in a selective and discriminatory manner. Far from being aimed at hindering the activity of competitors and without ACI ever claiming the enjoyment of exclusive rights, the reports would pursue the institutional purposes attributed to the Federation and would be aimed at ensuring compliance with regulations, public safety, and the safety of participants in the events. Moreover, ACI has limited itself to sending the reports to the competent public administrations, which are the only entities authorized to suspend or cancel the aforementioned events”188.</w:t>
      </w:r>
    </w:p>
    <w:p>
      <w:r>
        <w:t>123. In addition, ACI emphasized that a large part of the reports on file would concern events “clearly competitive and therefore unrelated to the subject of the investigation,” while among the remaining “tendentially concentrated in more recent years” two strands would be identifiable. One strand relates to the reports, signed by the ACI President, against events qualified by the organizers as regularity events with historic cars referred to in the last period of Article 9, paragraph 3, of the CDS, among which “a series of events organized by ASI.” Regarding such events “except for some cases in which, based on the elements at its disposal,” the Parties would have expressed doubt that they complied with the requirement of a speed lower than 40 km/h along the entire route (in which case its prior opinion would have been necessary), the Federation would have limited itself to emphasizing that from a reading of the race regulations emerged a series of potential profiles of non-compliance with federal regulations “always having as the main objective the protection of the safety of participants, as well as any public, thus inviting the competent authorities to verify such profiles.” This is because before the ruling of the Council of State in 2022, as well as in the period between it and the rejection of the appeal for revocation against that ruling presented by186 Cfr. doc. 1467.187 Cfr. doc. 1390.188 Ibidem.</w:t>
      </w:r>
    </w:p>
    <w:p>
      <w:r>
        <w:rPr>
          <w:b/>
        </w:rPr>
        <w:t>[Pages 40–42]</w:t>
      </w:r>
    </w:p>
    <w:p>
      <w:r>
        <w:t>42 BULLETIN NO. 1 OF JANUARY 7, 2025</w:t>
      </w:r>
    </w:p>
    <w:p>
      <w:r>
        <w:t>ACI, the Federation could "rightfully" consider that such events should comply with its own rules.189 Following the rejection of the appeal for revocation, ACI stated that it had no longer sent notifications of this kind.</w:t>
      </w:r>
    </w:p>
    <w:p>
      <w:r>
        <w:t>124. A second line of inquiry would concern events "of which ACI had become aware, but whose classification was uncertain, as they had not been expressly qualified by the organizers as competitive or non-competitive." For such events, ACI would have limited itself to contacting the competent Public Administrations to report the lack of authorization, believing that "based on the few elements available, there was doubt as to whether they could present elements characteristic of races, and then illustrate, also for 'educational' purposes (consistent with its role as the National Automobile Sports Federation), the applicable regulatory and sports framework," "in order to raise awareness among the competent authorities to monitor the conduct of such events, always with the aim of ensuring their safety." In this regard, ACI highlighted that it had not requested the suspension or prohibition of such events, but had merely "declined any responsibility regarding the proper conduct of the events (given that any incidents that might have occurred could have evidently raised accusations of possible culpa in vigilando on the part of ACI as the National Automobile Sports Federation), nonetheless leaving it to the competent Public Administrations the burden of verifying their proper conduct."</w:t>
      </w:r>
    </w:p>
    <w:p>
      <w:r>
        <w:t>125. That said, the Parties believed they had correctly interpreted the codified regulations and, consequently, ACI would not have exceeded the powers conferred by Article 9 of the CDS through its notification activities. While agreeing that the authorization regime provided for in the TULPS applies to non-competitive events, the Parties emphasized that the notification activity actually translates into the exercise of a task entrusted to ACI by the MIT to ensure the safe conduct of the events.</w:t>
      </w:r>
    </w:p>
    <w:p>
      <w:r>
        <w:t>126. According to the Parties, the circulars from the MIT issued over the years would clearly state that the federal opinion for the conduct of recreational-amateur events on the road is necessary because only ACI, as a sports federation, is entitled to discern the nature (competitive or non-competitive) of automobile events, representing a "circumstance that justifies ACI's conduct and renders it immune from liability for the alleged (but in reality non-existent) violation of Article 102 TFEU." The circular from the Ministry of the Interior in 2022, having modified a previous position expressed in 2011 in line with that of the MIT, should therefore be considered the result of an isolated minority interpretation, which could not bind the Federation in light of what was established by the MIT. The Parties would also point out that this 2022 circular would have provided for the possibility for the APS to conduct the relevant assessments through institutional dialogue with the competent authorities for issuing authorizations or with the ACI and FMI sports federations, "thus reaffirming, in this regard, the role of the Sports Federation on this issue."</w:t>
      </w:r>
    </w:p>
    <w:p>
      <w:r>
        <w:t>127. Far from any instrumental use of its prerogatives, the intent of ACI's notifications would have been, in the opinion of the Parties, to supplement the failure to obtain the federal opinion by the organizers, providing the APS with useful information to allow them to proceed with a correct classification of the events. In Italy, there is indeed a widespread phenomenon of illegal races, that is, competitive events that organizers claim to organize outside the aegis of the Federation, as well as, in the case of road events, without complying with the authorization process of Article 9 of the CDS, and therefore, inter alia, without having requested and obtained ACI's opinion. In this regard, as mentioned earlier, the Parties also highlighted the fact that the same CRI revealed that "as much as 40% of the notifications on file concern actual competitive automobile sporting events," so for 120 of the 300 notifications on file, their alleged "founded" and "justified" nature would have been confirmed. As for the remaining 180 notifications on file, in the opinion of the Parties, these would nonetheless highlight that the prerogatives in question would have been exercised with "moderation," "in light of the thousands of automobile sporting events organized each year across the national territory."</w:t>
      </w:r>
    </w:p>
    <w:p>
      <w:r>
        <w:t>128. The Parties also noted the inadequacy of ACI's conduct to produce exclusionary effects on the market for the organization and commercial exploitation of recreational-amateur automobile events. The Parties argued, as mentioned earlier, that "the decision whether or not to authorize the sporting event is legally vested in the competent administrative authorities." Therefore, ACI would not have "exercised an autonomous power to prohibit the conduct of such events contra legem – which, in fact, in the vast majority of cases, have actually taken place." There would indeed be no evidence, outside of the case of the Prefecture of Trapani, that the notification activity has led to the cancellation or obstruction of genuinely recreational-amateur events brought to the attention of the recipient APS based on unfounded notifications. In the specific case of ASI, the lack of restrictive effects would be evident simply from the fact that it continues to organize a very high number of events, amounting to over 3,000 per year as stated by itself, in addition to having a large number of members. In any case, regarding the cancellations of ASI events, the Parties also argued that "the decision to suspend/cancel such events was made by the organizers themselves, in the absence of any intervention from the competent authorities."</w:t>
      </w:r>
    </w:p>
    <w:p>
      <w:r>
        <w:t>129. Likewise, there would be no causal link between the contested notification activity and the increase in membership of the ACI Storico Club, on one hand, and the number of recreational-amateur events organized under the aegis of ACI, on the other. Furthermore, even the number of non-competitive events registered in the ACI calendar during the period 2013-2023 would have no evidentiary relevance, especially considering the alleged "natural fluctuation from year to year of the number of non-competitive events freely registered in the Calendar by third-party organizers."</w:t>
      </w:r>
    </w:p>
    <w:p>
      <w:r>
        <w:t>130. The Parties have nonetheless pointed out that despite the commitments being rejected, starting from the end of 2023, ACI has nonetheless ceased its notification activity and intends to continue to refrain from such conduct, also adhering to what is provided for in the commitments presented on February 29, 2024.</w:t>
      </w:r>
    </w:p>
    <w:p>
      <w:r>
        <w:t>IV.2 The arguments of the complainants</w:t>
      </w:r>
    </w:p>
    <w:p>
      <w:r>
        <w:t>131. ASI highlighted how ACI's behavior, through the sending of notifications to the APS, would have primarily aimed to hinder or suspend the conduct of events that, due to collecting tradition and media attention, are of greater national significance.</w:t>
      </w:r>
    </w:p>
    <w:p>
      <w:r>
        <w:t>132. ACI's conduct would have generated a "climate of uncertainty and fragility" that would have led many federated clubs to refrain from organizing regularity events, precisely to avoid incurring ACI's improper interference. Indeed, there would be numerous events that clubs have given up to avoid incurring costs that would not have been amortized by registration fees, given the numerous withdrawals of enthusiasts disoriented by uncertainties and ACI's hostile attitude.</w:t>
      </w:r>
    </w:p>
    <w:p>
      <w:r>
        <w:t>133. Furthermore, ACI would sanction its licensees who participate in non-competitive events organized by ASI federated clubs in order to siphon participants from those events and, in turn, weaken the trust relationship between members and clubs federated to ASI.</w:t>
      </w:r>
    </w:p>
    <w:p>
      <w:r>
        <w:t>134. In this context, ASI emphasized how the rulings by the TAR Lazio and the Council of State that annulled the prohibition measure of the Prefecture of Trapani established the full illegitimacy of ACI's conduct. On one hand, indeed, the administrative judges affirmed the non-competitive nature of the historical regularity events referred to in paragraph 3 of Article 9 of the CDS, while on the other hand, they underscored the inapplicability of the provisions of subordinate normative sources (specifically, ministerial circulars and ACI regulations) that, betraying the literal tenor of the Code, conflict with what is clearly and unambiguously established therein.</w:t>
      </w:r>
    </w:p>
    <w:p>
      <w:r>
        <w:t>135. Ultimately, the conduct carried out by ACI would have created prejudices to the activities of ASI and the clubs federated to it in terms of: a) inhibition and/or weakening of organized regularity events; b) decrease in the number of participants in regularity events; c) decrease in membership of ASI federated clubs.</w:t>
      </w:r>
    </w:p>
    <w:p>
      <w:r>
        <w:t>136. Such obstacles, as described above, have also been lamented by several EPS heard during the proceedings, who emphasized that the numerous issues they encountered would essentially stem from an illegitimate exercise of its regulatory power by the Federation, "the boundaries of which have been the subject of regulatory scrutiny."</w:t>
      </w:r>
    </w:p>
    <w:p>
      <w:r>
        <w:rPr>
          <w:b/>
        </w:rPr>
        <w:t>[Pages 43–45]</w:t>
      </w:r>
    </w:p>
    <w:p>
      <w:r>
        <w:t>BULLETIN NO. 1 OF JANUARY 7, 2025 45</w:t>
        <w:br/>
        <w:t>interpretative and practical, of an extension such as to prejudice the interests of other parties involved, unjustifiably altering the balance of power.205</w:t>
      </w:r>
    </w:p>
    <w:p>
      <w:r>
        <w:t>V. EVALUATIONS</w:t>
        <w:br/>
        <w:t>V.1 Relevant markets</w:t>
        <w:br/>
        <w:t>V.1.1 Commodity markets</w:t>
        <w:br/>
        <w:t>137. This proceeding concerns the entirety of activities related to the organization at the national, regional, and local levels of automobile sporting events, which consists of various and complex phases that are strongly interconnected and not always distinct:</w:t>
        <w:br/>
        <w:t>i. the phase of announcing and organizing championships and/or individual events, which consists of defining the general rules concerning the registration and participation of both vehicles and drivers, including the issuance of licenses and permits, calendars, as well as rules related to safety profiles, the definition and characteristics of the race track and its conduct, etc.; this phase effectively includes the definition of technical-sporting and organizational rules for automobile events;</w:t>
        <w:br/>
        <w:t>ii. the promotion phase, related to negotiations for the sale of advertising spaces with sponsors and television broadcasters (including web-tv and streaming channels), negotiations with advertising companies, and, in general, activities aimed at publicizing and promoting the event, as well as the brands linked to the individual event or championship;</w:t>
        <w:br/>
        <w:t>iii. the event and logistics management phase, essentially consisting of preparing the necessary services to manage relationships and adequately host, on one side, the "competitors" (teams and drivers206) and, on the other, the public. This phase particularly concerns the fine-tuning of logistics related to technical-operational profiles (transport, preparation of prizes, organization of technical staff, etc.)207, as well as acquiring the necessary administrative authorizations208 and, as a rule, managing registrations;</w:t>
        <w:br/>
        <w:t>iv. the management and rental phase of racetracks, related only to events taking place on a circuit (not on public roads) and unless the organizer is also the owner of the racetrack, which consists of managing the racetrack and renting it to third-party organizers.</w:t>
      </w:r>
    </w:p>
    <w:p>
      <w:r>
        <w:t>The organizational activity, especially – but not only – in its promotional phase, is also accompanied by the commercial exploitation of organized events, which mainly consists of the sale of audiovisual and media rights, sponsorships, and tickets.</w:t>
      </w:r>
    </w:p>
    <w:p>
      <w:r>
        <w:t>205 See doc. 1394.</w:t>
        <w:br/>
        <w:t>206 Teams are entities that own a fleet of cars used in automobile competitions. They are, in particular, either non-profit sports associations representing one or more drivers associated with them during each race or joint-stock companies or limited liability companies that own a fleet of cars and enter into individual contracts with drivers for each race or, sometimes, for an entire championship. In both cases, the team is defined as a "competitor" in the race. There are drivers who participate in races independently, with their own car, and others who race within a team or a stable. In the first case, the driver must hold not only a "driver" license but also a "competitor" license.</w:t>
        <w:br/>
        <w:t>207 The organizer is contacted by the participant(s) in the planned race(s) (team/driver), with whom a contract is signed that provides for a series of services (such as timing during the race, medical assistance in case of accidents, ticket management, public management). In the case of a race to be held within a racetrack, the organizer who is not also the manager of an approved racing circuit for the race enters into a "rental contract" for the facility, consisting of both the approved circuit and the supporting structures (such as the press room, pits, paddock, sanitary, water and electrical facilities, grandstand, internal connecting path, ticket offices, parking). Based on this contract, the renter assumes all expenses related to the material organization of the race (such as administrative, management, technical, health, insurance, logistical, and promotional expenses). See in this regard A396-GARGANO CORSE/ACI.</w:t>
        <w:br/>
        <w:t>208 As already clarified, the authorization regime differs between amateur and competitive events.</w:t>
      </w:r>
    </w:p>
    <w:p>
      <w:r>
        <w:t>46 BULLETIN NO. 1 OF JANUARY 7, 2025</w:t>
        <w:br/>
        <w:t>138. In relation to this complex of activities, from a commodity perspective, two distinct relevant markets can be identified: one concerning the organization and commercial exploitation of competitive automobile events and the other related to recreational-amateur automobile events.</w:t>
        <w:br/>
        <w:t>139. In this regard, the aforementioned RSN of ACI, in Article 12 (titled "definition and classification of sporting events"), distinguishes between "competitive events" and "non-competitive events – recreational and amateur," providing that the latter may be organized, "even in competitive modes... provided that they do not involve the establishment of rankings based on the factors typical of competitive events or the awarding of titles," by entities and associations for purposes of recreation, growth, health, personal and social maturation.</w:t>
        <w:br/>
        <w:t>140. As already highlighted, the competitive or amateur nature of an automobile event affects the regulatory and even bureaucratic discipline that a prospective organizer must observe. Thus, for example, if one intends to organize a recreational-amateur event, they will not have to comply with the provisions of the RSN, unless they voluntarily decide to register the event in the ACI Calendar. Furthermore, those who wish to participate in a non-competitive event (e.g., competitor/driver, race official, etc.) will not require, unlike participants in competitive events, the specific license issued by the Federation.</w:t>
      </w:r>
    </w:p>
    <w:p>
      <w:r>
        <w:t>An equally important distinction is noted in the authorization regime applicable to road events, as while competitive events must comply with the provisions of Article 9 of the CDS, recreational-amateur events must refer to the provisions of the TULPS and its implementing regulations. Therefore, for the latter events, it is not necessary to obtain the federal opinion. At the same time, events taking place at racetracks are governed by specific provisions related to the approval of facilities.</w:t>
        <w:br/>
        <w:t>141. Finally, regarding regularity events with historic cars referred to in Article 9, paragraph 3 (third sentence) of the CDS, although they are subject to the authorization regime of the CDS, the acquisition of the CONI opinion (and thus of the competent federation) for sporting purposes is not required. Moreover, the same Council of State in the repeatedly cited ruling of 2022 expressly affirmed the recreational-amateur nature of such events, stating that "[T]he terminology used by the code, which refers to all 'motor events' of regularity without investigating their exclusively or predominantly recreational or sporting character, is not accidental, allowing to capture without uncertainties... all events reserved for vintage cars that... are by definition 'sporting', which may also involve races, rankings... and prizes, but also 'recreational', as they highlight the relationship of affection or collection with the vehicles, do not originate competitive events in the strict sense..." (emphasis added).</w:t>
        <w:br/>
        <w:t>142. From the supply side, the organization and commercial exploitation of competitive events sees the presence of various entities, such as ACI, ACI Sport, ACI Storico, and the ACs, as well as "other operators"209 whose events are registered in the ACI calendar. All competitive activity, including that carried out by third-party organizers, is coordinated and controlled by the Federation and can only take place under its aegis. ASI, the EPS, and their affiliated ASD can indeed organize competitive events only if they enter into specific agreements with ACI, and can therefore be considered its competitors in this market only in that circumstance; currently, there is only one agreement in force between ACI and ASI EPS (related solely to the discipline of Karting Rental on circuit)210.</w:t>
        <w:br/>
        <w:t>143. The organization and commercial exploitation of non-competitive events, unlike that of competitive events, does not require the necessity of entering into agreements with ACI for its execution, and therefore, ASI, the EPS, and their affiliated ASD are in a direct competition relationship with ACI in this market.</w:t>
        <w:br/>
        <w:t>144. Regarding the demand side, in both commodity markets, it is primarily represented by the public attending the events, sponsors, and audiovisual and media operators211.</w:t>
        <w:br/>
        <w:t>145. With reference to the commodity definition of the relevant markets, the arguments of the Parties asserting that the regulatory activity should be distinguished from the organization of events, as well as from the commercial exploitation and promotion of a motor event, emphasizing that such a definition would not be consistent with EU jurisprudence and that the Authority itself, in a previous212, would have attributed the organization and promotion activities to distinct markets, appear irrelevant.</w:t>
        <w:br/>
        <w:t>146. In this regard, it is noted that, contrary to what the Federation claims, the commodity definition of the relevant market as a complex of activities related to the organization and commercial exploitation of a motor event is consistent both with the principles outlined by the case law of the European Commission and the Court of Justice213 and with the documentary and factual elements acquired during the investigation.</w:t>
      </w:r>
    </w:p>
    <w:p>
      <w:r>
        <w:t>First of all, the Commission clarified that the organization of events consists of defining sporting, technical, and organizational rules, as well as defining the calendar, registering athletes, and appointing referees and other technical personnel; while commercial exploitation consists of the sale of tickets, media rights, and sponsorship214. For both organization and commercial exploitation, sports federations can resort to specialized service providers215.</w:t>
        <w:br/>
        <w:t xml:space="preserve">147. The Commission then emphasized how organization and commercial exploitation are carried out jointly216, to the extent that the commercial exploitation of an event </w:t>
        <w:br/>
        <w:t>210 See doc. 1414. In this regard, ACI reported having signed two other agreements, respectively with CSEN and CSAIN. Regarding CSEN, the agreement was active from 2012 to 2018, and the Entity stated that it has no ongoing relations with ACI (see docs. 1367 and 1391). As for CSAIN, it stated that it has no ongoing agreement with ACI (see doc. 1401).</w:t>
        <w:br/>
        <w:t>211 See lastly in this sense the European Commission Decision of December 8, 2017, case AT.40208 – International Skating Union’s Eligibility rules, cited.</w:t>
        <w:br/>
        <w:t>212 The Parties refer to the Authority's measure No. 17611 of November 22, 2007, case A396 –Gargano Corse/ACI, in Bulletin No. 44/2007.</w:t>
        <w:br/>
        <w:t>213 European Commission Decision of December 8, 2017, case AT.40208 – International Skating Union's Eligibility rules and related Judgment of the Court of Justice, case C-124/21, December 21, 2023, as well as Judgment of the Court of Justice, case C-49/07, July 1, 2008.</w:t>
        <w:br/>
        <w:t>214 See European Commission Decision of December 8, 2017, case AT.40208 – International Skating Union's Eligibility rules, cited, p. 86.</w:t>
        <w:br/>
        <w:t>215 Ibidem.</w:t>
        <w:br/>
        <w:t>216 See European Commission decision of December 8, 2017, case AT.40208 - International Skating Union's Eligibility rules, cited, p. 99. According to the European Commission: “[t]he ISU and its Members are both in charge of the organisational aspects of speed skating events (rule-setting, calendar, entry of athletes, appointment of referees) and of the commercial exploitation of such events by way of selling media and sponsoring rights. Neither the ISU nor any other entity performs an economic activity consisting merely of the organisation of speed skating events for a third party that commercially exploits the speed skating event. Conversely, the ISU in part directly and in part through its Members commercially exploits speed skating competitions and generates revenues through the sale of tickets and of sponsoring and broadcasting rights.”</w:t>
      </w:r>
    </w:p>
    <w:p>
      <w:r>
        <w:rPr>
          <w:b/>
        </w:rPr>
        <w:t>[Pages 46–48]</w:t>
      </w:r>
    </w:p>
    <w:p>
      <w:r>
        <w:t>48 BULLETIN NO. 1 OF JANUARY 7, 2025</w:t>
      </w:r>
    </w:p>
    <w:p>
      <w:r>
        <w:t>assumes its organization upstream, and conversely, the organizational aspects will influence the success of their commercial exploitation217. Organization and commercial exploitation are therefore part of the same relevant market218.</w:t>
      </w:r>
    </w:p>
    <w:p>
      <w:r>
        <w:t>148. In this case, ACI, ACI Sport, and ACI Storico all participate in the economic activity of organizing and commercially exploiting competitive and recreational-amateur automobile events, contributing according to their respective roles and the guidelines established by the Federation itself:</w:t>
        <w:br/>
        <w:t>˗ ACI, as the National Sports Federation (FSN) and as stated in its statute, "promotes, encourages, and organizes automobile sporting activities"219 (emphasis added), directly defining through the ROF, the RSN, and the individual RDS and RPG the sporting, technical, and organizational rules, as well as the procedures for scheduling and registering athletes. In exercising its federal activity, as mentioned above, ACI has also entered into agreements with ACI Sport and ACI Storico to agree on their respective tasks for the pursuit of statutory purposes. Furthermore, events organized by third parties under the aegis of ACI constitute a source of income for the Federation through the registration fees for the ACI Calendar and the issuance of organization permits;</w:t>
        <w:br/>
        <w:t>˗ ACI Sport, on delegation from the Federation220, primarily carries out activities attributable to the commercial exploitation of events, but also handles registration procedures (as evidenced by the examination of numerous RPG221), as well as, as inferred from the agreements examined above, section III.2 of "a) coordinating the activities of organizers; [...] f) coordinating the sporting activities of provincial and local Automobile Clubs based on the guidelines set by ACI. ...” (emphasis added)222; additionally, ad hoc agreements have also been made for specific events of great relevance, including international ones, formally organized by local ACs223 according to ACI's directives224;</w:t>
      </w:r>
    </w:p>
    <w:p>
      <w:r>
        <w:t>217 See European Commission decision of December 8, 2017, case AT.40208 – International Skating Union's Eligibility rules, cited, p. 99. The Commission specifically cites the decision of the Swedish Competition Authority Konkurrensverket [decision of May 13, 2011, case 709/2009], which identified “a market for the organization of automobile motor sports events having two complementary sides, namely the opportunity for drivers to compete and participate in events and the commercial exploitation of the events through ticketing, sponsoring and other licensing agreements and also including the provision of administrative services by the Swedish Automobile Federation”.</w:t>
        <w:br/>
        <w:t>218 In fact, the European Commission in the International Skating Union case noted how the Court of Justice already in the well-known Motoe ruling [Judgment of the Court of Justice, case C-49/07, July 1, 2008] considered that the ELPA Federation, the Greek member of the Fédération Internationale de Motocyclisme, was active both in organizing motorcycle events and in their commercial exploitation through sponsorship, advertising, and insurance contracts, noting that these two activities are closely interconnected. The Swedish national competition authority reached similar assessments in the aforementioned Konkurrensverket ruling, highlights the European Commission.</w:t>
        <w:br/>
        <w:t>219 See Article 4 of the ACI Statute.</w:t>
        <w:br/>
        <w:t>220 See doc 1300. According to what is established therein, ACI entrusts ACI Sport "with the realization of the services and activities aimed at the best and most profitable design, promotion, and development of sporting events […] [granting it n.d.r.] the mandate to carry out, on its own behalf and in accordance with its institutional purposes, the legal acts necessary for the realization of the services and activities subject to this agreement" (emphasis added).</w:t>
        <w:br/>
        <w:t>221 See above section III.2.</w:t>
        <w:br/>
        <w:t>222 See doc. 1300, Article 3 of the agreement.</w:t>
        <w:br/>
        <w:t>223 See doc. 1421. Reference is made to two agreements in force between ACI Sport and, respectively: a) ACI and AC Belluno for the Coppa d’Oro delle Dolomiti; b) ACI and AC Palermo for the Targa Florio. Additionally, there is a third agreement between ACI Sport and Scuderia Biondetti ASD for the Mugello Road Circuit.</w:t>
        <w:br/>
        <w:t>224 See doc. 1300. Article 6 of the Agreement, under which ACI approves through the Sports Board the annual activity plan and the attached Budget presented by the in-house company, being able to modify its contents if necessary.</w:t>
      </w:r>
    </w:p>
    <w:p>
      <w:r>
        <w:t>49 BULLETIN NO. 1 OF JANUARY 7, 2025</w:t>
      </w:r>
    </w:p>
    <w:p>
      <w:r>
        <w:t>˗ ACI Storico, by virtue of its pursued objectives225, adheres to ACI226 in accordance with the provisions of the federal statute227. It promotes historic motorsport and, pursuant to the agreements analyzed above, on one hand receives the "support" of ACI and ACI Sport for the better pursuit of its purposes, while on the other hand actively contributes to the organization of some of the most important events with historic cars228. Contrary to what the denounced Parties claim, ACI Storico is thus active, directly and indirectly, in the organization and commercial exploitation of recreational-amateur automobile events, as its development falls among the specific purposes of the aforementioned agreement.</w:t>
      </w:r>
    </w:p>
    <w:p>
      <w:r>
        <w:t>149. In other words, ACI makes use of its in-house company ACI Sport, with which it has a specific agreement regarding the organizational and promotional aspects of the championships organized directly or indirectly (through local ACs) by the Federation. Therefore, contrary to what ACI argues, which claims not to organize competitive and non-competitive events based on a restrictive notion of "organization" limited to what is regulated by the RSN regarding rights and bureaucratic burdens on third parties holding the relevant license, it is believed that the economic activity in question must consist of all those preparatory phases and (among them) connected to the conduct of automobile events.</w:t>
      </w:r>
    </w:p>
    <w:p>
      <w:r>
        <w:t>150. Additionally, the elements on record attest that ACI has a decisive influence on the automobile events organized directly by the ACs, which, as already detailed, on one hand, are inextricably linked to the Federation of belonging229 and its sports bodies in terms of governance230, and on the other hand, pursuant to the federal statute, "carry out, in their respective jurisdictions and in harmony with the directives of the A.C.I., the activities indicated in art. 4" [among which are the promotion, encouragement, and organization of automobile sporting activities n.d.r.]”231 (emphasis added).</w:t>
      </w:r>
    </w:p>
    <w:p>
      <w:r>
        <w:t>225 Pursuant to Article 2 of the ACI Storico Statute, the association's corporate purpose is the exercise, promotion, development, and dissemination of any activity related to the passion for historic vehicles, including "the organization of gatherings, activities for introducing to motorsport and collecting, cultural and recreational activities related to the world of the automobile and open to all" (emphasis added), as well as the ability to "proceed directly or through companies controlled by ACI, to the establishment of a racing team, the management of sports facilities, the promotion, sponsorship, announcement, and organization of sporting and/or amateur events" (emphasis added).</w:t>
        <w:br/>
        <w:t>226 Pursuant to Article 4 of the ACI Storico Statute titled "Inspiring Principles", ACI Storico "expresses and pursues the values and purposes of its object also through the principle of protection and dissemination of the values expressed by the Automobile Club d’Italia […] contributes to the realization of the purposes indicated in the ACI Statute with particular reference to the protection of the interests of enthusiasts and collectors of vehicles of historical-collectible relevance, also based on the guidelines provided by ACI itself" (emphasis added).</w:t>
        <w:br/>
        <w:t>227 See Article 4, paragraph 3, of the ACI Storico Statute. Article 3 of the ACI Statute states that: “[o]rganizations as well as national associations without profit purposes, which carry out activities directly related to the general interests of domestic and international motorsport, may adhere to A.C.I.”.</w:t>
        <w:br/>
        <w:t>228 More specifically, the delegation to ACI Sport for "all management and operational support activities necessary to ensure the life of the ACI Storico Club both at the central and territorial level", the latter level at which "ACI Sport coordinates with the individual Automobile Clubs both to support them in the actions to be carried out for the development of the ACI Storico Club, and to prepare autonomous activities in support of historical associations" (emphasis added). In this perspective, ACI Sport is tasked "to provide ACs […] support in organizing regularity competitions or other types of events with historic cars both of a sporting and amateur nature" (emphasis added). In 2023, ACI Storico was present at 10 "important sector events", including international ones, as well as in 76 appointments held throughout the national territory related to the initiative Wheels in History.</w:t>
      </w:r>
    </w:p>
    <w:p>
      <w:r>
        <w:t>229 Article 1 of the federal statute, in the first paragraph, states that "The Automobile Club d’Italia - A.C.I. is the Federation that associates the duly constituted Automobile Clubs".</w:t>
        <w:br/>
        <w:t>230 In this regard, it is recalled that, pursuant to Articles 21 and 22 of the ACI Statute, the National Sports Council and the Sports Board include among their members, respectively, 10 (out of 33 total members) and 3 (out of 9 total members) representatives of ACs holding organizer licenses.</w:t>
        <w:br/>
        <w:t>231 See Article 36 of the ACI Statute.</w:t>
      </w:r>
    </w:p>
    <w:p>
      <w:r>
        <w:t>50 BULLETIN NO. 1 OF JANUARY 7, 2025</w:t>
      </w:r>
    </w:p>
    <w:p>
      <w:r>
        <w:t>Particularly illustrative of the above is the role of the Provincial and local Delegations and the Regional Delegations, which, it is recalled, pursuant to the ROF232, are constituted by ACs and represent ACI in their area of competence, performing tasks such as testing the routes of road competitions referred to in Article 9, paragraph 4, CDS, and organizing Regional or Interregional Championships. The Regional Delegations, specifically, can also visit the RPGs and express opinions regarding the new registrations of races in their Region233.</w:t>
      </w:r>
    </w:p>
    <w:p>
      <w:r>
        <w:t>151. In consideration of the above, ACI, also through ACI Sport, exercises a function of direction and coordination of the sporting activities of the ACs, which, at the provincial and local level, "represent the direct emanation of ACI in the territory". Therefore, ACI can be attributed with the indirect organization of the events for which the ACs are organizers pursuant to the RSN.</w:t>
      </w:r>
    </w:p>
    <w:p>
      <w:r>
        <w:t>152. Nor, as claimed by ACI, would the autonomy of the ACs from the Federation (see above section IV) be demonstrated by the commitments accepted by the Authority in its previous A396, which would have effectively established the equivalence of the ACs with respect to other organizing entities. From a correct reading of the measure, it emerges, in fact, that the commitment was solely aimed at ensuring uniformity for all requesting entities (including ACs) of the necessary requirements to obtain the organizer license, which, however, does not exclude that the ACs are, as stated above, closely linked to it. Similarly, the observation of ACI regarding the adoption, in that context, of a different definition of the commodity market that distinguished the activity of organization from that of promotion does not appear to be shareable. This is a precedent (moreover dated) that cannot bind the Authority to express a different assessment in a subsequent proceeding, especially if the latter is in line with the most recent orientation of the European Commission and the Court of Justice.</w:t>
      </w:r>
    </w:p>
    <w:p>
      <w:r>
        <w:t>153. Also with reference to the commodity definition of the markets, the objection of the Parties that the historic regularity events referred to in Article 9, paragraph 3, of the CDS should be considered competitive, to the extent that in the same CRI, while ascribing them to recreational-amateur events, it has been clearly admitted that they are subject to the discipline of the CDS with the exception of the federal opinion, appears to lack merit.</w:t>
      </w:r>
    </w:p>
    <w:p>
      <w:r>
        <w:t>154. On this point, it is easy to reply that, as definitively clarified by the Council of State in the repeatedly cited ruling of 2022, it is the Code itself that establishes their non-competitive nature to the extent that it appropriately uses, in paragraph 1, the term "races with motor vehicles", while, in paragraph 3, it uses the term "events" of historic regularity. Consequently, such events, while being governed by Article 9 of the Road Code and not by the TULPS, must still be considered non-competitive. This framing is certainly consistent with the legislator's choice to exclude the federal opinion, considering that, as admitted by the Parties, the aegis of ACI must necessarily exist only for competitive events.</w:t>
      </w:r>
    </w:p>
    <w:p>
      <w:r>
        <w:t>V.1.2 The geographical market</w:t>
      </w:r>
    </w:p>
    <w:p>
      <w:r>
        <w:t>155. With regard to the geographical dimension, it is believed that the two aforementioned markets, to the extent that the operators present therein are active throughout the national territory, have a national dimension. In particular, the events registered in the ACI Calendar, whether competitive or recreational-amateur in nature, are subject to federal regulations that deploy their effectiveness at the national level and are widespread throughout the Italian territory. Likewise, the events organized</w:t>
      </w:r>
    </w:p>
    <w:p>
      <w:r>
        <w:rPr>
          <w:b/>
        </w:rPr>
        <w:t>[Pages 49–51]</w:t>
      </w:r>
    </w:p>
    <w:p>
      <w:r>
        <w:t>BULLETIN NO. 1 OF JANUARY 7, 2025 51</w:t>
      </w:r>
    </w:p>
    <w:p>
      <w:r>
        <w:t>by ASI and the EPS, or by their affiliated entities, held outside the aegis of ACI, are widespread throughout the national territory.</w:t>
      </w:r>
    </w:p>
    <w:p>
      <w:r>
        <w:t>156. Nor can the arguments of the Parties be accepted, according to which the fact that competitive and non-competitive events would be subject to regulatory and normative disciplines uniformly applied throughout the national territory would not be sufficient to define their national dimension.</w:t>
      </w:r>
    </w:p>
    <w:p>
      <w:r>
        <w:t>157. In this regard, it is noted that the geographical definition of markets relies on unequivocal elements: the fact that the events are subject to uniform rules throughout the national territory, as well as the fact that the Federation itself, ASI, and the various EPS are active at the national level and that participants in such events, including those of historical regularity under Article 9, paragraph 3, CDS, come from all over Italy – and, for the main events, also from abroad – are all characteristics that undoubtedly support a national geographical definition.</w:t>
      </w:r>
    </w:p>
    <w:p>
      <w:r>
        <w:t>V.1.3 Conclusions on the relevant markets</w:t>
      </w:r>
    </w:p>
    <w:p>
      <w:r>
        <w:t>158. In conclusion, in the present proceeding, the relevant markets are that of the organization and commercial exploitation of competitive automobile sporting events and that of the organization and commercial exploitation of recreational-amateur automobile sporting events. Both markets have national dimensions.</w:t>
      </w:r>
    </w:p>
    <w:p>
      <w:r>
        <w:t>V.2 The nature of ACI</w:t>
      </w:r>
    </w:p>
    <w:p>
      <w:r>
        <w:t>159. Preliminary observations indicate that, as already noted by the Authority based on European jurisprudence in this area, the regulation by a Sports Federation of economic activities related to the world of sports is fully subject to antitrust scrutiny.234 According to the Court of Justice, “the fact that an economic activity is related to sport does not preclude the application of the Treaty rules, including those governing competition law.”235</w:t>
      </w:r>
    </w:p>
    <w:p>
      <w:r>
        <w:t>Any restrictions that may arise from sports regulation must therefore be assessed in light of the context in which they were introduced and the objectives pursued, and, in any case, cannot exceed what is strictly necessary and proportionate to ensure coordination with the sports activities to which they are connected, solely for the purpose of preserving the proper functioning of these latter activities.236 However, it remains understood that, as clarified by the Court of Justice, in cases concerning restrictive conduct “by object” or that, by their very nature, are incompatible with Article 102 TFEU, even the hypothetical pursuit of “legitimate objectives” cannot allow for the conclusion that such conduct does not fall within the scope of Articles 101 and/or 102 TFEU.237</w:t>
      </w:r>
    </w:p>
    <w:p>
      <w:r>
        <w:t>160. Within the legal framework illustrated, which is also based on ACI's relationships with FIA and CONI, the public role of sports federations and the associated existence of a single Federation for each sport do not exclude the scrutiny, from an antitrust perspective, of the ways in which Federations conduct economic activities in the market for the organization and commercial exploitation of the sports events in which they are active. As illustrated, sports activity involves the conduct of economic activities; in fact, the organization and management of the sporting event, which is a product of entertainment, generates profit.</w:t>
      </w:r>
    </w:p>
    <w:p>
      <w:r>
        <w:t>161. ACI has an associative nature and, under competition law, qualifies both as an association of enterprises and as an enterprise. In detail, for what is most relevant here, ACI operates directly in automobile sporting activities, as it both establishes the sector's regulations and organizes and manages, directly or through ACI Sport, ACI Storico, and the associated ACs, economic activities related to the organization of sporting events that generate revenues. In particular, ACI derives revenues from the issuance of licenses of various kinds necessary for the conduct of sporting activities (for example, those for drivers/competitors) or related to them (for example, those for organizers), as well as from the issuance of organization permits for events and from registration fees for the ACI Calendar.</w:t>
      </w:r>
    </w:p>
    <w:p>
      <w:r>
        <w:t>162. With specific reference to the promotion and commercial exploitation of the championships organized by the Federation, as highlighted above, ACI delegates these activities to the in-house company ACI Sport (which sometimes also collects athlete registrations for individual events), partially bearing the related costs.238 Through ACI Storico, an association closely linked to ACI, of which the latter is a founding member, the Federation is also active in the promotion and organization of events with historic cars.239 Similarly, some ACs, which in their capacity as ACI's territorial branches perform functions related to the organization, promotion, and encouragement of sporting activity, operate directly in the organization of automobile sporting events.</w:t>
      </w:r>
    </w:p>
    <w:p>
      <w:r>
        <w:t>V.3 ACI's dominant position</w:t>
      </w:r>
    </w:p>
    <w:p>
      <w:r>
        <w:t>163. ACI is the only sports federation of reference for competitive motorsport recognized by CONI, on delegation from FIA, and tasked with coordinating and controlling competitive activities. In exercising these powers, the Federation “promotes, encourages, and organizes automobile sporting activities,”240 intervening in the production of technical-sporting regulations and promoting, through ACI Sport, all the championships it organizes as FSN, as well as some individual events of particular relevance.</w:t>
      </w:r>
    </w:p>
    <w:p>
      <w:r>
        <w:t>164. In particular, through the RSN, ACI establishes a wide range of rules primarily applicable to the majority of competitive events, from the issuance of the various types of licenses necessary to participate directly or indirectly in automobile sporting activities241, to the requirements necessary to organize events, to the rules governing the entire conduct, from registration and pre-race sports and technical checks to the homologation of results and the designation of race officials for the control of events; ACI then approves the individual RPGs, including the related race routes, and establishes the calendar of sporting events organized in Italy throughout the year.242</w:t>
      </w:r>
    </w:p>
    <w:p>
      <w:r>
        <w:t>165. These prerogatives apply to competitive events and also extend to non-competitive events, that is, recreational-amateur events, registered in the ACI Calendar.243 Regarding competitive events, the sector regulation establishes that “they must be under the aegis of ACI and must be organized in accordance with the rules contained in this Regulation and in the RDS”244 and that “[T]hey must be approved by the President of ACI or by a person delegated by him.” The organization of such events must therefore necessarily be placed under the aegis of the Federation and complies with the provisions formulated by it. Recreational-amateur events, as stated by the Federation itself, can instead be organized “freely” and “in complete autonomy, outside the aegis of ACI … without having to comply with the provisions of the RSN as well as those of the RDS.”245</w:t>
      </w:r>
    </w:p>
    <w:p>
      <w:r>
        <w:t>166. According to the Parties, mere ownership of regulatory and coordinating powers would not be sufficient to attribute to ACI such a position, as a dominance test based on the number of competitions organized by the Federation compared to the total in the reference market would indeed be necessary, as stated by the Council of State in the recent ruling that reformed the decision of the TAR Lazio rejecting the appeal of the Italian Federation of Equestrian Sports – FISE against the sanctioning measure of the Authority for ascertaining non-compliance with the commitments made in case A378/C246. Such a dominance test would be absent to the extent that the CRI did not identify the market shares of the various operators active in the relevant markets.</w:t>
      </w:r>
    </w:p>
    <w:p>
      <w:r>
        <w:t>Nor, according to the Parties, do the jurisprudential precedents cited in the CRI in support of the conclusions reached therein regarding dominance hit the mark, as none of the cited rulings would assert that the power to regulate a certain sports discipline inherently grants the entity holding that power a dominant position in the market for the organization and commercial exploitation of the regulated sports events.247 On this point, with specific reference to motorsport and anyone wishing to organize a sporting automobile event, as well as the related organization permit.</w:t>
      </w:r>
    </w:p>
    <w:p>
      <w:r>
        <w:t>242 See Article 43 of the RSN adopted by ACI in 2023. In particular, ACI, in addition to defining the procedures and methods of registration, establishes the calendar, the final approval of which is the responsibility of the Sports Board.</w:t>
      </w:r>
    </w:p>
    <w:p>
      <w:r>
        <w:t>243 In relation to recreational-amateur events registered in the ACI Calendar, those without an ACI organizer license can still request the registration of the event by requesting a specific organization certificate; moreover, participants in the event are exempt from the license requirement. The provisions related to the obligation of homologation of the route and some provisions related to vehicles in racing setup are also not applicable, see doc. 1390.</w:t>
      </w:r>
    </w:p>
    <w:p>
      <w:r>
        <w:t>244 See Article 11 of the National Sports Regulation adopted by ACI in 2023.</w:t>
      </w:r>
    </w:p>
    <w:p>
      <w:r>
        <w:t>245 See doc. 1421.</w:t>
      </w:r>
    </w:p>
    <w:p>
      <w:r>
        <w:t>246 See ruling of the Council of State No. 5054 of June 5, 2024. In particular, the administrative judge stated that “the existence of special powers held by FISE does not appear to be sufficient, on its own, to constitute proof of a dominant position, given that such powers essentially pertain to the technical and sporting aspects of each discipline and, in any case, only indirectly […] are likely to affect the relevant market of events and competitions with equines of a competitive, amateur, or recreational nature.” It follows that, according to the Judge, “the dominant position in the market for the organization of competitions should also have been assessed based on other quantitative elements capable of representing the market situation,” including “the number of competitions organized by each association.”</w:t>
      </w:r>
    </w:p>
    <w:p>
      <w:r>
        <w:t>247 Additionally, the Parties noted that in some previous EU cases cited in the CRI (namely the ISU and Superlega cases), the sports federations, unlike ACI, were in fact the only associations that organized and commercially exploited the competitions related to the respective sports discipline.</w:t>
      </w:r>
    </w:p>
    <w:p>
      <w:r>
        <w:rPr>
          <w:b/>
        </w:rPr>
        <w:t>[Pages 52–54]</w:t>
      </w:r>
    </w:p>
    <w:p>
      <w:r>
        <w:t>54 BULLETIN NO. 1 OF JANUARY 7, 2025</w:t>
      </w:r>
    </w:p>
    <w:p>
      <w:r>
        <w:t>with reference to the Motoe case248, the Parties also argued that the advisory power under evaluation by the European Judges would differ from that held by ACI pursuant to Article 9 of the CDS, as the latter would not be able to "authorize" independently the holding of competitive automobile events on public roads.</w:t>
      </w:r>
    </w:p>
    <w:p>
      <w:r>
        <w:t>167. Regarding ACI's position in the market for the organization and commercial exploitation of competitive automobile sporting events, it is deemed appropriate to preliminarily recall the notion of dominance theorized by the European Commission (and subsequently endorsed in judicial proceedings by the Court of Justice) in the well-known United Brands case249, according to which "a company enjoys a dominant position if it can behave independently, allowing it to act without regard to competitors, customers, or suppliers" (emphasis added).</w:t>
      </w:r>
    </w:p>
    <w:p>
      <w:r>
        <w:t>168. Based on the aforementioned prerogatives, and from what has been more extensively outlined in sections III.1.1 and III.1.2, it appears indisputable that ACI can implement independent behaviors with respect to the majority of its competing organizers concerning competitive automobile events, if only for the fact that through the ROF, the RSN, the RDS, and the RPG, it is the only market operator that autonomously decides the "rules of the game" that the licensed parties (especially organizers and drivers/competitors) must observe to carry out their activities in the market, also establishing which violations of such rules are subject to sanction.</w:t>
      </w:r>
    </w:p>
    <w:p>
      <w:r>
        <w:t>In particular, the RPG, which among the listed documents are the only ones prepared by the applicants holding organizer licenses and which contain the main elements of the event typified by the RSN250, must be drafted according to federal regulations, using the type regulations established by ACI251 where provided, and approved by ACI at the time of issuing the organization permit252, as well as the RDS.</w:t>
      </w:r>
    </w:p>
    <w:p>
      <w:r>
        <w:t>169. ACI, contrary to what the Parties claim, as extensively demonstrated, certainly enjoys a hegemonic role in competitive automobile sports, similar to all the sports Federations referenced in the case law cited in the CRI. By virtue of this role, the determination of the exact market shares appears in this case not representative of the market power held by ACI.</w:t>
      </w:r>
    </w:p>
    <w:p>
      <w:r>
        <w:t>Recalling that market shares are only one of the symptomatic indicators of a dominant position, in this specific case it is sufficient to remember that all competitive activities, including those carried out by third-party organizers, are coordinated and controlled by ACI and can only take place under its aegis.</w:t>
      </w:r>
    </w:p>
    <w:p>
      <w:r>
        <w:t>170. As affirmed by the Court of Justice in the recent Superlega ruling253 regarding federal rules – accompanied by sanctions in case of their violation – that govern the authorization of sporting competitions and the participation of clubs and athletes in such competitions, "the fact of granting a company that exercises a certain economic activity the power to determine, de jure or even de facto, which other companies are also authorized to exercise that activity and to establish the conditions under which that activity can be carried out, places it in a situation of conflict of interest and gives it a clear advantage over competitors"254 (emphasis added).</w:t>
      </w:r>
    </w:p>
    <w:p>
      <w:r>
        <w:t>171. In the case of ACI, such power and the resulting advantage appear evident in that, as a sports Federation and unlike other operators, it receives revenues from the issuance of licenses, organization permits, and registrations in its Calendar.</w:t>
      </w:r>
    </w:p>
    <w:p>
      <w:r>
        <w:t>172. In this regard, it is important to consider that all organizers of competitive events must necessarily register them in the ACI Calendar, as these must be carried out under the Federation's aegis255. On this point, the data provided by the Parties account for the number of both events and subjects that register them in the calendar. In particular, in the three-year period 2021-2023 alone, over 2,400 competitive automobile events (averaging over 800 per year) have been registered in the ACI Calendar by over 500 subjects for events held on the road and over 250 for those held off-road256.</w:t>
      </w:r>
    </w:p>
    <w:p>
      <w:r>
        <w:t>173. An additional aspect in favor of the Federation also emerges from the intense and articulated promotion of federal championships and individual events of great relevance – with the related commercial exploitation that derives from it – carried out by the Federation through ACI Sport, according to what is also governed by a specific agreement.</w:t>
      </w:r>
    </w:p>
    <w:p>
      <w:r>
        <w:t>174. The specificity of ACI's prerogatives also distinguishes it from FISE, which is the subject of the ruling of the Council of State cited by the Parties and improperly referenced to contest the dominance claimed by ACI in the relevant market.</w:t>
      </w:r>
    </w:p>
    <w:p>
      <w:r>
        <w:t>Indeed, as already specified, ACI is the only market operator endowed with prerogatives such that it is active in all phases of the organization and commercial exploitation of competitive automobile events, and it cannot be overlooked that, unlike FISE, the national legislator has endowed ACI with the advisory power (exercised on behalf of CONI) referred to in Article 9, paragraph 3, of the CDS, which, with reference to competitive events on public roads, represents a mode of exercising the aforementioned regulatory and coordination powers of automobile sports at the national level, allowing it to determine whether, if necessary, and under what conditions other companies may access the market in question and carry out their activities.</w:t>
      </w:r>
    </w:p>
    <w:p>
      <w:r>
        <w:t>175. In relation to such advisory power attributed to sports Federations, the Court of Justice, in the aforementioned Motoe ruling – concerning the power conferred by Greek legislation to the Elliniki Leschi Aftokinitou kai Perigiseon (“ELPA”)257 to provide an opinion within an authorization procedure aimed at issuing a clearance for the organization of motorcycle or moped races by the competent public authorities – expressed itself in the following terms: "a company can be placed in such a position [dominant, ed.] when it is granted special or exclusive rights that allow it to determine whether and, if necessary, under what conditions other companies may access the market in question and carry out their activities… [A]ssigning to a legal entity like ELPA, which itself organizes and commercially exploits motorcycle races, the task of providing the competent administration with a compliant opinion on the authorization requests submitted for the organization of such races, effectively amounts to conferring upon it the power to designate the subjects authorized to organize the aforementioned races as well as to set the conditions under which they take place, thereby granting the entity in question a clear advantage over competitors"258 (emphasis added).</w:t>
      </w:r>
    </w:p>
    <w:p>
      <w:r>
        <w:t>176. In this regard, the attempt by the complaining Parties to downplay the effectiveness of the federal opinion referred to in paragraph 3 of Article 9 of the CDS compared to the advisory power under judgment in the Motoe case, appears irrelevant to the documentation on record, where ACI itself emphasizes its mandatory and binding nature in various reports sent to the APS259.</w:t>
      </w:r>
    </w:p>
    <w:p>
      <w:r>
        <w:t>177. In light of the elements outlined above, ACI appears to hold a dominant position under Article 102 TFEU in the market for the organization and commercial exploitation of competitive automobile events.</w:t>
      </w:r>
    </w:p>
    <w:p>
      <w:r>
        <w:t>V.4 The contested behaviors: the impossibility of confirming the hypothesis presented at the outset</w:t>
      </w:r>
    </w:p>
    <w:p>
      <w:r>
        <w:t>178. The investigative activity did not allow for the collection of sufficient elements to attribute the conduct of the parties to an assumption of abuse of a dominant position in violation of Article 102 TFEU.</w:t>
      </w:r>
    </w:p>
    <w:p>
      <w:r>
        <w:t>As reported below, although the documentation on record highlights that in its signaling activity ACI communicated to the APS (Prefectures, Police Headquarters, and/or Municipal Authorities) the obligation of the federal opinion even for non-competitive events, however, no sufficient elements emerged to demonstrate that such activity was capable of favoring the extension of the dominant position held by the Federation in the market for the organization and commercial exploitation of competitive events to that relating to recreational-amateur events, with the effect of excluding or at least hindering competitors in that latter market.</w:t>
      </w:r>
    </w:p>
    <w:p>
      <w:r>
        <w:t>179. More precisely, the investigative activity confirmed that ACI, an operator in a dominant position in the market for the organization and commercial exploitation of competitive automobile sporting events, also by virtue of the special and exclusive regulatory and coordination powers in automobile activities conferred upon it by CONI, has engaged in signaling activity directed at various APS since at least 2013 and until the end of 2023, aimed at highlighting how the events indicated from time to time would not have been subject to the prior opinion of ACI, regardless of their competitive or recreational-amateur nature, and despite the fact that the Federation itself has peacefully acknowledged that only competitive events are governed by Article 9 of the CDS while recreational-amateur events are governed by the TULPS. Nevertheless, according to ACI, the conduct would have been substantially imposed: i) by the 2011 circular of the Ministry of the Interior, "contradicted" by the same Ministry only in 2022; and ii) by the recurring circulars of the MIT. In this perspective, ACI's opinion would have been necessary to unveil the potentially abusive nature of races falsely presented as recreational-amateur.</w:t>
      </w:r>
    </w:p>
    <w:p>
      <w:r>
        <w:t>180. ACI's claim to exercise the advisory function that derives from the provisions of the CDS for all automobile sporting events (including recreational-amateur260, in order to verify their potential "abusive" nature, as they are covertly competitive), however, does not seem to find justification in the circulars of the MIT referenced by the Federation in its reports to the APS. This is both because, regardless of the conflict with the circulars of the Ministry of the Interior, which actually occurred only from May 2022, the circulars of the MIT appear to conflict with the literal tenor of a superordinate norm (namely Article 9 of the CDS which...</w:t>
      </w:r>
    </w:p>
    <w:p>
      <w:r>
        <w:rPr>
          <w:b/>
        </w:rPr>
        <w:t>[Pages 55–57]</w:t>
      </w:r>
    </w:p>
    <w:p>
      <w:r>
        <w:t>BULLETIN NO. 1 OF JANUARY 7, 2025 57</w:t>
      </w:r>
    </w:p>
    <w:p>
      <w:r>
        <w:t>deliberately uses the term "races"), both for their contradictory nature, insofar as they assert, on the one hand, that the regulation referred to in Article 9 of the CDS does not apply in the presence of non-competitive events and, on the other hand, require that ACI issue a prior opinion regardless of the type of event (competitive or recreational-amateur).</w:t>
      </w:r>
    </w:p>
    <w:p>
      <w:r>
        <w:t>In this sense, the Circular of the Ministry of the Interior - Department of Public Security of May 31, 2022, seems more aligned with the regulatory provisions, in which, overcoming what was previously expressed in the aforementioned circular of 2011, similar in nature to those of the MIT, it was finally asserted that the authorization regime referred to in Article 9 of the CDS applies only to competitive events, with non-competitive events being subject to the provisions of the TULPS.</w:t>
      </w:r>
    </w:p>
    <w:p>
      <w:r>
        <w:t>181. That said, beyond the statements made by the reporters and some EPS regarding an alleged contraction of their respective activities due to ACI's actions, the evidentiary findings were not sufficient to conclude that the contested conduct, which has ceased as declared by ACI during the proceedings, was capable of hindering and/or excluding the Federation's competitors from the market for the organization and commercial exploitation of non-competitive automobile events.</w:t>
      </w:r>
    </w:p>
    <w:p>
      <w:r>
        <w:t>Indeed, given that in about 40% of ACI's reports on file, the covertly competitive nature of the event is nonetheless indicated based on specific elements of the same, as evidence of its possible abusiveness, there is still little evidence that, for the remaining cases, as a direct consequence of ACI's behavior, the APS subsequently prohibited the holding of the reported event, nor can it be excluded that, where prohibitory measures were adopted, these were due to documentary deficiencies of the organizers or the circumstance that the related events had a covertly competitive nature.</w:t>
      </w:r>
    </w:p>
    <w:p>
      <w:r>
        <w:t>VI. CONCLUSIONS</w:t>
      </w:r>
    </w:p>
    <w:p>
      <w:r>
        <w:t>182. In conclusion, the investigative activity carried out, also through inspection activities, did not allow for the acquisition of sufficient elements to consider that the conduct of ACI, ACI Sport, and ACI Storico constitutes a violation of Article 102 of the TFEU, consisting of an abusive strategy capable of hindering and/or excluding competitors from the market for the organization and commercial exploitation of recreational-amateur motor events.</w:t>
      </w:r>
    </w:p>
    <w:p>
      <w:r>
        <w:t>THEREFORE, in light of the factual and legal elements illustrated, it is deemed that the evidence on file does not allow for the demonstration that Automobile Club d’Italia-ACI, ACI Sport S.p.A., and Club ACI Storico have engaged in the abusive conduct of the dominant position hypothesized in the initiation measure;</w:t>
      </w:r>
    </w:p>
    <w:p>
      <w:r>
        <w:t>All of the above having been stated and considered:</w:t>
      </w:r>
    </w:p>
    <w:p>
      <w:r>
        <w:t>RESOLVES</w:t>
      </w:r>
    </w:p>
    <w:p>
      <w:r>
        <w:t>that based on the available information, the reasons for intervention, pursuant to Article 102 of the TFEU, against Automobile Club d’Italia-ACI, ACI Sport S.p.A., and Club ACI Storico have ceased.</w:t>
      </w:r>
    </w:p>
    <w:p>
      <w:r>
        <w:t>This measure will be notified to all parties involved in the proceedings and published in the Bulletin of the Competition and Market Authority.</w:t>
      </w:r>
    </w:p>
    <w:p>
      <w:r>
        <w:t>58 BULLETIN NO. 1 OF JANUARY 7, 2025</w:t>
      </w:r>
    </w:p>
    <w:p>
      <w:r>
        <w:t>Against this measure, an appeal may be submitted to the TAR of Lazio, pursuant to Article 135, paragraph 1, letter b), of the Code of Administrative Procedure (Legislative Decree No. 104 of July 2, 2010),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w:t>
      </w:r>
    </w:p>
    <w:p>
      <w:r>
        <w:t>THE SECRETARY GENERAL THE PRESIDENT</w:t>
      </w:r>
    </w:p>
    <w:p>
      <w:r>
        <w:t>Guido Stazi Roberto Rustichelli</w:t>
      </w:r>
    </w:p>
    <w:p>
      <w:r>
        <w:t>BULLETIN NO. 1 OF JANUARY 7, 2025 59</w:t>
      </w:r>
    </w:p>
    <w:p>
      <w:r>
        <w:t>I801AC - TAXI TRANSPORT RESERVATION SERVICES - ROME - NON-COMPLIANCE</w:t>
      </w:r>
    </w:p>
    <w:p>
      <w:r>
        <w:t>Measure No. 31428</w:t>
      </w:r>
    </w:p>
    <w:p>
      <w:r>
        <w:t>THE COMPETITION AND MARKET AUTHORITY</w:t>
      </w:r>
    </w:p>
    <w:p>
      <w:r>
        <w:t>IN ITS MEETING of December 17, 2024;</w:t>
      </w:r>
    </w:p>
    <w:p>
      <w:r>
        <w:t>HEARD the Rapporteur, Saverio Valentino;</w:t>
      </w:r>
    </w:p>
    <w:p>
      <w:r>
        <w:t>HAVING REGARD to Article 101 of the Treaty on the Functioning of the European Union (TFEU);</w:t>
      </w:r>
    </w:p>
    <w:p>
      <w:r>
        <w:t>HAVING REGARD to Law No. 287 of October 10, 1990;</w:t>
      </w:r>
    </w:p>
    <w:p>
      <w:r>
        <w:t>HAVING REGARD, in particular, to Article 15, paragraph 2, of the aforementioned law, in the part where it provides that, in the event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by which the payment of the sanction must be made. In cases of repeated non-compliance, the Authority may order the suspension of business activity for up to thirty days;</w:t>
      </w:r>
    </w:p>
    <w:p>
      <w:r>
        <w:t>HAVING REGARD, also, to Article 15, paragraph 2-bis, letter a), of the aforementioned law which provides that the Authority may impose on companies and associations of companies late penalties whose amount may reach up to 5 percent of the average daily turnover achieved worldwide during the previous financial year for each day of delay starting from the date set in the decision, in order to compel them to comply with the warning referred to in paragraph 1 of this article;</w:t>
      </w:r>
    </w:p>
    <w:p>
      <w:r>
        <w:t>HAVING REGARD to Law No. 689 of November 24, 1981;</w:t>
      </w:r>
    </w:p>
    <w:p>
      <w:r>
        <w:t>HAVING REGARD to the Decree of the President of the Republic No. 217 of April 30, 1998;</w:t>
      </w:r>
    </w:p>
    <w:p>
      <w:r>
        <w:t>HAVING REGARD to its own measure No. 27244 of June 27, 2018, with which it was established that the companies Radiotaxi 3570 - Società Cooperativa, Cooperativa Pronto Taxi 6645 - Società Cooperativa, and Samarcanda - Società Cooperativa have engaged in restrictive agreements of competition with reference to the provision, in the acts governing the relationships between the aforementioned companies and the affiliated taxi drivers, of clauses that identify specific non-competition obligations, which, taken together, are capable of producing anti-competitive effects by preventing or hindering the entry of new operators into the market;</w:t>
      </w:r>
    </w:p>
    <w:p>
      <w:r>
        <w:t>HAVING REGARD to letter b) of the device of the aforementioned measure, which orders the companies Radiotaxi 3570 - Società Cooperativa, Cooperativa Pronto Taxi 6645 - Società Cooperativa, and Samarcanda - Società Cooperativa to adopt, within one hundred and twenty days from the notification of this measure, suitable measures to eliminate the established infringement and to refrain in the future from engaging in behaviors similar to those subject to the infringement itself;</w:t>
      </w:r>
    </w:p>
    <w:p>
      <w:r>
        <w:t>HAVING REGARD to letter c) of the device of the aforementioned measure, which requests the companies Radiotaxi 3570 - Società Cooperativa, Cooperativa Pronto Taxi 6645 - Società Cooperativa, and Samarcanda - Società Cooperativa to inform the Authority of the initiatives taken to comply with what is requested by letter b) of the device, transmitting a specific written report within one hundred and twenty days from the notification of the measure;</w:t>
      </w:r>
    </w:p>
    <w:p>
      <w:r>
        <w:t>HAVING REGARD to the judgments of the Council of State, Section VI, No. 7991/2020 of December 14, 2020 and No. 8061/2020 of December 15, 2020;</w:t>
      </w:r>
    </w:p>
    <w:p>
      <w:r>
        <w:rPr>
          <w:b/>
        </w:rPr>
        <w:t>[Pages 58–60]</w:t>
      </w:r>
    </w:p>
    <w:p>
      <w:r>
        <w:t>60 BULLETIN NO. 1 OF JANUARY 7, 2025</w:t>
      </w:r>
    </w:p>
    <w:p>
      <w:r>
        <w:t>HAVING REGARD to its own measure No. 29969 of January 11, 2022, whereby it was resolved: a) that the behavior of Radiotaxi 3570 - Società Cooperativa, consisting in not having adopted any measures aimed at eliminating or reducing the scope of the non-competition clauses, as well as in the mere non-application of the aforementioned clauses, constitutes non-compliance with measure No. 27244 of June 27, 2018, in violation of Article 15, paragraph 2, of Law No. 287/1990; b) to impose on Radiotaxi 3570 - Società Cooperativa, for such behavior and for the reasons stated, an administrative pecuniary sanction of €21,000 (twenty-one thousand euros);</w:t>
      </w:r>
    </w:p>
    <w:p>
      <w:r>
        <w:t>HAVING REGARD to the ruling of the Lazio TAR, Section I, of March 20, 2023, No. 4769;</w:t>
      </w:r>
    </w:p>
    <w:p>
      <w:r>
        <w:t>HAVING REGARD to its own measure No. 31302 of July 30, 2024, whereby it was resolved: a) that the behavior of Radiotaxi 3570 - Società Cooperativa, consisting in not having adopted suitable measures to eliminate the infringement and in not having refrained from engaging in behaviors similar to those subject to the infringement, particularly not having modified the statutory and regulatory non-competition clauses with absolute scope within the terms indicated in the reasoning, constitutes non-compliance with measure No. 27244 of June 27, 2018, in violation of Article 15, paragraph 2, of Law No. 287/1990; b) to impose on Radiotaxi 3570 - Società Cooperativa, for such behavior and for the reasons stated, an administrative pecuniary sanction of €140,043.95 (one hundred forty thousand forty-three euros and ninety-five cents); c) to impose, for the reasons stated, a penalty of €214.40 (two hundred fourteen euros and forty cents) on Radiotaxi 3570 - Società Cooperativa for each day of delay in complying with the injunction referred to in measure No. 27244 of June 27, 2018, starting from the deadline of ninety days from the notification of this measure; d) that Radiotaxi 3570 - Società Cooperativa must submit, within sixty days from the notification of this measure, a written report on the measures it intends to adopt for compliance with measure No. 27244 of June 27, 2018;</w:t>
      </w:r>
    </w:p>
    <w:p>
      <w:r>
        <w:t>HAVING REGARD to the ruling of the Council of State, Section VI, of November 8, 2024, No. 8937, which confirmed the aforementioned ruling of the Lazio TAR No. 4769/2023, rejecting the appeal of Radiotaxi 3570 - Società Cooperativa against the Authority's measure No. 29969 of January 11, 2022, which had established the first non-compliance of Radiotaxi 3570 - Società Cooperativa;</w:t>
      </w:r>
    </w:p>
    <w:p>
      <w:r>
        <w:t>HAVING REGARD to the documents of the proceedings;</w:t>
      </w:r>
    </w:p>
    <w:p>
      <w:r>
        <w:t>CONSIDERING the following:</w:t>
      </w:r>
    </w:p>
    <w:p>
      <w:r>
        <w:t xml:space="preserve">I. PREMISE </w:t>
        <w:br/>
        <w:t>1. With measure No. 27244 of June 27, 2018 (hereinafter also "Measure"), confirmed by the Council of State with ruling No. 7991 of December 14, 2020 (hereinafter also "ruling of the Council of State" or "Ruling"), the Authority established that the companies Radiotaxi 3570 - Società Cooperativa, Cooperativa Pronto Taxi 6645 - Società Cooperativa, Samarcanda - Società Cooperativa have engaged in restrictive agreements regarding the provision, in the acts governing the relationships between the aforementioned companies and the participating taxi drivers, of clauses that identify specific non-competition obligations, which, taken together, are likely to produce anti-competitive effects by preventing or hindering the entry of competing businesses into the market for the provision of demand collection and dispatching services for the taxi service in the Municipality of Rome.</w:t>
      </w:r>
    </w:p>
    <w:p>
      <w:r>
        <w:t>2. With the same measure, the Parties were ordered to cease the behavior distorting competition and to refrain in the future from engaging in similar behaviors to those subject to the established infringement. In this regard, the transmission of a written report was prescribed in order to account to the Authority for the initiatives aimed at complying with the provisions.</w:t>
      </w:r>
    </w:p>
    <w:p>
      <w:r>
        <w:t>3. With measure No. 29969 of January 11, 2022, the Authority resolved that the behavior of Radiotaxi 3570 - Società Cooperativa (hereinafter also "Radiotaxi 3570"), consisting in not having adopted any measures aimed at eliminating or reducing the scope of the non-competition clauses, as well as in the mere non-application of the aforementioned clauses, constituted non-compliance with measure No. 27244/2018, in violation of Article 15, paragraph 2, of Law No. 287/1990, imposing on Radiotaxi 3570 an administrative pecuniary sanction of €21,000.</w:t>
      </w:r>
    </w:p>
    <w:p>
      <w:r>
        <w:t>4. Radiotaxi 3570 appealed to the Lazio TAR for the annulment of measure No. 29969/2022, which was fully rejected with ruling No. 4769 of March 20, 2023. The company appealed, which was likewise rejected by the Council of State with ruling No. 8937 of November 8, 2024, thus confirming the measure establishing the non-compliance of Radiotaxi 3570 - Società Cooperativa.</w:t>
      </w:r>
    </w:p>
    <w:p>
      <w:r>
        <w:t>5. Finally, with measure No. 31302 of July 30, 2024, notified on August 8, 2024, the Authority resolved that the behavior of Radiotaxi 3570, consisting of a modification of the statutory non-competition clause aimed at recognizing to the member taxi drivers only the possibility of accepting calls coming "from third-party platforms that have concluded interoperability agreements with the proprietary platform ItTaxi," constituted a continued non-compliance with measure No. 27244/2018, in violation of Article 15, paragraph 2, of Law No. 287/1990, imposing on the company, for such behavior, an administrative pecuniary sanction of €140,043.95. Furthermore, with the same measure, due to the persistent non-compliance of Radiotaxi 3570 - Società Cooperativa, a penalty of €214.40 was imposed on the company for each day of delay in complying with the injunction referred to in measure No. 27244/2018, starting from the deadline of ninety days from the notification of measure No. 31302/2024. Finally, the company was ordered to submit, within sixty days from the notification of measure No. 31302/2024, a written report on the measures it intended to adopt for compliance.</w:t>
      </w:r>
    </w:p>
    <w:p>
      <w:r>
        <w:t>6. Radiotaxi 3570 has appealed to the Lazio TAR for the annulment, pending suspension, of measure No. 31302/2024. At the hearing on November 20, 2024, the case was removed from the role.</w:t>
      </w:r>
    </w:p>
    <w:p>
      <w:r>
        <w:t>7. As of now, Radiotaxi 3570 has not sent the written report on the measures it intends to adopt for compliance with measure No. 27244/2018 referred to in letter d) of the device of measure No. 31302/2024, which the Authority was to receive by October 7, 2024; nor has it paid the administrative pecuniary sanction of €140,043.95 imposed by the aforementioned measure.</w:t>
      </w:r>
    </w:p>
    <w:p>
      <w:r>
        <w:t xml:space="preserve">II. THE PARTY </w:t>
        <w:br/>
        <w:t>8. Radiotaxi 3570 is the main radiotaxi management company in Rome by number of participating taxi drivers, totaling over 3,500. Radiotaxi 3570 is a service cooperative active in Rome since 1968 and offers its member taxi drivers, in addition to the radiotaxi service, the use of the itTaxi application, developed within the Union of Radiotaxi of Italy-URI, to which only radiotaxi managers can adhere and no more than one radiotaxi per city. In Rome, the company is, indeed, Radiotaxi 3570.</w:t>
      </w:r>
    </w:p>
    <w:p>
      <w:r>
        <w:t xml:space="preserve">III. EVALUATIONS </w:t>
        <w:br/>
        <w:t>9. Radiotaxi 3570 does not appear to have executed the prescriptions contained in the Authority's measure No. 27244/2018, having not submitted the written report on the measures adopted to comply with that measure, referred to in letter d) of the device of measure No. 31302/2024 by the deadline of October 7, 2024.</w:t>
      </w:r>
    </w:p>
    <w:p>
      <w:r>
        <w:t>10. In light of the above, it is necessary to contest to the Party the continued non-compliance with the Authority's measure No. 27244/2018. Following this proceeding, having established the non-compliance and its duration, the quantum of the penalty will also need to be defined, as indicated in letter c) of the device of measure No. 31302/2024, which the Party will be required to pay until it complies with the Authority's measure No. 27244/2018.</w:t>
      </w:r>
    </w:p>
    <w:p>
      <w:r>
        <w:t>11. Furthermore, following this proceeding, in the event of continued non-compliance, a new penalty may be imposed.</w:t>
      </w:r>
    </w:p>
    <w:p>
      <w:r>
        <w:t>12. Finally, it is noted that, pursuant to Article 15, paragraph 2, of Law No. 287 of 1990, in cases of repeated non-compliance, the Authority may order the suspension of business activity for up to thirty days.</w:t>
      </w:r>
    </w:p>
    <w:p>
      <w:r>
        <w:rPr>
          <w:b/>
        </w:rPr>
        <w:t>[Pages 61–63]</w:t>
      </w:r>
    </w:p>
    <w:p>
      <w:r>
        <w:t>BULLETIN NO. 1 OF JANUARY 7, 2025 63</w:t>
      </w:r>
    </w:p>
    <w:p>
      <w:r>
        <w:t>CONSIDERED, therefore, that the conduct of Radiotaxi 3570, consisting of failing to adopt measures suitable for eliminating the infringement and not refraining from engaging in behaviors similar to those subject to the infringement, may constitute, pursuant to Article 15, paragraphs 2 and 2-bis, of Law No. 287/1990, a persistent non-compliance with the warning issued pursuant to Article 15, paragraph 1, with measure No. 27244/2018;</w:t>
      </w:r>
    </w:p>
    <w:p>
      <w:r>
        <w:t>CONSIDERED, furthermore, necessary to define, within the framework of this proceeding, the amount of the penalty that Radiotaxi 3570 must pay in execution of letter c) of the decision of measure No. 31302/2024;</w:t>
      </w:r>
    </w:p>
    <w:p>
      <w:r>
        <w:t>RESOLVES</w:t>
        <w:br/>
        <w:t>a) to contest to Radiotaxi 3570 - Cooperative Society the violation referred to in Article 15, paragraph 2, of Law No. 287/1990 for repeated non-compliance with the Authority's measure of June 27, 2018, No. 27244;</w:t>
        <w:br/>
        <w:t>b) that the person responsible for the proceeding is Dr. Chiara de Mari;</w:t>
        <w:br/>
        <w:t>c) that the acts of the proceeding can be viewed at the Transport, Energy and Environment Directorate of the Competition Department - 2 of this Authority by the legal representatives of Radiotaxi 3570 - Cooperative Society, as well as by persons delegated by them;</w:t>
        <w:br/>
        <w:t>d) that, pursuant to Article 18, paragraph 1, of Law No. 689/1981, within thirty days from the notification of this measure, the interested parties may submit defensive writings and documents to the Authority and request to be heard;</w:t>
        <w:br/>
        <w:t>e) that the proceeding must be concluded within one hundred eighty days from the notification of this measure.</w:t>
      </w:r>
    </w:p>
    <w:p>
      <w:r>
        <w:t>This measure will be notified to the interested parties and published in the Bulletin of the Competition and Market Authority.</w:t>
      </w:r>
    </w:p>
    <w:p>
      <w:r>
        <w:t>THE SECRETARY GENERAL THE PRESIDENT</w:t>
        <w:br/>
        <w:t>Guido Stazi Roberto Rustichelli</w:t>
      </w:r>
    </w:p>
    <w:p>
      <w:r>
        <w:t>64 BULLETIN NO. 1 OF JANUARY 7, 2025</w:t>
      </w:r>
    </w:p>
    <w:p>
      <w:r>
        <w:t>I805H - PRICES OF CORRUGATED BOARD/REDETERMINATION OF SANCTION</w:t>
        <w:br/>
        <w:t>IMBALLAGGI PIEMONTESI</w:t>
        <w:br/>
        <w:t>Measure No. 31429</w:t>
        <w:br/>
        <w:t>THE COMPETITION AND MARKET AUTHORITY</w:t>
        <w:br/>
        <w:t>IN ITS MEETING of December 17, 2024;</w:t>
        <w:br/>
        <w:t>HEARD the Rapporteur, Professor Elisabetta Iossa;</w:t>
        <w:br/>
        <w:t>HAVING REGARD to Article 101 of the Treaty on the Functioning of the European Union (TFEU);</w:t>
        <w:br/>
        <w:t>HAVING REGARD to Council Regulation No. 1/2003 of December 16, 2002;</w:t>
        <w:br/>
        <w:t>HAVING REGARD to Law No. 287 of October 10, 1990;</w:t>
        <w:br/>
        <w:t>HAVING REGARD to Presidential Decree No. 217 of April 30, 1998;</w:t>
        <w:br/>
        <w:t>HAVING REGARD to its resolution of October 22, 2014, No. 25152, by which the "Guidelines on the methods of applying the criteria for quantifying administrative pecuniary sanctions imposed by the Authority in application of Article 15, paragraph 1, of Law No. 287/90" (hereinafter, briefly, "LG") were adopted;</w:t>
        <w:br/>
        <w:t>HAVING REGARD to its measure of July 17, 2019, No. 27849, by which the Authority established that the company Imballaggi Piemontesi S.r.l. and the companies Pro-Gest S.p.A., Cartonstrong Italia S.r.l., Ondulato Trevigiano S.r.l., Ondulati Maranello S.p.A., Plurionda S.p.A., Laveggia S.r.l., Scatolificio Laveggia S.p.A., Ondulati Santerno S.p.A., DS Smith Packaging Italia S.p.A., Smurfit Kappa Italia S.p.A., Innova Group Stabilimento di Caino S.r.l., Adda Ondulati Società per Azioni, Ondulati Nordest S.p.A., Ondulati ed Imballaggi del Friuli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Stabilimento di Caino S.r.l. is jointly attributed to Innova Group S.p.A;</w:t>
      </w:r>
    </w:p>
    <w:p>
      <w:r>
        <w:t>HAVING REGARD that, for participation in the aforementioned agreement in the market for sheets of corrugated cardboard, the company Imballaggi Piemontesi S.r.l. was fined 6,147,746 euros;</w:t>
      </w:r>
    </w:p>
    <w:p>
      <w:r>
        <w:t>HAVING REGARD to the ruling of the Council of State, Section VI, of March 1, 2023, No. 2118, which, in partial acceptance of the appeal filed by Imballaggi Piemontesi S.r.l. for the reform of the ruling of the Lazio TAR, Section I, No. 6052/2021, annulled the Measure only in the part relating to the determination of the sanction imposed on Imballaggi Piemontesi S.r.l.;</w:t>
      </w:r>
    </w:p>
    <w:p>
      <w:r>
        <w:t>HAVING REGARD, in particular, to the reasoning part of the ruling in which the Council of State considered that "the gap between the minimum percentage value of 15% of the coefficient in question and the maximum percentage value of the ceiling imposed by the regulation at 10% effectively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also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w:t>
      </w:r>
    </w:p>
    <w:p>
      <w:r>
        <w:t>CONSIDERED that the Council of State has entrusted the Authority to eliminate "such discrepancy [...] in the process of redefining the amounts of the sanctions considering the primary value of the provision of Article 15 of Law No. 287/90 by redefining the sanction - in this case indeed not of prohibitive amount - specifically motivating regarding its adequacy and proportionality, in order to possibly personalize it";</w:t>
      </w:r>
    </w:p>
    <w:p>
      <w:r>
        <w:t>HAVING REGARD to its measure of April 4, 2023, No. 30589, by which the proceeding I/805H was initiated, aimed at the redetermination of the sanction against the company Imballaggi Piemontesi S.r.l.;</w:t>
      </w:r>
    </w:p>
    <w:p>
      <w:r>
        <w:t>HAVING REGARD AND CONSIDERED what was noted by Imballaggi Piemontesi S.r.l. in the hearing before the Offices on June 5, 2023;</w:t>
      </w:r>
    </w:p>
    <w:p>
      <w:r>
        <w:t>HAVING REGARD to its measure of October 17, 2023, No. 30822 by which it was resolved to extend the deadline for concluding the proceeding to February 29, 2024;</w:t>
      </w:r>
    </w:p>
    <w:p>
      <w:r>
        <w:t>HAVING REGARD to the communication of the deadline for closing the investigative phase sent on November 3, 2023, by the Directorate for Cartels, Leniency and Whistleblowing to Imballaggi Piemontesi S.r.l., in which the methods for redetermining the sanction and the related quantification were illustrated, as well as setting December 15, 2023, as the closing date for the investigative phase related to case I/805H;</w:t>
      </w:r>
    </w:p>
    <w:p>
      <w:r>
        <w:t>HAVING REGARD AND CONSIDERED the memorandum of Imballaggi Piemontesi S.r.l. sent on December 15, 2023;</w:t>
      </w:r>
    </w:p>
    <w:p>
      <w:r>
        <w:t>HAVING REGARD to its measure of February 20, 2024, No. 31075 by which it was resolved to extend the deadline for concluding the proceeding to December 31, 2024, in light of the acceptance in a rescinding manner of one of the grounds for revocation raised by Imballaggi Piemontesi S.r.l. regarding the ruling of the Council of State, Section VI, of March 1, 2023, No. 2118 by the same Section VI, with a non-definitive ruling of January 5, 2024, No. 198;</w:t>
      </w:r>
    </w:p>
    <w:p>
      <w:r>
        <w:t>HAVING REGARD to the order of the Council of State, Section VI, of August 26, 2024, No. 7243 by which a preliminary question was referred to the Court of Justice of the European Union (CJEU) under Article 267 TFEU (Case C-588/24) in the context of the appeal for revocation raised by Imballaggi Piemontesi S.r.l. against the ruling of the Council of State, Section VI, of March 1, 2023, No. 2118;</w:t>
      </w:r>
    </w:p>
    <w:p>
      <w:r>
        <w:t>HAVING REGARD to all acts of the proceeding;</w:t>
      </w:r>
    </w:p>
    <w:p>
      <w:r>
        <w:t>CONSIDERED as follows:</w:t>
      </w:r>
    </w:p>
    <w:p>
      <w:r>
        <w:t>I. THE PARTY</w:t>
        <w:br/>
        <w:t>1. Imballaggi Piemontesi S.r.l. (hereinafter also Imballaggi Piemontesi, the Party or the Company) is a company active in the production and marketing of sheets and packaging in corrugated cardboard, through a single production site located in Caramagna Piemonte (CN). In 2018, the revenue generated by Imballaggi Piemontesi was approximately 61 million euros.</w:t>
      </w:r>
    </w:p>
    <w:p>
      <w:r>
        <w:t>1 The share capital of Imballaggi Piemontesi, at the time of the infringement assessment, was held by Sava S.r.l. (50%) and F.C.F. S.r.l. (50%).</w:t>
      </w:r>
    </w:p>
    <w:p>
      <w:r>
        <w:rPr>
          <w:b/>
        </w:rPr>
        <w:t>[Pages 64–66]</w:t>
      </w:r>
    </w:p>
    <w:p>
      <w:r>
        <w:t>66 BULLETIN NO. 1 OF JANUARY 7, 2025</w:t>
      </w:r>
    </w:p>
    <w:p>
      <w:r>
        <w:t>II. THE MEASURE AND THE JUDGMENT OF THE COUNCIL OF STATE</w:t>
      </w:r>
    </w:p>
    <w:p>
      <w:r>
        <w:t>2. The Authority, with the measure of July 17, 2019, No. 27849 (hereinafter also the Measure), found that the company Imballaggi Piemontesi S.r.l. and the companies Pro-Gest S.p.A., Cartonstrong Italia S.r.l., Ondulato Trevigiano S.r.l., Ondulati Maranello S.p.A., Plurionda S.p.A., Laveggia S.r.l., Scatolificio Laveggia S.p.A., Ondulati Santerno S.p.A., DS Smith Packaging Italia S.p.A., Smurfit Kappa Italia S.p.A., Innova Group Stabilimento di Caino S.r.l., Adda Ondulati Società per Azioni, Ondulati Nordest S.p.A., Ondulati ed Imballaggi del Friuli S.p.A., Ondulato Piceno S.r.l., ICOM S.p.A., Ondulati del Savio S.r.l., as well as the trade association Gruppo Italiano Fabbricanti Cartone Ondulato, have entered into an agreement with the object of restricting competition contrary to Article 101 TFEU, consisting of a single and complex agreement continued over time aimed at severely distorting competitive dynamics in the market for the production and marketing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Stabilimento di Caino S.r.l. is jointly attributed to Innova Group S.p.A..</w:t>
      </w:r>
    </w:p>
    <w:p>
      <w:r>
        <w:t>3. In particular, Imballaggi Piemontesi was subject to an administrative pecuniary sanction of 6,147,746 euros for participating in a single complex and ongoing agreement in the market for the production and marketing of sheets of corrugated cardboard.</w:t>
      </w:r>
    </w:p>
    <w:p>
      <w:r>
        <w:t>4. With judgment No. 2118 of March 1, 2023, the Council of State, Section VI, partially annulled the aforementioned measure closing case I/805 only in relation to the quantification of the sanction imposed on Imballaggi Piemontesi S.r.l. Specifically, the appellate judge considered, with reference to the gravity coefficient,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Therefore, the Council of State has entrusted the Authority to eliminate “such discrepancy […] in the process of redefining the amounts of the sanctions considering the primary value of the provision of Article 15 of Law No. 287/90 by redetermining the sanction – in this case indeed not of prohibitive amount - specifically justifying its adequacy and proportionality, in order to possibly personalize it.”</w:t>
      </w:r>
    </w:p>
    <w:p>
      <w:r>
        <w:t>III. THE INVESTIGATIVE ACTIVITY</w:t>
      </w:r>
    </w:p>
    <w:p>
      <w:r>
        <w:t>5. Following the judgment of the Council of State, Section VI, No. 2118 of March 1, 2023, the Authority, with decision of April 4, 2023, initiated the present proceeding for the redetermination of the administrative pecuniary sanction of 6,147,746 euros imposed on Imballaggi Piemontesi S.r.l. with the aforementioned Measure.</w:t>
      </w:r>
    </w:p>
    <w:p>
      <w:r>
        <w:t>6. In the sanction redetermination proceeding, Imballaggi Piemontesi exercised its right of defense requesting to be heard in a hearing. During the hearing held before the Offices on June 5, 2023, Imballaggi Piemontesi presented its assessments regarding the judgment of the Council of State mentioned above, as well as made some observations on the concrete modalities of application of the principles stated therein.</w:t>
      </w:r>
    </w:p>
    <w:p>
      <w:r>
        <w:t>7. Following the notification of the extension measure that took place on October 23, 2023, Imballaggi Piemontesi S.r.l. on October 31 transmitted a letter stating that Presidential Decree No. 217/1998 does not allow for extensions in the context of sanctioning proceedings.</w:t>
      </w:r>
    </w:p>
    <w:p>
      <w:r>
        <w:t>8. The Offices transmitted a letter in which the deadline for concluding the investigative phase was communicated to the Party on November 3, 2023 (hereinafter also “the letter”). In the same letter, the arguments for motivation requested by the Judge were provided, and an additional reduction of the sanction was proposed.</w:t>
      </w:r>
    </w:p>
    <w:p>
      <w:r>
        <w:t>9. In the letter, the general criteria for the redetermination of pecuniary sanctions were indeed illustrated. First of all, based on what was indicated by the Council of State in some appeal judgments related to the cartels established with the final Measure, the participation of the companies was distinguished based on their involvement “full, medium, or slight of each individual company involved.”</w:t>
      </w:r>
    </w:p>
    <w:p>
      <w:r>
        <w:t>10. To this end, the grading parameters adopted were the duration of participation and the application of point 34 for the “subjective” element of the sanction guidelines in the final Measure, thus outlining the level of participation:</w:t>
        <w:br/>
        <w:t>- full: Companies that played a primary role in the agreement, whose participation in the unlawful act had a greater potential impact on the markets, to which the reduction under point 34 of the sanction guidelines was therefore not applied. No reduction is recognized for these Companies;</w:t>
        <w:br/>
        <w:t>- medium: Companies subject to the reduction under point 34 cited; participation in agreements lasting three years or more and no mitigating circumstances (excluding the adoption of a compliance program). For these Companies, in addition to the confirmation of the level of reduction of 20% already identified in the final Measure, an additional deduction of 10% is added;</w:t>
        <w:br/>
        <w:t>- slight: Companies subject to the reduction under point 34 cited; participation in agreements lasting less than three years or beneficiaries of a mitigating circumstance (excluding the adoption of a compliance program). For these Companies, in addition to the confirmation of the level of reduction of 20% already identified in the final Measure, an additional deduction of 20% is added.</w:t>
      </w:r>
    </w:p>
    <w:p>
      <w:r>
        <w:t>11. Regarding the Companies subject to the sanction both for the agreement on sheets and for that on packaging, an additional reduction of 20% was added, always pursuant to point 34 of the sanction guidelines to be applied to the sanction to be imposed for participation in the cartel in the market for corrugated cardboard packaging. Furthermore, an additional 5% increase in the reduction under point 34 cited was applied to the sanction to be imposed for the cartel in the sheet market (equal to 15%), thus achieving an overall decrease of 20% for this agreement as well.</w:t>
      </w:r>
    </w:p>
    <w:p>
      <w:r>
        <w:t>12. Finally, in order to safeguard the effective functioning of the leniency program, an additional decrease was applied to the sanctions imposed on leniency applicants, pursuant to point 34 of the sanction guidelines.</w:t>
      </w:r>
    </w:p>
    <w:p>
      <w:r>
        <w:t>13. On December 15, 2023, Imballaggi Piemontesi transmitted a memorandum, in which it also requested a hearing before the Board, pursuant to Article 14, paragraph 5, of Presidential Decree No. 217/1998.</w:t>
      </w:r>
    </w:p>
    <w:p>
      <w:r>
        <w:t>14. By letter of March 7, 2024, the Authority communicated to the Party that it had decided in the meeting of February 20, 2024, to reject this request.</w:t>
      </w:r>
    </w:p>
    <w:p>
      <w:r>
        <w:t>IV. THE ARGUMENTS OF THE PARTY</w:t>
      </w:r>
    </w:p>
    <w:p>
      <w:r>
        <w:t>15. In the course of the present redetermination proceeding and in exercising its right of defense, for the purpose of evaluating the involvement in the agreement with a view to achieving a correct personalization of the sanction, the Party highlighted that: i) the agreement did not produce effects, as it did not change the modus operandi of the Company, especially regarding the formation of prices to be charged to customers; this would be confirmed by the presence of only one compensation action against the Company for antitrust damage, initiated by a customer who is also a competitor of the Party; ii) the Company did not participate in the production stoppages established by the Authority; iii) the CEO of Imballaggi Piemontesi participated only in sporadic and past meetings organized by GIFCO, while in other meetings an agent without representation of the Company would have attended (whose conduct would therefore not be attributable to the Party), of which there is no official trace, except in the statements of competing companies; iv) through official appraisals, the Company demonstrated that it has never used the so-called “Price List 2004” but only its own price lists showing the methodology with which negotiations with customers took place; v) the Company provided appropriate documentation demonstrating that prices remained stable after the dates of the alleged meetings (December 15, 2015, and July 6, 2016) or even decreased over time; vi) with specific reference to price negotiations, the Party emphasizes that customers are geographically close to the Company and that this determines a different management of relationships with them compared to the modus operandi of multinational and/or large companies; vii) the participation of Imballaggi Piemontesi would be limited to the period 2010-2016 and not to the period established by the Authority in the closing measure of the case (2004-2017), since the Party's participation in the first contested meeting would have been in 2010. Other aspects to consider would be, according to the Company, the timely adoption of an antitrust compliance program that is constantly updated and applied, total cooperation with the Authority, the marginal role of the Company in the agreement, and the absence of damages to customers. These elements would highlight a “null” participation of the Company in the contested agreement.</w:t>
      </w:r>
    </w:p>
    <w:p>
      <w:r>
        <w:t>16. Regarding the concrete implementation of the principles stated by the appellate judgment, the Company first observed that the balance sheet to be considered for the determination of the sanction would be that of 2016, closed before the initiation of the investigation, and not that of 2018. Furthermore, for the purpose of calculating the maximum penalty, the Party believed that the Authority should consider only the revenue generated in the sheet market, as the Company was excluded from the agreement on packaging.</w:t>
      </w:r>
    </w:p>
    <w:p>
      <w:r>
        <w:t>17. The Party then recalled two solutions, adopted in Spain and Germany, which could be implemented as benchmarks for the concrete application of the principles of personalization and differentiation of the sanction. In particular, with reference to the case dealt with in: i) Germany, the Party emphasized how German jurisprudence has deemed that the 10% limit must apply at all stages of the calculation of the sanction; this principle has been outlined in the guidelines on sanctions adopted in Germany in 2021, which establish</w:t>
      </w:r>
    </w:p>
    <w:p>
      <w:r>
        <w:rPr>
          <w:b/>
        </w:rPr>
        <w:t>[Pages 67–69]</w:t>
      </w:r>
    </w:p>
    <w:p>
      <w:r>
        <w:t>BULLETIN NO. 1 OF JANUARY 7, 2025 69</w:t>
      </w:r>
    </w:p>
    <w:p>
      <w:r>
        <w:t>a base sanction amount equal to 5% of global turnover, thus leaving a margin to customize the sanction based on mitigating and aggravating circumstances; ii) Spain, the Party noted that the jurisprudence has held that the sanctioning treatment must be reasonably understood between 0% and 10% of global turnover and calibrated based on a plurality of factors such as conduct, turnover, benefits obtained, market share, and aggravating and mitigating circumstances. The Party finally specified that in the Spanish case, concerning a company very similar to Imballaggi Piemontesi in terms of generated turnover and company size, the sanction was 2.75% of the value of the sales subject to infringement.</w:t>
      </w:r>
    </w:p>
    <w:p>
      <w:r>
        <w:t>18. In the letter of October 31, 2023, Imballaggi Piemontesi, on one hand, represented that Presidential Decree No. 217/1998 does not allow for extensions in sanctioning proceedings and, on the other hand, highlighted how the fact that the ruling of the Council of State No. 2118/2023 is currently subject to a review judgment before the same jurisdictional body (R.G. No. 5182/2023) should lead the Authority to refrain from adopting further determinations regarding the proceeding involving it.</w:t>
      </w:r>
    </w:p>
    <w:p>
      <w:r>
        <w:t>V. EVALUATIONS AND REDETERMINATION OF THE SANCTION</w:t>
      </w:r>
    </w:p>
    <w:p>
      <w:r>
        <w:t>V.I. Preliminary Observations</w:t>
      </w:r>
    </w:p>
    <w:p>
      <w:r>
        <w:t>19. First of all, regarding the pending review judgment against the ruling of the Council of State from which this redetermination proceeding arises, in response to the observations raised by the Party in the letter of October 31, 2023, and partially recalled in the subsequent memorandum of December 15, 2023, it should be clarified that the circumstance of the current pendency of the review judgment before the Council of State, also considering the intervening preliminary ruling under Article 267 TFEU, does not preclude the Authority from proceeding with the redetermination of the sanction, given the Judge's order to redefine the sanction based on the indications provided in ruling No. 2118/2023.</w:t>
      </w:r>
    </w:p>
    <w:p>
      <w:r>
        <w:t>20. Furthermore, all arguments and observations of the Party aimed at questioning the Authority's findings on the existence of the infringement and the Company's responsibility for it must be rejected.</w:t>
      </w:r>
    </w:p>
    <w:p>
      <w:r>
        <w:t>21. In fact, the appellate ruling confirmed the merits of the findings made by the Authority, limiting its criticisms to the proportionality of the sanction imposed on the Party, requesting that it be adjusted according to the Company's involvement in the established infringement based on the indications provided in the ruling itself.</w:t>
      </w:r>
    </w:p>
    <w:p>
      <w:r>
        <w:t>22. Consequently, the assessment of the agreement in terms of material, personal, and temporal aspects has not been subject to review by the appellate ruling, thus fully confirming the scope of the findings and the responsibility for the infringement as outlined in the Measure.</w:t>
      </w:r>
    </w:p>
    <w:p>
      <w:r>
        <w:t>23. Nor can the evidence used by the Authority to substantiate the findings against the Company be reassessed at this stage. The administrative judge has indeed deemed such elements suitable and sufficient to prove the infringement in all its aspects, as well as the Party's responsibility for it.</w:t>
      </w:r>
    </w:p>
    <w:p>
      <w:r>
        <w:t>24. Similarly, the aforementioned ruling did not question the elements used by the Authority for the purpose of measuring the sanction and their quantification within the definition of the sanctioning treatment, but exclusively requested the Authority to redetermine the amount of the sanction in compliance with the principles of adequacy and proportionality, in order to potentially customize it.</w:t>
      </w:r>
    </w:p>
    <w:p>
      <w:r>
        <w:t>25. That said, in response to the exceptions raised by the Party, most recently specified in the memorandum of December 15, 2023, it is noted that the evaluations regarding the simultaneous existence of the dimensions of the companies and the circumstance of not having played a primary or leading role in the collusion have already been made in the final Measure, including: Gruppo Innova, Ondulati e Imballaggi del Friuli, Adda Ondulati, Ondulato Piceno, ICOM, and Ondulati del Savio (§ 508 Measure I805). Therefore, only based on these evaluations, undisputed by the administrative Judge, is it deemed appropriate to carry out the requested customization and differentiation of the sanction. Furthermore, it would exceed the scope of the judgment to make considerations regarding the effects of the agreements, being in the presence of an assessment of horizontal agreements, of a secret nature and restrictive of competition by object (§ 476 Final Measure).</w:t>
      </w:r>
    </w:p>
    <w:p>
      <w:r>
        <w:t>26. Nor can the circumstance that a specific reduction coefficient is applied to vertically integrated companies be considered paradoxical, in light of the specific provisions of the rulings concerning such companies, in which it is the Judge himself who requests the Authority to reassess the overall sanction, believing that "the calculation criterion for the sanction based on the so-called material accumulation, characterized by a certain automatism, if generally adoptable, does not comply with the principle of proportionality, at least in cases, such as the one at hand, in which the conduct attributed, affecting interconnected markets, can be regarded as continuous (apart from subiects), and the configuration of a dual offense depended solely on the circumstance, entirely extrinsic to the sanctioned company, of the failure to prove that all other economic operators involved shared the common objective. And indeed, the College believes that in such cases, the penal institution of continuation, although not directly applicable to antitrust sanctions, should nonetheless guide the Authority's action in determining the applicable monetary penalty, remaining the material accumulation the maximum limit - among other things more favorable than the penal limit - but operating a proportional increase on the aforementioned maximum of 10% [...] Consequently, the Authority must proceed to redetermine the amount of the two sanctions in accordance with the stated principle, ensuring that their overall amount remains, in any case, exceeding the maximum limit of 10% of the company's global turnover, in an amount greater but proportional to the interconnection of the two different agreements" (Council of State, section VI, ruling No. 1159 of February 2, 2023).</w:t>
      </w:r>
    </w:p>
    <w:p>
      <w:r>
        <w:t>27. Furthermore, the Party's exception that the redetermination should be carried out along the lines of the methodology implemented by Spanish and German jurisprudence appears to lack merit. In fact, the appellate ruling did not criticize the sanctioning process identified by the sanction guidelines, but solely requested the Authority to consider the specific circumstances of the concrete case to recalibrate the reduction percentages starting from the amounts of the fines originally imposed.</w:t>
      </w:r>
    </w:p>
    <w:p>
      <w:r>
        <w:t>28. In response to the observations regarding the balance to be considered, reference is made to paragraph 492 of the Measure, in the part where it specifies that for the calculation of the base amount of the sanction, reference should be made "to the last full year of participation in the infringement (and thus in 2016, since the infringement is considered to have ceased for all parties in March 2017)," in line with what is provided for in Article 15, paragraph 1-bis, of Law No. 287/1990 and point 8 of the sanction guidelines. Furthermore, with reference to the maximum limit, paragraph 503 is recalled, where it refers to Article 15 of Law No. 287/1990, for which the ceiling of 10% must be measured against the company's global turnover (and, therefore, not only the sheets) calculated in the last financial year closed prior to the notification of the warning, which - in this case - is precisely 2018, as the Measure was notified in 2019.</w:t>
      </w:r>
    </w:p>
    <w:p>
      <w:r>
        <w:t>29. Regarding the exception of Imballaggi Piemontesi raised in the aforementioned letter of October 31, that Presidential Decree No. 217/1998 does not allow for extensions in sanctioning proceedings, pending the ruling of the CJEU in the context of the aforementioned preliminary ruling, it is noted that the Regulation on investigative procedures in competition matters under Presidential Decree No. 217/1998 does not identify a peremptory deadline for the conclusion of the procedure. Article 6, paragraph 3, of Presidential Decree No. 217/1998 instead provides that the measure initiating the investigation must indicate the deadline for the conclusion of the procedure, without however qualifying it as peremptory. The peremptoriness of the deadline, moreover, has been consistently excluded by national jurisprudence as well as - with regard to similar assessment procedures conducted by the European Commission - by the Courts of the Union.</w:t>
      </w:r>
    </w:p>
    <w:p>
      <w:r>
        <w:t>30. Consequently, as the Authority has the power to self-determine on a case-by-case basis the time frame necessary for the conclusion of the procedure, it also has the power to redetermine its duration during the assessment, provided that this occurs before the expiration of the deadline and with a suitably motivated act, as indeed happened in this case.</w:t>
      </w:r>
    </w:p>
    <w:p>
      <w:r>
        <w:t>V.II. The Redetermination of the Sanction</w:t>
      </w:r>
    </w:p>
    <w:p>
      <w:r>
        <w:t>a) General Criteria</w:t>
      </w:r>
    </w:p>
    <w:p>
      <w:r>
        <w:t>31. Before delving into the merits of the redetermination of the sanctions imposed on the Company, it should be highlighted that the procedure under discussion constitutes a completely exceptional situation in which many of the companies involved participated in two certainly distinct but intimately connected agreements, as highlighted by the same Council of State where it emphasizes that "the configuration of a dual offense depended solely on the circumstance, entirely extrinsic to the sanctioned company, of the failure to prove that all other economic operators involved shared the common objective" (ruling No. 1159 of February 2, 2023).</w:t>
      </w:r>
    </w:p>
    <w:p>
      <w:r>
        <w:t>32. This peculiar circumstance led the Council of State to take a precise position regarding the proportionality of the overall sanctioning treatment reserved by the Authority to the companies involved in both agreements, translated into the indications contained in the aforementioned Ruling and recalled in the preceding paragraphs, according to which - essentially - the accumulation of sanctions in this case should be more oriented towards the "actual responsibilities" of the individual company (i.e., the relative degree of participation) settling on amounts more in line with the maximum limit referred to in Article 15 of Law No. 287/1990, ensuring that "their overall amount remains, in any case, exceeding the maximum limit of 10% of the company's global turnover, in an amount greater but proportional to the interconnection [...] of the two different agreements" (ruling No. 1159 of February 2, 2023).</w:t>
      </w:r>
    </w:p>
    <w:p>
      <w:r>
        <w:t>33. The Council of State, moreover, referring also to the companies that participated in only one of the established agreements, requested a reassessment of the proportionality of the sanctions imposed in this case that takes into account the actual involvement of the authors of the unlawful conduct.</w:t>
      </w:r>
    </w:p>
    <w:p>
      <w:r>
        <w:t>34. The amounts of the fines originally imposed will therefore need to be redefined for this case based on such indications.</w:t>
      </w:r>
    </w:p>
    <w:p>
      <w:r>
        <w:t>35. In order to comply with the Judge's indications, the percentages of reduction will therefore be recalibrated in accordance with point 34 of the sanction guidelines, remaining understood that - taking into account the observations made above, as well as the arguments of the Party - all the elements used for the quantification of the sanction in the case closure measure must be confirmed.</w:t>
      </w:r>
    </w:p>
    <w:p>
      <w:r>
        <w:rPr>
          <w:b/>
        </w:rPr>
        <w:t>[Pages 70–72]</w:t>
      </w:r>
    </w:p>
    <w:p>
      <w:r>
        <w:t>BULLETIN NO. 1 OF JANUARY 7, 2025</w:t>
        <w:br/>
        <w:t>I/805 (specifically: sales value, gravity coefficient, duration of the infringement, any mitigating or aggravating circumstances).</w:t>
        <w:br/>
        <w:t>36. In this context, it is deemed useful, based on what has been indicated by the Council of State in some appeal judgments related to the same cartel9, to distinguish the participation of companies based on their involvement as "full, medium, or slight." This differentiation will allow for the modulation of the sanctioning treatment of each company in relation to the infringements for which they have been held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limits or otherwise particularly high in relation to the turnover achieved in the relevant market.</w:t>
        <w:br/>
        <w:t>37. That said, the fundamental parameter for inclusion in the "slight" and "medium" involvement levels is that the Companies have been recognized as having a non-primary role in the agreement and that their participation had a potentially lesser impact on the markets. These elements determined – in the Measure - the application of the so-called "subjective" reduction of 20% pursuant to point 34 of the LG sanctions10.</w:t>
        <w:br/>
        <w:t>38. Consequently, for the purpose of recalculating the sanctioning treatment, the "full" involvement of the Companies is confirmed, to which – having played a primary role in the agreement and in light of the greater potential impact on the markets of their participation in the unlawful act - the reduction under point 34 of the LG sanctions was not applied.</w:t>
        <w:br/>
        <w:t>39. For the Parties to which the aforementioned reduction has been recognized, the involvement in the anticompetitive conduct will be distinguished between slight and medium.</w:t>
        <w:br/>
        <w:t>40. The involvement of the Companies whose participation in the agreements lasted less than three years or to which a mitigating circumstance has been recognized, except for that related to the adoption of an antitrust compliance program, will therefore be considered slight. In this regard, also in response to the Parties' objections, it is specified that the Council of State has requested that the sanction be adjusted taking into account the degree of involvement of each individual company responsible for the established antitrust infringement. For the record, it is noted that the Company benefited from a reduction of the base amount of the sanction equal to 5%, due to the timely introduction of an antitrust compliance program after the initiation of the investigation procedure, and an additional reduction does not appear reasonable, considering the limited effectiveness of the adopted program, which did not lead the Company - in light of its unlawful conduct - to submit a leniency application regarding the cartel in question, fully cooperating with the Authority during the investigation.</w:t>
        <w:br/>
        <w:t>41. Conversely, medium involvement in the perpetration of the agreement includes those Companies that have adhered for a period equal to or greater than three years and that have not benefited from any mitigating circumstances, excluding for the same reasons mentioned above that granted in relation to compliance programs.</w:t>
        <w:br/>
        <w:t>42. The table below summarizes the division into levels of involvement.</w:t>
        <w:br/>
        <w:t>9 See Council of State, judgments of January 19, 2023, No. 671 and January 20, 2023, No. 688, 690, 691.</w:t>
        <w:br/>
        <w:t>10 In the Measure, a so-called "subjective" reduction was attributed for the agreement in the sheet market to those companies that "due to their size and the circumstance of not having played a primary or leading role in the concertation" (§ 508 measure), while for the agreement in the packaging market, this reduction was attributed to companies for which "due to either their small size or the more limited scope of commercialization of the products, participation in the agreement potentially had a lesser impact on the markets" (§ 527 measure).</w:t>
      </w:r>
    </w:p>
    <w:p>
      <w:r>
        <w:t>BULLETIN NO. 1 OF JANUARY 7, 2025</w:t>
        <w:br/>
        <w:t>Involvement Level Art. 34 Subjective Duration/mitigating</w:t>
        <w:br/>
        <w:t>Slight Yes &lt; 3 years or at least one mitigating circumstance</w:t>
        <w:br/>
        <w:t>Medium Yes ≥ 3 years</w:t>
        <w:br/>
        <w:t>Full No ≥ 3 years</w:t>
        <w:br/>
        <w:t>43. Regarding the recalculation of the sanction, the 20% reduction under point 34 cited is confirmed for the Companies falling within the slight and medium levels. Furthermore, an additional deduction is attributed to the Parties classified in these levels pursuant to point 34 of the LG compared to what has already been recognized in the Measure, calculated on the threshold referred to in Article 15, paragraph 1-bis, Law 287/1990, as illustrated in the following table.</w:t>
        <w:br/>
        <w:t>Deduction under point 34 subject. Additional Deduction</w:t>
        <w:br/>
        <w:t>Level Total Deduction</w:t>
        <w:br/>
        <w:t>(Measure) (Recalculation)</w:t>
        <w:br/>
        <w:t>Slight 20% 20% 40%</w:t>
        <w:br/>
        <w:t>Medium 20% 10% 30%</w:t>
        <w:br/>
        <w:t>Full 0% 0% 0%</w:t>
        <w:br/>
        <w:t>44. The levels of reductions are deemed appropriate in light of the seriousness of the infringement committed by the companies, as cartels are among the most serious violations of competition rules. Greater reduction levels would risk depriving the sanction of its deterrent force and nullifying the general and special preventive function of the sanctioning treatment for these types of very serious infringements.</w:t>
        <w:br/>
        <w:t>45. Finally, for the companies that participated in both cartels and to which a sanctioning treatment has been applied for each infringement, the legitimacy of which has been confirmed by the Council of State, it is necessary to proceed – following the Judge's indications - with an additional corrective measure, in order to ensure the proportionality of the overall sanctioning treatment in light of the accumulation of the two imposed sanctions.</w:t>
        <w:br/>
        <w:t>46. This circumstance had already been considered by the Authority in the Measure, where these companies were recognized for the only sanction imposed for the sheet cartel a reduction of 15% pursuant to point 34 of the LG sanctions (so-called reduction for objective element). In fact, in §§ 509 and 510 of the Measure, it is stated: “the agreement in question [i.e., that in the sheet market] is characterized by the fact that it concerns a market, such as that of the production and marketing of corrugated cardboard sheets, which is upstream of the broader supply chain that includes downstream the production and marketing of packaging obtained from the transformation of said sheets, on which often the same companies or the same corporate groups operate. This means that, for some integrated subjects, due to the ascertainment of their participation in an agreement in this second market, sanctions will be applied both in the upstream market of the sheet and in the downstream market of packaging, with a possible disproportionate effect of the overall sanction imposed compared to its deterrent purpose. In this sense, it is deemed appropriate to apply to these subjects (namely Smurfit Kappa, Progest group, DS Smith group, Laveggia group, Innova, Ondulati and Imballaggi del Friuli, Ondulato Piceno, and ICOM) a percentage reduction of 15% of the value of the sanction applied for the sheet agreement.”</w:t>
      </w:r>
    </w:p>
    <w:p>
      <w:r>
        <w:t>BULLETIN NO. 1 OF JANUARY 7, 2025</w:t>
        <w:br/>
        <w:t>47. The appellate judge, however, deemed the corrective measure identified by the Authority insufficient to restore a correct proportionality of the overall sanctioning treatment.</w:t>
        <w:br/>
        <w:t>48. It is therefore deemed appropriate to attribute to the companies that receive a dual sanctioning treatment, for having participated in both cartels established by the Authority with the Measure, an additional reduction of 20% always pursuant to point 34 of the LG sanctions to be applied to the sanction to be imposed for participation in the cartel in the corrugated cardboard packaging market. Furthermore, an additional 5% increase is applied to the reduction under point 34 cited already applied to the sanction to be imposed for the cartel in the corrugated cardboard sheet market (equal to 15%), so as to achieve an overall reduction of 20% for this agreement as well.</w:t>
        <w:br/>
        <w:t>49. Finally, in order to safeguard the effective functioning of the leniency program, an additional decrease is applied to the sanctions imposed on leniency applicants, pursuant to point 34 of the LG.</w:t>
        <w:br/>
        <w:t>b) The recalculation of the sanction for Imballaggi Piemontesi S.r.l.</w:t>
        <w:br/>
        <w:t>50. Applying the evaluative framework outlined above to the specific case, it is deemed that the level of the Company's participation in the infringement must be considered full.</w:t>
        <w:br/>
        <w:t>51. In fact, this Company did not receive the so-called "subjective" reduction under point 34 of the LG sanctions and participated in the unlawful agreement for the entire duration of the cartel (13.16 years).</w:t>
        <w:br/>
        <w:t>52. Therefore, it is confirmed that the sanction to be applied to Imballaggi Piemontesi S.r.l. for participation in the agreement in the market for the production and sale of corrugated cardboard sheets amounts to 6,147,746 euros, corresponding to 10% of the Company's total turnover and, therefore, within the limits of the maximum statutory penalty.</w:t>
        <w:br/>
        <w:t>53. In conclusion, in compliance with the judgment of the Council of State, it is deemed appropriate to recalculate the sanction in the amount of 6,147,746 euros.</w:t>
        <w:br/>
        <w:t>All of the above having been stated and considered;</w:t>
        <w:br/>
        <w:t>THEREFORE, IN COMPLIANCE with the aforementioned judgment of the Council of State, it is deemed appropriate to quantify the sanction to be imposed on Imballaggi Piemontesi S.r.l. for the established violation in the amount of 6,147,746 € (six million one hundred forty-seven thousand seven hundred forty-six euros);</w:t>
        <w:br/>
        <w:t>RESOLVES</w:t>
        <w:br/>
        <w:t>to impose on the company Imballaggi Piemontesi S.r.l. the administrative pecuniary sanction for the behaviors attributed to it in the Authority's measure No. 27849 of July 17, 2019, amounting to 6,147,746 euros (six million one hundred forty-seven thousand seven hundred forty-six euros);</w:t>
        <w:br/>
        <w:t>The administrative pecuniary sanction and the corresponding interest pursuant to Article 1282 of the Civil Code, calculated at the legal rate starting from the original due date of the payment of the sanction and until the date of publication of the aforementioned judgment of the Council of State No. 2118/2023, must be paid within thirty days from the notification of this measure, using the tax codes indicated in the attached model F24 with identifying elements, pursuant to Legislative Decree No. 241/1997.</w:t>
        <w:br/>
        <w:t>Payment must be made electronically with a debit from one's bank or postal account, through the home banking and CBI services provided by banks or</w:t>
      </w:r>
    </w:p>
    <w:p>
      <w:r>
        <w:rPr>
          <w:b/>
        </w:rPr>
        <w:t>[Pages 73–75]</w:t>
      </w:r>
    </w:p>
    <w:p>
      <w:r>
        <w:t>BULLETIN NO. 1 OF JANUARY 7, 2025 75</w:t>
      </w:r>
    </w:p>
    <w:p>
      <w:r>
        <w:t>by Poste Italiane S.p.A., or by using the telematic services of the Revenue Agency, available on the website www.agenziaentrate.gov.it.</w:t>
      </w:r>
    </w:p>
    <w:p>
      <w:r>
        <w:t>Immediate communication of the payment must be given to the Authority, by sending a copy of the form certifying the payment made.</w:t>
      </w:r>
    </w:p>
    <w:p>
      <w:r>
        <w:t>In the absence of payment of the fine by the same date,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fine is increased by one-tenth for each semester starting from the day following the payment deadline until the date on which the role is transmitted to the collection agent. In this case, the increase absorbs the late payment interest accrued during the same period.</w:t>
      </w:r>
    </w:p>
    <w:p>
      <w:r>
        <w:t>Against this measure, an appeal may be submitted to the TAR of Lazio, pursuant to Article 135, paragraph 1, letter b), of the Code of Administrative Procedure (Legislative Decree No. 104 of July 2, 2010),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measure itself.</w:t>
      </w:r>
    </w:p>
    <w:p>
      <w:r>
        <w:t>This measure will be notified to the interested party and published in the Bulletin of the Competition and Market Authority.</w:t>
      </w:r>
    </w:p>
    <w:p>
      <w:r>
        <w:t xml:space="preserve">THE SECRETARY GENERAL THE PRESIDENT </w:t>
        <w:br/>
        <w:t>Guido Stazi Roberto Rustichelli</w:t>
      </w:r>
    </w:p>
    <w:p>
      <w:r>
        <w:t>76 BULLETIN NO. 1 OF JANUARY 7, 2025</w:t>
      </w:r>
    </w:p>
    <w:p>
      <w:r>
        <w:t xml:space="preserve">I864 - PRICE OF BIOFUEL FOR ROAD TRANSPORT </w:t>
        <w:br/>
        <w:t xml:space="preserve">Measure No. 31430 </w:t>
        <w:br/>
        <w:t xml:space="preserve">THE COMPETITION AND MARKET AUTHORITY </w:t>
        <w:br/>
        <w:t xml:space="preserve">IN ITS MEETING of December 17, 2024; </w:t>
        <w:br/>
        <w:t xml:space="preserve">HEARD the Rapporteur, Professor Elisabetta Iossa; </w:t>
        <w:br/>
        <w:t xml:space="preserve">HAVING REGARD to Article 101 of the Treaty on the Functioning of the European Union (TFEU); </w:t>
        <w:br/>
        <w:t xml:space="preserve">HAVING REGARD to Regulation (EC) No. 1/2003 of the Council of the European Union of December 16, 2002; </w:t>
        <w:br/>
        <w:t xml:space="preserve">HAVING REGARD to Law No. 287 of October 10, 1990; </w:t>
        <w:br/>
        <w:t xml:space="preserve">HAVING REGARD to Presidential Decree No. 217 of April 30, 1998; </w:t>
        <w:br/>
        <w:t xml:space="preserve">HAVING REGARD to its resolution adopted on July 11, 2023, by which an investigation was initiated, pursuant to Article 14 of Law No. 287/1990, against the companies ENI S.p.A., Esso Italiana S.r.l., Saras S.p.A., Kuwait Petroleum Italia S.p.A., Tamoil Italia S.p.A. (also with reference to the activities carried out by Repsol Italia S.p.A.), Italiana Petroli S.p.A. and Iplom S.p.A. to ascertain the existence of violations of Article 101 TFEU; </w:t>
        <w:br/>
        <w:t xml:space="preserve">HAVING REGARD to the acts of the proceeding; </w:t>
        <w:br/>
        <w:t xml:space="preserve">CONSIDERING the complexity of the case under analysis, also due to the abundance of documentation acquired in the records, with particular regard to the substantial volume and articulation of the documents recently acquired, the high number of parties involved, and the multiplicity of behaviors to be examined; </w:t>
        <w:br/>
        <w:t xml:space="preserve">THEREFORE CONSIDERING the necessity to thoroughly process the information contained in the overall documentation acquired in the records of the Proceeding; </w:t>
        <w:br/>
        <w:t xml:space="preserve">THEREFORE DEEMING it necessary to extend the deadline for the conclusion of the proceeding, currently set for December 31, 2024; </w:t>
        <w:br/>
        <w:t xml:space="preserve">RESOLVES </w:t>
        <w:br/>
        <w:t>to extend the deadline for the conclusion of the proceeding to July 1, 2025.</w:t>
      </w:r>
    </w:p>
    <w:p>
      <w:r>
        <w:t>This measure will be notified to the interested parties and published in the Bulletin of the Competition and Market Authority.</w:t>
      </w:r>
    </w:p>
    <w:p>
      <w:r>
        <w:t xml:space="preserve">THE SECRETARY GENERAL THE PRESIDENT </w:t>
        <w:br/>
        <w:t>Guido Stazi Roberto Rustichelli</w:t>
      </w:r>
    </w:p>
    <w:p>
      <w:r>
        <w:t>BULLETIN NO. 1 OF JANUARY 7, 2025 77</w:t>
      </w:r>
    </w:p>
    <w:p>
      <w:r>
        <w:t xml:space="preserve">I867 - INCREASES IN HOLLOW GLASS PRICES </w:t>
        <w:br/>
        <w:t xml:space="preserve">Measure No. 31431 </w:t>
        <w:br/>
        <w:t xml:space="preserve">THE COMPETITION AND MARKET AUTHORITY </w:t>
        <w:br/>
        <w:t xml:space="preserve">IN ITS MEETING of December 17, 2024; </w:t>
        <w:br/>
        <w:t xml:space="preserve">HEARD the Rapporteur, Professor Elisabetta Iossa; </w:t>
        <w:br/>
        <w:t xml:space="preserve">HAVING REGARD to Article 101 of the Treaty on the Functioning of the European Union (TFEU); </w:t>
        <w:br/>
        <w:t xml:space="preserve">HAVING REGARD to Regulation (EC) No. 1/2003 of the Council of the European Union of December 16, 2002; </w:t>
        <w:br/>
        <w:t xml:space="preserve">HAVING REGARD to Law No. 287 of October 10, 1990, and subsequent amendments; </w:t>
        <w:br/>
        <w:t xml:space="preserve">HAVING REGARD to Presidential Decree No. 217 of April 30, 1998; </w:t>
        <w:br/>
        <w:t xml:space="preserve">HAVING REGARD to its own measure of October 31, 2023, No. 30847, by which an investigation was initiated, pursuant to Article 14 of Law No. 287/1990, against the companies Berlin Packaging Italy S.p.A., Bormioli Luigi S.p.A., O-I Italy S.p.A., Verallia Italia S.p.A., Vetreria Cooperativa Piegarese Società Cooperativa, Vetreria Etrusca S.p.A., Vetri Speciali S.p.A., Vetropack Italia S.r.l. and Zignago Vetro S.p.A., to ascertain the existence of violations of Article 101, paragraph 1, TFEU; </w:t>
        <w:br/>
        <w:t xml:space="preserve">HAVING REGARD to the acts of the proceeding and, in particular, the elements acquired during the inspections carried out, pursuant to Article 14, paragraph 2-quater, of Law No. 287/1990, on April 10, 2024, at the premises of the companies Berlin Packaging Italy S.p.A., Bormioli Luigi S.p.A., O-I Italy S.p.A., Verallia Italia S.p.A., Vetreria Cooperativa Piegarese Società Cooperativa, Vetreria Etrusca S.p.A., Vetri Speciali S.p.A., Vetropack Italia S.r.l. and Zignago Vetro S.p.A.; </w:t>
        <w:br/>
        <w:t xml:space="preserve">HAVING REGARD to the deadline for the conclusion of the proceeding set for December 31, 2024 in the initiation measure of October 31, 2023, No. 30847; </w:t>
        <w:br/>
        <w:t xml:space="preserve">CONSIDERING the complexity of the case under analysis also due to the abundance of documentation acquired in the records, the high number of parties involved, and the multiplicity of behaviors to be examined; </w:t>
        <w:br/>
        <w:t xml:space="preserve">FURTHER CONSIDERING the necessity to thoroughly process the information contained in the acquired documentation, while ensuring, at the same time, the broad exercise of the right of defense for the parties in the proceeding and the full unfolding of the adversarial process; </w:t>
        <w:br/>
        <w:t xml:space="preserve">THEREFORE DEEMING it necessary to extend the deadline for the conclusion of the proceeding, currently set for December 31, 2024; </w:t>
        <w:br/>
        <w:t xml:space="preserve">RESOLVES </w:t>
        <w:br/>
        <w:t>to extend the deadline for the conclusion of the proceeding to December 31, 2025.</w:t>
      </w:r>
    </w:p>
    <w:p>
      <w:r>
        <w:rPr>
          <w:b/>
        </w:rPr>
        <w:t>[Pages 76–78]</w:t>
      </w:r>
    </w:p>
    <w:p>
      <w:r>
        <w:t>78 BULLETIN NO. 1 OF JANUARY 7, 2025</w:t>
      </w:r>
    </w:p>
    <w:p>
      <w:r>
        <w:t>This measure will be notified to the interested parties and published in the Bulletin of the Competition and Market Authority.</w:t>
      </w:r>
    </w:p>
    <w:p>
      <w:r>
        <w:t>THE SECRETARY GENERAL THE PRESIDENT</w:t>
        <w:br/>
        <w:t>Guido Stazi Roberto Rustichelli</w:t>
      </w:r>
    </w:p>
    <w:p>
      <w:r>
        <w:t>BULLETIN NO. 1 OF JANUARY 7, 2025 79</w:t>
      </w:r>
    </w:p>
    <w:p>
      <w:r>
        <w:t>CONCENTRATION OPERATIONS</w:t>
        <w:br/>
        <w:t>C12667 - PAC2000A/BRANCHES OF DOC ROMA-UNICOOP FIRENZE</w:t>
        <w:br/>
        <w:t>Measure No. 31424</w:t>
        <w:br/>
        <w:t>THE COMPETITION AND MARKET AUTHORITY</w:t>
        <w:br/>
        <w:t>IN ITS MEETING of December 17, 2024;</w:t>
        <w:br/>
        <w:t>HEARD the Rapporteur, Saverio Valentino;</w:t>
        <w:br/>
        <w:t>HAVING REGARD to Regulation (EC) No. 139/2004 of the Council, of January 20, 2004, concerning the control of concentrations between undertakings;</w:t>
        <w:br/>
        <w:t>HAVING REGARD to Law No. 287 of October 10, 1990;</w:t>
        <w:br/>
        <w:t>HAVING REGARD to Presidential Decree No. 217 of April 30, 1998;</w:t>
        <w:br/>
        <w:t>HAVING REGARD to the communication from the company PAC 2000A Soc. Coop., received on September 3, 2024;</w:t>
        <w:br/>
        <w:t>HAVING REGARD to its resolution of September 24, 2024, No. 31184, by which the Authority initiated, pursuant to Article 16, paragraph 4, of Law No. 287/1990, the procedure against the companies PAC 2000A Soc.coop. and Unicoop Firenze soc. coop.;</w:t>
        <w:br/>
        <w:t>HAVING REGARD to the Communication of Investigative Results transmitted on November 27, 2024;</w:t>
        <w:br/>
        <w:t>HAVING REGARD to the final submissions presented by the companies PAC 2000A Soc.coop. and Unicoop Firenze soc. coop. on December 5, 2024;</w:t>
        <w:br/>
        <w:t>HEARD in final hearing, on December 10, 2024, the representatives of the company PAC 2000A Soc.coop.;</w:t>
        <w:br/>
        <w:t>HAVING REGARD to the acts of the procedure and the documentation acquired during the investigation;</w:t>
        <w:br/>
        <w:t>CONSIDERED the following:</w:t>
      </w:r>
    </w:p>
    <w:p>
      <w:r>
        <w:t>I. THE PARTIES</w:t>
        <w:br/>
        <w:t>I.1. Conad</w:t>
        <w:br/>
        <w:t>1. PAC 2000A Soc.coop. (hereinafter, “PAC”) is the largest cooperative of the National Consortium of Retailers CONAD S.c. a r.l. (hereinafter, “CONAD”) and is active in the distribution of food and non-food consumer goods.</w:t>
        <w:br/>
        <w:t>2. The organizational model of the CONAD system is structured on three levels: (i) the first level is represented by individual entrepreneurs, members of the cooperatives and owners of the retail outlets, who conduct the business and manage the retail outlets in the territory, operating independently and at their own business risk, availing themselves of the supply of goods and services from the individual cooperative. The individual member is therefore, at the same time, a trader, entrepreneur, and cooperator; (ii) the second level, in which PAC is located, is represented by the five cooperative members of the national consortium (in addition to PAC, Conad Nord Ovest, Conad Adriatico, Conad Centro Nord, and Commercianti Indipendenti Associati), which support and coordinate the individual entrepreneurs by providing administrative, commercial, logistical, and financial services; (iii) the third level is constituted by the national consortium CONAD, which operates as a purchasing and service center, deals with strategic planning, marketing, and communication activities for the entire system, as well as the production, promotion, and development of the CONAD brand.</w:t>
      </w:r>
    </w:p>
    <w:p>
      <w:r>
        <w:t>80 BULLETIN NO. 1 OF JANUARY 7, 2025</w:t>
        <w:br/>
        <w:t>3. PAC operates through a direct and associated sales network, composed of retail outlets with Conad and Todis signage, active in central-southern Italy (Umbria, Lazio, Campania, Calabria, and Sicily). PAC oversees over one thousand nine hundred retail outlets in Italy, of which over two hundred are in Lazio. In 2023, PAC achieved a turnover in Italy of approximately [4-5]* billion euros.</w:t>
      </w:r>
    </w:p>
    <w:p>
      <w:r>
        <w:t>I.2. The branches of business of DOC Roma and Unicoop Firenze</w:t>
        <w:br/>
        <w:t>4. The branches of business subject to acquisition (hereinafter, “Target branches” or “Target”) are currently owned by DOC*Roma S.r.l. (hereinafter, “DOC”) and/or its parent company Unicoop Firenze soc. coop. (hereinafter, “Unicoop”).</w:t>
        <w:br/>
        <w:t>5. In particular, the Target branches consist of thirteen retail outlets under the DOC brand, all located in the territory of Rome and province (of which twelve under the DOC brand owned by DOC and one branch of business under the DOC brand owned by the parent company Unicoop and managed, under a lease of branch of business, by DOC itself). Also included in the business assets subject to transfer are: (i) a branch of business composed of four commercial establishments owned by DOC, leased to third operators not operating in organized large-scale distribution (respectively, a pet shop, a bar, a telecommunications store, and an optician); (ii) a branch of business composed of two commercial establishments owned by DOC, leased to third operators not operating in organized distribution (respectively, a bar and an optician); and (iii) two branches of business owned by Unicoop intended for “car park”.</w:t>
        <w:br/>
        <w:t>6. The turnover achieved by the Target in 2023 was approximately [100-567] million euros, entirely generated in Italy.</w:t>
      </w:r>
    </w:p>
    <w:p>
      <w:r>
        <w:t>II. DESCRIPTION OF THE OPERATION</w:t>
        <w:br/>
        <w:t>7. The concentration operation in question (hereinafter, “Operation”) consists of the acquisition by PAC, directly or through controlled companies, of ownership of thirteen retail outlets, of which twelve branches of business under the DOC brand owned by DOC and one branch of business under the DOC brand owned by the parent company Unicoop and managed under a lease of branch of business by DOC.</w:t>
        <w:br/>
        <w:t>8. Furthermore, the transfer by DOC of: (i) a branch of business composed of four commercial establishments owned by DOC, leased to third operators not operating in organized large-scale distribution (respectively, a pet shop, a bar, a telecommunications store, and an optician); and (ii) a branch of business composed of two commercial establishments owned by DOC, leased to third operators not operating in organized distribution (respectively, a bar and an optician) is also planned. Finally, the transfer by Unicoop of two branches of business both intended for “car park” is foreseen.</w:t>
        <w:br/>
        <w:t>9. The Operation is not subject to any suspensive or resolutory conditions. In particular, the closing of the operation was completed on September 16, 2024, with the transfer of ownership of the branches of business and the takeover of possession of all retail outlets, which occurred gradually during the month of September 2024.</w:t>
      </w:r>
    </w:p>
    <w:p>
      <w:r>
        <w:t>1 The discount stores under the “Todis” brand, owned by IGES S.r.l., a company controlled by PAC.</w:t>
        <w:br/>
        <w:t>2 See documents 45.3 and 45.4.</w:t>
        <w:br/>
        <w:t>* In this version, some data are omitted, as elements of confidentiality or secrecy of the information were deemed to exist.</w:t>
      </w:r>
    </w:p>
    <w:p>
      <w:r>
        <w:rPr>
          <w:b/>
        </w:rPr>
        <w:t>[Pages 79–81]</w:t>
      </w:r>
    </w:p>
    <w:p>
      <w:r>
        <w:t>BULLETIN NO. 1 OF JANUARY 7, 2025 81</w:t>
      </w:r>
    </w:p>
    <w:p>
      <w:r>
        <w:t>10. Within the framework of the preliminary contract signed between the parties, some non-competition and limitations on potential resales of the sales points by PAC are also provided.3</w:t>
      </w:r>
    </w:p>
    <w:p>
      <w:r>
        <w:t>11. In particular, in favor of PAC, Article 17 (Non-Competition. Limitations on the Transfer of Business Branches) provides, in point 1, that DOC and Unicoop undertake not to start, directly or indirectly, a new business that, by object, location in the Municipality of Rome or Marino, as well as neighboring municipalities with the Municipality of Rome or the Municipality of Marino or other circumstances, is suitable to divert the clientele related to each respective sales point subject to the proposed operation.4</w:t>
      </w:r>
    </w:p>
    <w:p>
      <w:r>
        <w:t>12. Furthermore, pursuant to the subsequent point 2 of the same Article 17, “at the explicit request and in the interest of UNICOOP (for which this clause also constitutes a contractual prerequisite),” PAC undertakes, for a period of five years, not to transfer or allow to be transferred - even by potential assignees, in any way, including by contribution or merger - the ownership or availability of the Business Branches (related to the sale of food products or garages) to distribution chains or distribution entrepreneurs operating, even in franchising, in Tuscany, including those operating under the brand “Conad.”5</w:t>
      </w:r>
    </w:p>
    <w:p>
      <w:r>
        <w:t>13. To these clauses must be added the further provision of Article 8.1 (Antitrust Notification and Trade Union Information Procedures) of the same preliminary contract signed between the parties, pursuant to which PAC assumes all antitrust burdens arising from the Operation, including the management of any corrective measures in the event of an investigation by the Authority and, should it be required to transfer (itself or its successors) some Business Branches subject to the Operation for the purposes of compliance with competition law, it undertakes to transfer them to any third party “with express exclusion of the competitor Esselunga and other companies of the Conad System.”6</w:t>
      </w:r>
    </w:p>
    <w:p>
      <w:r>
        <w:t>III. QUALIFICATION OF THE OPERATION</w:t>
      </w:r>
    </w:p>
    <w:p>
      <w:r>
        <w:t>14. The Operation, as it involves the acquisition of exclusive control over parts of a business, constitutes a concentration pursuant to Article 5, paragraph 1, letter b), of Law No. 287/1990.</w:t>
      </w:r>
    </w:p>
    <w:p>
      <w:r>
        <w:t>15. The Operation falls within the scope of application of Law No. 287/1990, as the conditions set out in Article 1 of Regulation (EC) 139/2004 do not apply, and is subject to the obligation of prior notification provided for by Article 16, paragraph 1, of the same law, as the total turnover achieved, in the last financial year at the national level, by the aggregate of the companies involved in the operation exceeded 567 million euros and the turnover achieved in the last financial year at the national level by at least two of the companies involved exceeded 35 million euros.</w:t>
      </w:r>
    </w:p>
    <w:p>
      <w:r>
        <w:t>IV. THE INVESTIGATIVE PROCEDURE</w:t>
      </w:r>
    </w:p>
    <w:p>
      <w:r>
        <w:t>16. The Operation was communicated by PAC on September 3, 2024, supplemented on September 4, 2024.7</w:t>
      </w:r>
    </w:p>
    <w:p>
      <w:r>
        <w:t>17. On September 24, 2024, the present investigation was initiated, pursuant to Article 16, paragraph 4, of Law No. 287/90, against the companies PAC and Unicoop considering that the concentration operation was likely to significantly hinder effective competition, pursuant to Article 6, paragraph 1, of Law No. 287/1990, also due to the establishment or strengthening of a dominant position, in the markets for the retail sale of food and non-food consumer goods, particularly in certain local markets identified by isochrones No. 1, 2, 3, 4, 5, 6, 10, 11, 12, 13.</w:t>
      </w:r>
    </w:p>
    <w:p>
      <w:r>
        <w:t>18. The operation was completed on September 16, 2024, and PAC proceeded to acquire the ownership and availability of the business branches. The sales points branded DOC acquired were closed and reopened under the Conad brand following the acquisition of their possession.8</w:t>
      </w:r>
    </w:p>
    <w:p>
      <w:r>
        <w:t>19. During the procedure, several requests for information were made to PAC and Unicoop, as well as to operators active in the organized large-scale distribution sector (purchasing centers, distribution centers, large-scale distribution operators).9 Furthermore, hearings were held with the companies PAC, Unicoop, Esselunga S.p.A. (hereinafter, “Esselunga”), Gruppo PAM S.p.A. (hereinafter, “PAM”) and CE.DI. GROS Società Consortile a r.l. (hereinafter, “Gruppo Romano Supermercati” or “GROS”).</w:t>
      </w:r>
    </w:p>
    <w:p>
      <w:r>
        <w:t>20. Additionally, in order to better understand consumer purchasing habits and, in particular, the competitive proximity between the Parties, useful for collecting elements for the assessment of the concentration under examination, a survey was conducted through a questionnaire administered by Gfk-Nielsen S.p.A. (hereinafter, “Gfk-Nielsen”) to a representative sample of consumers at some of the sales points subject to the concentration.10 The data resulting from the survey, as well as the questions and the methodological note, were transmitted to the parties immediately after their transmission by the survey company.11</w:t>
      </w:r>
    </w:p>
    <w:p>
      <w:r>
        <w:t>21. The parties PAC and Unicoop were heard in hearings on November 11,12 and November 7, 202413 respectively and had access to the documents on October 4,14 and October 23,15 2024 as well as on October 25,16 October 31,17 November 7, 202418 and November 22, 202419. On November 12, 2024, concurrently with the response to questions 1 and 2 of the information request of October 30, 2024, PAC transmitted a note, prepared by its consultant, in which some observations were made on the methodology for calculating the economic indicators.20</w:t>
      </w:r>
    </w:p>
    <w:p>
      <w:r>
        <w:t>22. The communication of the investigative findings was transmitted on November 27, 202421. PAC and Unicoop submitted final memoranda on December 5, 202422. Finally, the final hearing, requested by PAC, was held on December 10, 202423.</w:t>
      </w:r>
    </w:p>
    <w:p>
      <w:r>
        <w:t>V. INVESTIGATIVE FINDINGS</w:t>
      </w:r>
    </w:p>
    <w:p>
      <w:r>
        <w:t>V.1. Premise</w:t>
      </w:r>
    </w:p>
    <w:p>
      <w:r>
        <w:t>23. The Operation concerns the sector of modern distribution of food and non-food products of mass and general consumption (hereinafter, “GDO”). Competition in this sector is extremely complex, playing out on various strategic variables and across different territorial areas.</w:t>
      </w:r>
    </w:p>
    <w:p>
      <w:r>
        <w:t>24. In particular, in this sector, entities operate with extremely varied sizes, characteristics, and organizational formulas. A first major distinction in this regard is made between Large Distribution (hereinafter, “GD”), consisting of chains of sales points belonging to a single company or group of companies (the so-called branch companies), and Organized Distribution (hereinafter, “DO”), which includes chains of sales points belonging to legally distinct entrepreneurial entities (generally small or medium-sized companies), but linked by a relationship of voluntary collaboration, formalized through contractual ties and/or associative formulas such as consortia, voluntary unions, consumer cooperatives, etc. Currently, despite the variety of their respective legal forms and organizational structures, all DO groups can in fact be considered aggregations of retailers aimed at developing more or less intense forms of collaboration on various business functions, including, in all cases, that of negotiating purchases.</w:t>
      </w:r>
    </w:p>
    <w:p>
      <w:r>
        <w:t>25. The exploitation of synergies arising from the centralization of purchasing negotiations has been supplemented over time by other areas of collaboration on functions such as logistics, brand policy, management of private label products, etc., thus generating the need to share, within the group, a significant portion of the business know-how, strategic coordination, promotional initiatives, and, more generally, commercial policies.24</w:t>
      </w:r>
    </w:p>
    <w:p>
      <w:r>
        <w:t>26. Regarding the procurement policy, initially, individual sales points are grouped by a distribution center (hereinafter, “CE.DI”), which represents the central facility of a chain of supermarkets or hypermarkets that receives the goods, stores them, and supplies the sales points. A second level of aggregation is represented by purchasing centers, which perform the task of coordinating purchases.</w:t>
      </w:r>
    </w:p>
    <w:p>
      <w:r>
        <w:rPr>
          <w:b/>
        </w:rPr>
        <w:t>[Pages 82–84]</w:t>
      </w:r>
    </w:p>
    <w:p>
      <w:r>
        <w:t>84 BULLETIN NO. 1 OF JANUARY 7, 2025</w:t>
      </w:r>
    </w:p>
    <w:p>
      <w:r>
        <w:t>of centralized procurement of supplies (purchasing centers). In turn, purchasing centers can further aggregate into supercenters.</w:t>
      </w:r>
    </w:p>
    <w:p>
      <w:r>
        <w:t>27. Therefore, at the national level, competition within the GDO sector essentially develops among distribution chains, understood as groups of sales points that operate with a substantial uniformity of brand and image. Competitive comparison occurs on the overall size of the chain itself, the image and penetration capacity of the brand, the location of sales points, the coverage of different local markets, procurement policies, etc.</w:t>
      </w:r>
    </w:p>
    <w:p>
      <w:r>
        <w:t>28. In this regard, it should be noted that certain GDO chains - both operators of DO, such as Conad and Coop, and operators of GD, such as Esselunga, Pam, Carrefour, Lidl, Eurospin - exhibit significant uniformity among sales points and, in general, in the commercial policies of the chain itself. Consequently, a role of the chain emerges in terms of strategies with an impact beyond the local perimeter on individual isochrones. In contrast, some GDO "alliances" - such as, for example, the DO operators affiliated with Selex Commerciale25 or the Végé Group26 - show greater differentiation among members who often autonomously define the sales format, the store brands (which often differ significantly and have a more local connotation) and other characteristic elements of the commercial profile of the sales point.</w:t>
      </w:r>
    </w:p>
    <w:p>
      <w:r>
        <w:t>29. At the local level, however, competitive comparison takes place more properly on policies directed at the consumer, focused on selling prices, assortment, promotions, loyalty policies at the sales point, and, more generally, retail-level commercial strategies.</w:t>
      </w:r>
    </w:p>
    <w:p>
      <w:r>
        <w:t>V.1.a. The national context</w:t>
      </w:r>
    </w:p>
    <w:p>
      <w:r>
        <w:t>30. In the GDO sector, there are currently over twenty distribution chains operating, of which ten have a total national market share exceeding 3%. The market shares calculated from Nielsen data regarding the competitive weight of individual purchasing centers27 are shown in Table 1 below.</w:t>
      </w:r>
    </w:p>
    <w:p>
      <w:r>
        <w:t>31. At the national level, Conad and Selex are the top two purchasing centers, which group sales points that each generate approximately 15% of the national total (Table 1). Furthermore, considering operators that have a homogeneous network of sales points, that is, united by the same brands, distinguishing signs, and formats at the national level, Conad is the leading network, followed by Coop (with a network of sales points representing about 11% of the total national turnover), Esselunga (GD operator with 7.5% of the total national turnover), Eurospin (7.4%), and Lidl (about 6%).</w:t>
      </w:r>
    </w:p>
    <w:p>
      <w:r>
        <w:t>25 Within Selex, individual CE.DI. present different formats and brands, for example: Supermercati Cadoro (Cadoro Supermercati S.p.A.); Supermercati Gulliver (Alfi S.r.l.); Oasi-Tigre (Gabrielli Magazzini S.p.A.); Famila-Max-IlCentesimo (CDS S.p.A.); Il Castoro-Ipertriscount-DEM-Pewex-Sacof-Ipercarni-Iperfamili (DE.DI Gros S.c.a.r.l.); Italmark (Italbrix S.pA.); Elite (Superelite S.p.A.); Alì-Alìper (Alì S.p.A.); SiConTé (CE.DI. Marche S.c.a.r.l.); Mercatò-MercatòExtra-MercatòBig-MercatòLocal (Dimar S.p.A.); EMISupermercati (GMF S.p.A.), etc.</w:t>
      </w:r>
    </w:p>
    <w:p>
      <w:r>
        <w:t>26 Within Végé, individual CE.DI present different formats and brands, for example: Bennet (Bennet S.p.A.); Decò-IperConveniente (F.ll Arena S.r.l.); IperTosano (Supermercati Tosano Cerea S.r.l.); DiMeglio (GFE S.r.l.), etc.</w:t>
      </w:r>
    </w:p>
    <w:p>
      <w:r>
        <w:t>27 In particular, the data used are from the Nielsen Guide Largo Consumo - First Edition 2024 and analyze the competitive weight of individual purchasing centers and supercenters, according to the methodology already indicated previously.</w:t>
      </w:r>
    </w:p>
    <w:p>
      <w:r>
        <w:t>BULLETIN NO. 1 OF JANUARY 7, 2025 85</w:t>
      </w:r>
    </w:p>
    <w:p>
      <w:r>
        <w:t>Table 1 - Estimate of the weight of GDO purchasing centers28</w:t>
      </w:r>
    </w:p>
    <w:p>
      <w:r>
        <w:t>Supercenter Purchasing Center Share %</w:t>
        <w:br/>
        <w:t>Aicube 12.20%</w:t>
        <w:br/>
        <w:t>Gruppo Carrefour Italia Spa 3.92%</w:t>
        <w:br/>
        <w:t>Gruppo Végé 8.27%</w:t>
        <w:br/>
        <w:t>Conad + Finiper 17.33%</w:t>
        <w:br/>
        <w:t>Conad 15.01%</w:t>
        <w:br/>
        <w:t>Finiper 2.33%</w:t>
        <w:br/>
        <w:t>Coop 11.41%</w:t>
        <w:br/>
        <w:t>Coop Italia 11.41%</w:t>
        <w:br/>
        <w:t>(of which DOC) (0.11%)</w:t>
        <w:br/>
        <w:t>Esd Italia 21.43%</w:t>
        <w:br/>
        <w:t>Agorà Network Scarl 4.22%</w:t>
        <w:br/>
        <w:t>Aspiag 2.14%</w:t>
        <w:br/>
        <w:t>Selex Commerciale 15.06%</w:t>
        <w:br/>
        <w:t>Esselunga Esselunga 7.51%</w:t>
        <w:br/>
        <w:t>Forum 7.05%</w:t>
        <w:br/>
        <w:t>C3 1.83%</w:t>
        <w:br/>
        <w:t>Coralis 0.17%</w:t>
        <w:br/>
        <w:t>Crai 1.74%</w:t>
        <w:br/>
        <w:t>D.It. Distribuzione Italiana 1.45%</w:t>
        <w:br/>
        <w:t>Despar Servizi 1.87%</w:t>
        <w:br/>
        <w:t>Gruppo Pam Gruppo Pam 2.88%</w:t>
        <w:br/>
        <w:t>Italy Discount Italy Discount 0.49%</w:t>
        <w:br/>
        <w:t>Others 19.71%</w:t>
        <w:br/>
        <w:t>Aldi 0.73%</w:t>
        <w:br/>
        <w:t>Independent Chains 0.12%</w:t>
        <w:br/>
        <w:t>Eurospin 7.41%</w:t>
        <w:br/>
        <w:t>Lidl Italia 5.95%</w:t>
        <w:br/>
        <w:t>Md 3.30%</w:t>
        <w:br/>
        <w:t>Independent Stores 0.37%</w:t>
        <w:br/>
        <w:t>Prix Quality 0.50%</w:t>
        <w:br/>
        <w:t>Rewe 1.34%</w:t>
      </w:r>
    </w:p>
    <w:p>
      <w:r>
        <w:t>28 Elaborations on doc. 13.5.</w:t>
      </w:r>
    </w:p>
    <w:p>
      <w:r>
        <w:t>86 BULLETIN NO. 1 OF JANUARY 7, 2025</w:t>
      </w:r>
    </w:p>
    <w:p>
      <w:r>
        <w:t>V.1.b. The different organizational modalities of the GDO</w:t>
      </w:r>
    </w:p>
    <w:p>
      <w:r>
        <w:t>(a) Large-scale distribution and purchasing centers of organized distribution</w:t>
      </w:r>
    </w:p>
    <w:p>
      <w:r>
        <w:t>32. As mentioned earlier, the GDO sector is characterized by multiple organizational modalities, with various forms of aggregation that impact the commercial homogeneity of the network in a differentiated manner.</w:t>
      </w:r>
    </w:p>
    <w:p>
      <w:r>
        <w:t>33. First, it is necessary to mention the operators of large-scale distribution (GD), such as Carrefour, Esselunga, PAM, Eurospin, Lidl, etc.29. For these chains of sales points belonging to a single company or group of companies (the so-called branch companies), commercial and marketing policies are usually centralized30, but still tailored according to a local perspective31.</w:t>
      </w:r>
    </w:p>
    <w:p>
      <w:r>
        <w:t>34. In contrast, regarding organized distribution (DO), that is, aggregative forms of operators, it is observed that, as has been repeatedly noted in the Authority's precedents, the degree of integration existing within each chain depends both on the quantity and type of centralized functions and services, and on the number and degree of heterogeneity of the individual operators adhering to the chain itself32.</w:t>
      </w:r>
    </w:p>
    <w:p>
      <w:r>
        <w:t>35. First, it is necessary to mention less structured forms of cooperation among operators of organized distribution (DO). In particular, the aggregation forms of purchasing functions offered by purchasing centers (such as Selex and Vegé) should be recalled.</w:t>
      </w:r>
    </w:p>
    <w:p>
      <w:r>
        <w:t>36. The Vegé group, for example, operates on behalf of individual operating companies, negotiating the purchasing conditions reserved by suppliers for individual companies (framework agreements) and the planning of promotional initiatives. At the same time, the activities of purchasing and reselling goods are not ordinarily carried out by the center (Vegé), but the individual member companies take care of procurement policies, as well as further negotiating the procurement conditions33.</w:t>
      </w:r>
    </w:p>
    <w:p>
      <w:r>
        <w:t>37. The Selex group also provides its members with services for negotiating purchasing conditions with suppliers, containing the basic conditions of supplies to member companies, which manage their sales points "using a plurality of brands, some owned by Selex and others owned by member companies"34. Also concerning private label products, Selex handles the activities of certification and selection of suppliers, definition of product specifications, quality control, and negotiation of purchases, while private label products do not present uniformity as they are offered to consumers under different brands.</w:t>
      </w:r>
    </w:p>
    <w:p>
      <w:r>
        <w:t>29 Cf. doc. 34</w:t>
      </w:r>
    </w:p>
    <w:p>
      <w:r>
        <w:t>30 Cf. doc. 39.1, 40, 41, 46.1, 47.1, and 51.1.</w:t>
      </w:r>
    </w:p>
    <w:p>
      <w:r>
        <w:t>31 For example, Esselunga reports that its pricing policy is based on constant monitoring of all competitors (hypermarkets, supermarkets, discounters, and specialists) in the areas where it operates, with the aim of ensuring the best price on all comparable products and maintaining a competitive positioning at every moment of the year. Some elements taken into consideration are, for example, the list of competitors present in the reference basin (isochrone), sociodemographic data, etc. (cf. doc. 40). MD indicates that the commercial policies of the stores under the "MD" brand are mostly determined at the central level, but with increasing attention to the different needs of the territories (cf. doc. 41). Carrefour states that its pricing policy is carried out at the centralized level and is based on "market" characteristics that vary according to the reference region (cf. docs. 46.1 and 47.1). The commercial policies of Penny Market are decided at the central level, alongside local decisions (cf. doc. 51.1).</w:t>
      </w:r>
    </w:p>
    <w:p>
      <w:r>
        <w:t>32 Cf. IC43 - Organized large-scale distribution sector, measure No. 24465 of July 24, 2013, in Bulletin No. 31/2013.</w:t>
      </w:r>
    </w:p>
    <w:p>
      <w:r>
        <w:t>33 Cf. doc. 38.1.</w:t>
      </w:r>
    </w:p>
    <w:p>
      <w:r>
        <w:t>34 Cf. doc. 42.1. In particular, the brands owned by Selex are "Famila" and "A&amp;O", which are licensed to members who request them.</w:t>
      </w:r>
    </w:p>
    <w:p>
      <w:r>
        <w:rPr>
          <w:b/>
        </w:rPr>
        <w:t>[Pages 85–87]</w:t>
      </w:r>
    </w:p>
    <w:p>
      <w:r>
        <w:t>BULLETIN NO. 1 OF JANUARY 7, 2025 87</w:t>
      </w:r>
    </w:p>
    <w:p>
      <w:r>
        <w:t>(Selex, Consilia, Vale, il Gigante), some dedicated to individual members.35 In fact, the purchasing center Selex "is identifiable as a structure in which various companies of national distribution participate with different brands and with the primary objective of negotiating more efficiently with suppliers, [...] this aggregation primarily serves to obtain more advantageous purchase prices that also benefit the end consumers."36</w:t>
      </w:r>
    </w:p>
    <w:p>
      <w:r>
        <w:t>38. With reference to the members of the purchasing centers Selex and Vegé, it is noted that the organizational methods appear to be multiple and varied. In particular, the Super Elite group, a member of Selex, manages its network of sales points with "a single recognizable brand for both suppliers and customers, [...]. At the headquarters, procurement policies, supplier selection, and purchase management with the related prices are determined. Promotional strategies, commercial policies, and related advertising campaigns for the entire commercial chain are also managed."37 Similar considerations are expressed by Magazzini Gabrielli, which notes the absence of influence in distribution policies that are not delegated to the purchasing center Selex.38</w:t>
      </w:r>
    </w:p>
    <w:p>
      <w:r>
        <w:t>39. Some organizational forms of organized distribution, on the contrary, appear to reduce forms of cooperation to mere product purchasing and logistical management, leaving the more strictly commercial aspects (such as the identification of brands and other distinguishing signs, pricing and assortment policies, or territorial expansion policies) to the individual entrepreneurs associated with the distribution center.</w:t>
      </w:r>
    </w:p>
    <w:p>
      <w:r>
        <w:t>40. In particular, one of the main distribution centers present in the Lazio region, namely GROS, illustrates that its scope of activity "is related to the purchase and distribution of goods at sales points, while it has no role in the management of the sales points of the members."39</w:t>
      </w:r>
    </w:p>
    <w:p>
      <w:r>
        <w:t>41. In this regard, it should be noted that GROS has not developed suitable tools to support a centralized organization. Specifically, GROS does not have an infrastructure capable of channeling data from the sales points of the associated members, having implemented exclusively an application used by the sales points to place orders that "does not communicate with the management systems adopted by the individual brands - it does not allow the sales points to input the prices actually applied, nor the sales data or customer data."40</w:t>
      </w:r>
    </w:p>
    <w:p>
      <w:r>
        <w:t>42. In fact, the areas of collaboration among the supermarkets associated with GROS do not include the sharing of data related to their activities, which "constitute an important informational asset for competition";41 they do not concern customer loyalty policies42 or the definition of sales network formats or the establishment of a network of sales points with common brands.43 In this context, some elements of commonality among the brands of organized distribution that adhere to GROS are the promotional initiatives proposed by the purchasing center to which they belong (ESD/Selex)44, although even in cases of similar promotions, each brand acts independently since "all ancillary activities, such as the creation of the flyer, are managed by the sales point, so there is still a certain differentiation between brands."45</w:t>
      </w:r>
    </w:p>
    <w:p>
      <w:r>
        <w:t>(b) Cooperative systems: the Conad system</w:t>
      </w:r>
    </w:p>
    <w:p>
      <w:r>
        <w:t>43. With respect to the organized distribution (DO) operators previously mentioned, it is observed that the trend of the two large cooperative systems (Coop and Conad) appears to pursue a greater centralization of decision-making levels within each chain, comparable to that of branch companies.46 In fact, these chains, in addition to managing collaboration among the associated cooperatives on a very high number of business functions, have an organizational structure that allows for a capillary control of the behavior of the associates, providing articulated decision-making, managerial, and operational structures decentralized at the territorial level, capable of exercising a very broad coordination of the behaviors of the companies associated with the chain present in each area of action.</w:t>
      </w:r>
    </w:p>
    <w:p>
      <w:r>
        <w:t>44. The Conad organizational model is a supply chain model "based on the figure of the merchant-cooperator, that is, the entrepreneur of associated commerce in a cooperative."47 In this model, the cooperative member "represents the promoter and strategic cornerstone of the entire system."48</w:t>
      </w:r>
    </w:p>
    <w:p>
      <w:r>
        <w:t>45. The Conad system is structured on three levels:</w:t>
        <w:br/>
        <w:t>i. the first represented by individual entrepreneurs, members of the cooperatives and owners of the sales points, who are simultaneously merchants, entrepreneurs, and cooperators and, in this capacity, the cooperative member "is inserted into a collective system that cares about the good functioning and results of the Cooperative and the Conad System as a whole."49</w:t>
        <w:br/>
        <w:t>ii. the second level is represented by the cooperatives, members of the national Conad consortium (in addition to PAC, Conad Nord Ovest, Conad Adriatico, Conad Centro Nord, and Commercianti Indipendenti Associati), to which a local operational area corresponds with limited overlaps.50 (Figure 1 infra), which support and coordinate the individual entrepreneurs by providing administrative, commercial, logistical, and financial services. In this sense, at this level belong "the Cooperatives that operate in the various areas of the Country and that coordinate commercial activity at the territorial level."51</w:t>
        <w:br/>
        <w:t>iii. the third level is constituted by the national Conad consortium, which operates as a national and international purchasing center with suppliers of goods and services, marketing and communication activities for the entire system, as well as the production, promotion, and development of Conad branded products.52</w:t>
      </w:r>
    </w:p>
    <w:p>
      <w:r>
        <w:rPr>
          <w:b/>
        </w:rPr>
        <w:t>[Pages 88–90]</w:t>
      </w:r>
    </w:p>
    <w:p>
      <w:r>
        <w:t>90 BULLETIN NO. 1 OF JANUARY 7, 2025</w:t>
        <w:br/>
        <w:t>Figure 1 – Territorial distribution of second-level cooperatives adhering to Conad national53</w:t>
      </w:r>
    </w:p>
    <w:p>
      <w:r>
        <w:t>46. As for the Conad national Consortium, it is noted that the cooperative structure that characterizes it is aimed, in addition to the organization of supplies, at [omissis]54. For the affirmation of the Conad network, therefore, the brand and the signs represent elements used [omissis]55. The Conad brand and the private label products are, therefore, strategic and distinctive elements of the sales points of the second-level cooperatives.</w:t>
      </w:r>
    </w:p>
    <w:p>
      <w:r>
        <w:t>47. Regarding the second-level cooperatives of the Conad system, such as PAC, they deal with development policies (openings, franchising, and affiliations), promotional policies (private label products, signs), and commercial policies (for example, through the indication of recommended prices and support for assortment and commercial positioning decisions), purchasing policies (for example, assortment and suppliers), logistics, and the definition of promotional offers and loyalty policies56. In fact, PAC itself has various business functions dedicated to the management and assistance of the sales network57.</w:t>
      </w:r>
    </w:p>
    <w:p>
      <w:r>
        <w:t>48. In particular, according to PAC's own documents, it “is committed to promoting cooperation among retailers, protecting and enhancing the profitability of member businesses, developing quality in service and offerings, and continuously renewing itself to be close to customer needs”58. In this sense, PAC coordinates its cooperative members daily, “supporting them in all aspects of their activity: from commercial policies to marketing, including issues related to administration, finance, and logistics, up to staff training”59.</w:t>
      </w:r>
    </w:p>
    <w:p>
      <w:r>
        <w:t>49. This constitutes a true contractual obligation arising from the associative and mutualistic relationship, expressly provided for by the “Cooperative-Member Associative Pact”60 and thus represents a cooperative entrepreneurial project united by a shared commercial, promotional, and marketing strategy: [omissis]61.</w:t>
      </w:r>
    </w:p>
    <w:p>
      <w:r>
        <w:t>50. The organizational structure of PAC provides for an active contribution from cooperative members in defining PAC's strategic choices, in order to “stimulate new ideas and proposals that, transformed into concrete actions, can support and guide the growth of the sales points, the cooperative, and the entire Group”62. For example, for each region, there are active committees of members (for example, fruit and vegetables, meats, commercial-marketing, fish), which “represent a tool to support the improvement of the business. Thus, they are not a decision-making body, but an important support that allows the Cooperative to engage with its entrepreneurs in the territory regarding strategic choices, to stimulate new ideas and proposals that, transformed into concrete actions, can support and guide the growth not only of the sales points but of the entire Group. […] The committees address a wide range of topics, from fruit and vegetables to meats, from commercial and marketing activities to innovation”63. PAC's internal documents confirm that the committees are concerned with competitive issues (Figure 2).</w:t>
      </w:r>
    </w:p>
    <w:p>
      <w:r>
        <w:t>56. See doc. 8.1, also see IC43 - Organized large-scale distribution sector, measure No. 24465 of July 24, 2013, in Bulletin No. 31/2013.</w:t>
      </w:r>
    </w:p>
    <w:p>
      <w:r>
        <w:t>57. PAC itself indicates the presence of 5 area managers, 5 network coordinators, as well as various personnel dedicated to sales, assistance with restructuring and new openings, as well as additional assistants and promoters. See doc. 108.6.</w:t>
      </w:r>
    </w:p>
    <w:p>
      <w:r>
        <w:t>58. See doc. 108.5.</w:t>
      </w:r>
    </w:p>
    <w:p>
      <w:r>
        <w:t>59. See doc. 108.5.</w:t>
      </w:r>
    </w:p>
    <w:p>
      <w:r>
        <w:t>60. See [omissis].</w:t>
      </w:r>
    </w:p>
    <w:p>
      <w:r>
        <w:t>61. See doc. [omissis].</w:t>
      </w:r>
    </w:p>
    <w:p>
      <w:r>
        <w:t>62. See doc. 108.5.</w:t>
      </w:r>
    </w:p>
    <w:p>
      <w:r>
        <w:t>63. See doc. 108.6.</w:t>
      </w:r>
    </w:p>
    <w:p>
      <w:r>
        <w:t>92 BULLETIN NO. 1 OF JANUARY 7, 2025</w:t>
        <w:br/>
        <w:t>Figure 2 – Excerpt from the document prepared by the Lazio Commercial Committee64</w:t>
      </w:r>
    </w:p>
    <w:p>
      <w:r>
        <w:t>51. Indeed, there are various documents in which PAC presents its network in a unified manner and analyzes competitive dynamics by referencing distribution chains in its entirety65, with a strategic perspective centered on sales points, aiming to maximize revenues and profitability of the sales network.</w:t>
      </w:r>
    </w:p>
    <w:p>
      <w:r>
        <w:t>52. For example, according to the statement by the President of PAC, “each of our sales points is much more than just a store: it is a meeting place, a reference, where every customer is welcomed with warmth and respect.”66 Similarly, the statements of the CEO of PAC indicate that it “has adopted a strategy aimed at protecting the purchasing power of customers, through the enhancement of Conad branded products and increased promotional activities. Today, competition in the markets has grown significantly, and to face new scenarios and the emergence of new brands, our Cooperative is intensifying efforts to innovate its offerings and clearly convey the value for money that our network can provide. In the face of an increasingly challenging competitive context, our goal is therefore to remain a reference point for our customers, ensuring quality, reliability, and a service that is always attentive to their needs.”</w:t>
      </w:r>
    </w:p>
    <w:p>
      <w:r>
        <w:t>53. Among the other functions of PAC, as mentioned, are development policies (openings, franchising, and affiliations), promotional policies (private label products, signs), purchasing policies (for example, assortment and suppliers), logistics, and the definition of promotional offers and loyalty policies. These are, as indicated by PAC, the consumer-directed policies that characterize competitive comparison among sales points at the local level67.</w:t>
      </w:r>
    </w:p>
    <w:p>
      <w:r>
        <w:t>54. According to the documentation on file, these policies reference the end customer, from a retail perspective: “At the center of strategic, operational choices, and corporate policies, the customer represents an active interlocutor with whom PAC</w:t>
      </w:r>
    </w:p>
    <w:p>
      <w:r>
        <w:t>64. See doc. 115.30.</w:t>
      </w:r>
    </w:p>
    <w:p>
      <w:r>
        <w:t>65. In particular, see docs. 45, 45.3, and 45.4 where the number of PAC sales points in Italy and Lazio is indicated. Also see doc. 4.2, created within PAC to monitor the performance of the PAC sales network in the supermarket channel (surface area over 400 sqm, excluding hypermarkets), also see [omissis].</w:t>
      </w:r>
    </w:p>
    <w:p>
      <w:r>
        <w:t>66. See doc. 108.6.</w:t>
      </w:r>
    </w:p>
    <w:p>
      <w:r>
        <w:t>67. According to PAC, “[a]t the local level, competitive comparison occurs more properly on consumer-directed policies, focused on selling prices, assortment, promotions, loyalty policies at the sales point, and so on.” See doc. 8.1.</w:t>
      </w:r>
    </w:p>
    <w:p>
      <w:r>
        <w:rPr>
          <w:b/>
        </w:rPr>
        <w:t>[Pages 91–93]</w:t>
      </w:r>
    </w:p>
    <w:p>
      <w:r>
        <w:t>BULLETIN NO. 1 OF JANUARY 7, 2025 93</w:t>
      </w:r>
    </w:p>
    <w:p>
      <w:r>
        <w:t>2000A establishes lasting relationships over time, […] The shelf, therefore, is not only the final point of the process, but the result of a thought that has deep and extensive roots”68.</w:t>
      </w:r>
    </w:p>
    <w:p>
      <w:r>
        <w:t>55. Such policies stem from the associative and mutualistic relationship that binds PAC to its members. The latter, in fact, based on the "Cooperative-Member Associative Pact," are expressly required to [omissis]69, as well as to [omissis]70. Regarding commercial policies, PAC communicates to its sales points the recommended prices of products, on a sub-regional basis and divided by brand and channel71. In particular, PAC's information system allows communication with individual sales points [omissis]. The PAC system also allows for the registration of all sales from individual sales points, and therefore, all receipt lines from all sales points are acquired into PAC's central database (Figure 3)72.</w:t>
      </w:r>
    </w:p>
    <w:p>
      <w:r>
        <w:t>Figure 3 – Exemplary screen of the point of sale management system73</w:t>
        <w:br/>
        <w:t>[omissis]</w:t>
      </w:r>
    </w:p>
    <w:p>
      <w:r>
        <w:t>56. In fact, PAC's information systems have been developed to “support the management of PAC 2000A in monitoring commercial and logistical performance, both in Sell-in, thus for the Cooperative's sales, and in Sell-out, that is, for the sales of our network.” Some examples of the applications of PAC's system concern the following areas: “- Weekly commercial margin, […] - OS (offer/standard) analysis “contingent”: monitoring sales of items in OS reserved for Fidelity Card holders, - Monitoring and budgeting Hypermarkets (sales, margins, and income statement), - Competitiveness analysis of the network with pricing and margin control, - Management of year-end bonuses and contributions from suppliers, - Logistics monitoring, - Sales analysis of the Discount channel […]”74.</w:t>
      </w:r>
    </w:p>
    <w:p>
      <w:r>
        <w:t>57. Furthermore, PAC “contributes to the definition of promotional and marketing policies for the sales points, [omissis]”75. Additionally, for certain types of products, the cooperative members of PAC also have lesser margins of autonomy, as they cannot deviate from the maximum price positioning policy, which occurs, for example, for the campaigns “[omissis], which are transversal to the entire Conad world ([omissis]) and only to the participating PAC sales points [omissis]”76.</w:t>
      </w:r>
    </w:p>
    <w:p>
      <w:r>
        <w:t>58. Regarding assortment policies, it is noted that the Internal Regulation for Cooperative Members of PAC provides, in implementation of the mutual exchange relationship, the necessity to respect a commercial loyalty index and, in particular, [omissis]77 and, furthermore, non-adherence (occasional or systematic) to PAC's commercial policy may result in sanctioning measures of an extent determined by PAC's management bodies.</w:t>
      </w:r>
    </w:p>
    <w:p>
      <w:r>
        <w:t>68 Cfr. doc. 108.6.</w:t>
        <w:br/>
        <w:t>69 Cfr. doc. [omissis].</w:t>
        <w:br/>
        <w:t>70 Cfr. doc. [omissis].</w:t>
        <w:br/>
        <w:t>71 Cfr. doc. 112</w:t>
        <w:br/>
        <w:t>72 Cfr. doc. 112. In particular, the software license expressly provides that the software modules used have, among others, the following functions: [omissis].</w:t>
        <w:br/>
        <w:t>73 Cfr. doc. 112. [omissis].</w:t>
        <w:br/>
        <w:t>74 Cfr. doc. 123.</w:t>
        <w:br/>
        <w:t>75 Cfr. doc. 126</w:t>
        <w:br/>
        <w:t>76 Cfr. doc. 126</w:t>
        <w:br/>
        <w:t>77 Cfr. doc. [omissis].</w:t>
      </w:r>
    </w:p>
    <w:p>
      <w:r>
        <w:t>94 BULLETIN NO. 1 OF JANUARY 7, 2025</w:t>
      </w:r>
    </w:p>
    <w:p>
      <w:r>
        <w:t>59. Also with reference to assortment policies, PAC is active in carrying out “a set of actions aimed at rationalizing the management efforts of the sales point both in terms of assortment maintenance and management of promotional references”78. In particular, it has adopted “state-of-the-art algorithms, which use market information combined with the customer base, … launching the Assortment Project, with which a process of optimizing the assortment of products in our sales points has been initiated to follow the evolution of needs and consumption […] Through an analysis of the merchandise sectors and sample assortments of Conad references, and others, within the sales points, products to be moved will be periodically selected and post-intervention, their commercial effectiveness will be monitored, rationalizing the offer.”79.</w:t>
      </w:r>
    </w:p>
    <w:p>
      <w:r>
        <w:t>60. With reference to the loyalty policy and promotional activities, in addition to traditional loyalty activities related to the subscription of fidelity cards80 (which in Lazio cover 84.67% of the turnover generated in PAC sales points), PAC has developed a Customer Relationship Management (CRM) system that “is no longer a simple contact management software, but has become the core of business strategies, capable of personalizing the shopping experience, collecting and interpreting data, predicting behaviors, and above all creating a bond with its customers. With the introduction of advanced technologies, such as the category management analysis system based on algorithms, PAC 2000A's customer-centric strategy allows for detailed analyses, ensuring an always cutting-edge, convenient, and distinctive offer that is perfectly in tune with consumer expectations. Through customer marketing communication activities, the Cooperative is able to build long-term relationships with existing customers, in order to increase their loyalty, retention, and long-term value through the development of loyalty programs, the adoption of personalized communication, and dedicated customer service. The effectiveness of this model has led, in 2023, over 3.7 million families to choose the Cooperative's sales points for shopping, for a value of 39.2 million euros in net incremental sales”81. Additionally, there are advertising and digital strategy projects that allow reaching individual customers “directly at the checkout”82.</w:t>
      </w:r>
    </w:p>
    <w:p>
      <w:r>
        <w:t>78 Cfr. doc. 108.6.</w:t>
        <w:br/>
        <w:t>79 Cfr. doc. 108.6.</w:t>
        <w:br/>
        <w:t>80 In this regard, it should be noted that, in the Conad system, the loyalty program appears to have two levels. In particular, national Conad has implemented a loyalty program that CONAD customers can access for free by subscribing to the fidelity card. The loyalty program is annual and provides for the issuance of “mipremio” points in exchange for customer spending. Second-level cooperatives, including PAC, can issue extra points on certain brands or categories. Furthermore, customers will be entitled to some exclusive discounts that vary from cooperative to cooperative; the latter can also integrate the prize catalogs or vouchers issued compared to what is defined at the national level by CONAD. Cfr. doc. 8.1. In particular, PAC “in 2023 chose to expand the offer to customers and ensure greater convenience also through prize catalogs. By reducing the number of points required to obtain prizes, the Cooperative has, in fact, allowed its customers to book or receive physical or digital prizes in exchange for a lower expenditure made at the sales points”; cfr. doc. 108.6.</w:t>
        <w:br/>
        <w:t>81 Cfr. doc. 108.6.</w:t>
        <w:br/>
        <w:t>82 Cfr. doc. 108.6.</w:t>
      </w:r>
    </w:p>
    <w:p>
      <w:r>
        <w:t>BULLETIN NO. 1 OF JANUARY 7, 2025 95</w:t>
      </w:r>
    </w:p>
    <w:p>
      <w:r>
        <w:t>Figure 4 – Results of PAC's Customer Relationship Management strategies83</w:t>
      </w:r>
    </w:p>
    <w:p>
      <w:r>
        <w:t>61. Additionally, for the sales points owned by PAC and leased to third parties, from the contractual documentation84 - including those subject to this Operation85 - an even more limited management autonomy emerges for the leasing members who, in general, must adhere to the philosophy and image defined by PAC (Article 6) and, in particular, are specifically obliged, among other things, to “c) adhere to the relevant promotional campaigns […]; d) procure goods exclusively from PAC 2000 A […] and its subsidiaries, unless expressly authorized for those supplies […]; e) accept without reservation the changes of brand and image proposed by”86 PAC, with which they are obliged to maintain the association relationship for the entire duration of the contract, and which affects many management aspects such as, for example, closing days and department management.</w:t>
      </w:r>
    </w:p>
    <w:p>
      <w:r>
        <w:t>62. The elements presented so far characterize PAC's network of sales points as marked by a high degree of commercial uniformity. There are indeed various elements confirming that, from the point of view of the sales format (brands, trademarks, other distinguishing signs), commercial, promotional, and marketing policies, PAC's network of sales points operates as a single network of sales points according to a coherent and uniform commercial positioning.</w:t>
      </w:r>
    </w:p>
    <w:p>
      <w:r>
        <w:t>63. These elements have led the Authority to consider, in its precedents, PAC's network as unitary. In addition, the further elements of uniformity among the sales points of other Conad cooperatives (the so-called second-level cooperatives of the Conad system, such as Conad Adriatico or Conad Nord Ovest) have led to considering these latter competitors as not suitable to exert adequate competitive pressure on the sales points of the same Conad brand87.</w:t>
      </w:r>
    </w:p>
    <w:p>
      <w:r>
        <w:t>64. In this sense, Selex observes that “Coop and Conad, while being realities that aggregate autonomous entities like the Conad group, […] have, unlike us, both a single brand and a single brand for their Private Labels”88.</w:t>
      </w:r>
    </w:p>
    <w:p>
      <w:r>
        <w:t>83 Cfr. doc. 108.6.</w:t>
        <w:br/>
        <w:t>84 Cfr. docs. from 115.1 to 115.14.</w:t>
        <w:br/>
        <w:t>85 As for [omissis].</w:t>
        <w:br/>
        <w:t>86 Cfr. docs. from 115.1 to 115.14.</w:t>
        <w:br/>
        <w:t>87 Cfr., ex multis: C12247B - BDC Italia-Conad/Auchan, measure No. 28163 of February 25, 2020, in Bulletin No. 10/2020. In this sense, for example, in the Authority's assessment, the market shares of all Conad cooperatives have been considered jointly.</w:t>
        <w:br/>
        <w:t>88 Cfr. doc. 42.1.</w:t>
      </w:r>
    </w:p>
    <w:p>
      <w:r>
        <w:rPr>
          <w:b/>
        </w:rPr>
        <w:t>[Pages 94–96]</w:t>
      </w:r>
    </w:p>
    <w:p>
      <w:r>
        <w:t>96 BULLETIN NO. 1 OF JANUARY 7, 2025</w:t>
      </w:r>
    </w:p>
    <w:p>
      <w:r>
        <w:t>65. On this point, it is also noted in the documents of PAC itself that the brand is “a unique entity different from any other distribution formula present in the territory.”89</w:t>
      </w:r>
    </w:p>
    <w:p>
      <w:r>
        <w:t xml:space="preserve">V.2. The market context of the municipality of Rome  </w:t>
        <w:br/>
        <w:t>V.2.a. Local competitive dynamics</w:t>
      </w:r>
    </w:p>
    <w:p>
      <w:r>
        <w:t>66. The scenario of the GDO (Large-Scale Distribution) in the municipal territory of Rome appears to present some peculiar characteristics compared to what can be observed in other territorial areas. In particular, there is a greater penetration of sales points with smaller surfaces, characterized by a proximity vocation, while there is a lower diffusion of hypermarkets. For example, as can be observed in Table 2 below, in the territory of Rome (and, in general, in Lazio), the average surface area of GDO sales points is about 650-700 sqm, compared to about 850-1,000 sqm in Lombardy, Veneto, Emilia Romagna, and Friuli Venezia Giulia. The percentage of hypermarkets, moreover, stands at 2-3% in Rome and Lazio, compared to 5-7% in the northern areas of Italy.89</w:t>
      </w:r>
    </w:p>
    <w:p>
      <w:r>
        <w:t>BULLETIN NO. 1 OF JANUARY 7, 2025</w:t>
      </w:r>
    </w:p>
    <w:p>
      <w:r>
        <w:t>Table 2 – Characteristics of GDO sales points in the municipality of Rome and geographical comparison90</w:t>
      </w:r>
    </w:p>
    <w:p>
      <w:r>
        <w:t xml:space="preserve">% % %  </w:t>
        <w:br/>
        <w:t xml:space="preserve">Number of Average Surface  </w:t>
        <w:br/>
        <w:t xml:space="preserve">Sales Points Area  </w:t>
        <w:br/>
        <w:t xml:space="preserve">Region Discount Hypermarket Supermarket  </w:t>
        <w:br/>
        <w:t xml:space="preserve">Piemonte 1735 857.8 26% 6% 31%  </w:t>
        <w:br/>
        <w:t xml:space="preserve">Valle D'Aosta 66 634.6 14% 3% 18%  </w:t>
        <w:br/>
        <w:t xml:space="preserve">Liguria 813 533.6 27% 1% 26%  </w:t>
        <w:br/>
        <w:t xml:space="preserve">Lombardia 3042 1062 29% 8% 32%  </w:t>
        <w:br/>
        <w:t xml:space="preserve">Total Area 1 5656 918.4 28% 7% 31%  </w:t>
        <w:br/>
        <w:t xml:space="preserve">Trentino-Alto Adige 750 519.1 13% 1% 33%  </w:t>
        <w:br/>
        <w:t xml:space="preserve">Veneto 1932 940.1 27% 7% 35%  </w:t>
        <w:br/>
        <w:t xml:space="preserve">Emilia-Romagna 1569 876.7 25% 5% 39%  </w:t>
        <w:br/>
        <w:t xml:space="preserve">Friuli-Venezia Giulia 588 870.8 26% 5% 39%  </w:t>
        <w:br/>
        <w:t xml:space="preserve">Total Area 2 4839 845.9 24% 5% 36%  </w:t>
        <w:br/>
        <w:t xml:space="preserve">Toscana 1189 772.3 24% 5% 32%  </w:t>
        <w:br/>
        <w:t xml:space="preserve">Umbria 498 694.4 20% 2% 39%  </w:t>
        <w:br/>
        <w:t xml:space="preserve">Marche 755 701.3 14% 4% 38%  </w:t>
        <w:br/>
        <w:t xml:space="preserve">Lazio 2301 693.2 25% 2% 37%  </w:t>
        <w:br/>
        <w:t xml:space="preserve">of which Rome 992 725.9 25% 3% 39%  </w:t>
        <w:br/>
        <w:t xml:space="preserve">Sardegna 1181 513.9 21% 1% 25%  </w:t>
        <w:br/>
        <w:t xml:space="preserve">Total Area 3 5924 674.5 22% 3% 34%  </w:t>
        <w:br/>
        <w:t xml:space="preserve">Abruzzo 600 742.2 24% 4% 38%  </w:t>
        <w:br/>
        <w:t xml:space="preserve">Basilicata 366 447.7 21% 1% 25%  </w:t>
        <w:br/>
        <w:t xml:space="preserve">Calabria 1063 582.9 14% 2% 33%  </w:t>
        <w:br/>
        <w:t xml:space="preserve">Campania 2542 490.4 12% 1% 34%  </w:t>
        <w:br/>
        <w:t xml:space="preserve">Molise 135 615.9 22% 3% 30%  </w:t>
        <w:br/>
        <w:t xml:space="preserve">Puglia 1872 558.8 23% 1% 32%  </w:t>
        <w:br/>
        <w:t xml:space="preserve">Sicilia 2127 602.6 25% 1% 37%  </w:t>
        <w:br/>
        <w:t xml:space="preserve">Total Area 4 8705 561.3 19% 1% 34%  </w:t>
        <w:br/>
        <w:t>Italy 25124 723.2 23% 4% 34%</w:t>
      </w:r>
    </w:p>
    <w:p>
      <w:r>
        <w:t>67. According to what emerged in the internal documentation of DOC, in fact, “[n]ear the ring road, there has been an exponential growth of neighborhood stores (sales area &lt; 250 sqm) in the last 5 years due to the development promoted by Pam Local, Distribuzione Roma, Conad City, etc. […] The parameter of distribution density «sqm.DM*1000 res.» is equal to 252 in Rome compared to 292 in Italy and 235 in Tuscany.”91</w:t>
      </w:r>
    </w:p>
    <w:p>
      <w:r>
        <w:t xml:space="preserve">90 Elaborations on doc. 13.5.  </w:t>
        <w:br/>
        <w:t>91 Cf. doc. 5.3.</w:t>
      </w:r>
    </w:p>
    <w:p>
      <w:r>
        <w:t>98 BULLETIN NO. 1 OF JANUARY 7, 2025</w:t>
      </w:r>
    </w:p>
    <w:p>
      <w:r>
        <w:t>68. According to data provided by Esselunga, based on the sales spaces allocated to various types of sales points, “in 2024 the 'space share' allocated to the so-called 'Supermarket format' accounts for 52.2% of the total GDO sales space. Following is the share of the so-called 'Discount format' with 24.5%. Compared to the total in Italy, the share of surfaces &gt;= 2500 sqm (of the so-called 'Hypermarket format') appears undersized (12% vs 21.3%).”92 Even in the territory of the municipality of Rome, the space dedicated to the 'hypermarket' sales format is lower than the Italian average.93</w:t>
      </w:r>
    </w:p>
    <w:p>
      <w:r>
        <w:t>69. In fact, according to what emerges from the internal documents of DOC, in the territory of Rome there is “only one sales point with a turnover above 50 million (which is the Esselunga on Via Prenestina); just to make an example, in the municipality of Florence, which has 360,000 residents (13% of the residents of Rome), there are as many as 6 sales points with sales exceeding 50 million […]; this difference denotes characteristics of consumption behaviors that in the Roman market favor medium-small supermarkets (neighborhood structures) over large attraction structures, and this can also be a consideration to take into account when designing the most appropriate formats.”94</w:t>
      </w:r>
    </w:p>
    <w:p>
      <w:r>
        <w:t>70. The presence of smaller sales points in the territory of Rome appears to stem, according to Esselunga, from “administrative and bureaucratic obstacles that make the opening of new sales points complex and slow, despite Rome being an area of interest for Esselunga and included in the company's expansion plans,”95 to which must be added a general complexity in opening sales areas larger than 2,500 sqm in the central areas of Rome.96</w:t>
      </w:r>
    </w:p>
    <w:p>
      <w:r>
        <w:t>71. PAM also observes difficulties in expansion in the municipal territory of Rome, particularly, “the main obstacle to expansion in the proximity sales point sector, and more generally for sales points located in the most densely populated city centers like Rome, is related to the opening of sales points, due to difficulties in finding suitable locations for the commercial needs of the brand, as well as administrative and bureaucratic issues. In addition to these difficulties related to operational needs, an economic evaluation must be made between the costs of the operation and the possibility of having sufficient demand in the face of the existing competitors, which in the smaller sales points in city centers is lower than in superstores, with higher burdens (for example, rents) and therefore the density of already existing sales points must also be considered.”97</w:t>
      </w:r>
    </w:p>
    <w:p>
      <w:r>
        <w:t>72. As for the dynamics experienced, according to what emerges from the internal documents of DOC, in the municipality of Rome “[t]he opportunities for development have been mainly for indirect development (acquisitions) and through the redevelopment of existing situations; very few new medium-sized structures (sales area &gt; 250 sqm) have opened within the ring road in the last 5 years, and among them, DOC*Roma has opened 2.”98</w:t>
      </w:r>
    </w:p>
    <w:p>
      <w:r>
        <w:t xml:space="preserve">73. In Table 3 below, the market shares calculated based on Nielsen data regarding the competitive weight of individual second-level purchasing centers are shown99 (and, specifying,  </w:t>
        <w:br/>
        <w:t xml:space="preserve">92 Cf. doc. 40.  </w:t>
        <w:br/>
        <w:t xml:space="preserve">93 Cf. doc. 40.  </w:t>
        <w:br/>
        <w:t xml:space="preserve">94 Cf. doc. 5.3.  </w:t>
        <w:br/>
        <w:t xml:space="preserve">95 Cf. doc. 82.  </w:t>
        <w:br/>
        <w:t xml:space="preserve">96 Cf. doc. 82.  </w:t>
        <w:br/>
        <w:t xml:space="preserve">97 Cf. doc. 91.  </w:t>
        <w:br/>
        <w:t xml:space="preserve">98 Cf. doc. 5.3.  </w:t>
        <w:br/>
        <w:t>99 In particular, the data used are from the NielsenIQ Guide to Large Consumption - First Edition 2024 and analyze the competitive weight of individual purchasing centers and CE.DI. of the GDO based on the turnover of modern distribution, considering the distinction between the formats of sales points and breaking it down according to the three macro-indices (i) potential packaged large consumption, (ii) potential fresh products, (iii) potential non-food.</w:t>
      </w:r>
    </w:p>
    <w:p>
      <w:r>
        <w:rPr>
          <w:b/>
        </w:rPr>
        <w:t>[Pages 97–99]</w:t>
      </w:r>
    </w:p>
    <w:p>
      <w:r>
        <w:t>BULLETIN NO. 1 OF JANUARY 7, 2025 99</w:t>
      </w:r>
    </w:p>
    <w:p>
      <w:r>
        <w:t>in relevant cases, the CE.DI, including PAC and Unicoop/Doc) in the territory of Lazio and the municipality of Rome. In Lazio, and particularly in the territory of Rome, there is a high concentration among GDO operators. In particular, the Conad group holds points of sale that represent over 25% of the revenue generated in Rome (and PAC holds a share of about 21%) and represents the second distribution center after GROS100 (32%). The network of PAC points of sale is the main network present both in Lazio and in Rome.</w:t>
      </w:r>
    </w:p>
    <w:p>
      <w:r>
        <w:t>Table 3 - Large-scale distribution in the territory of Lazio and the municipality of Rome101</w:t>
      </w:r>
    </w:p>
    <w:p>
      <w:r>
        <w:t>Purchasing Center Lazio Municipality of Rome</w:t>
        <w:br/>
        <w:t>Conad 31% 25%</w:t>
        <w:br/>
        <w:t>of which PAC 26% 21%</w:t>
        <w:br/>
        <w:t>Coop Italia 4% 4%</w:t>
        <w:br/>
        <w:t>of which Unicoop (DOC) 1% 2%</w:t>
        <w:br/>
        <w:t>Selex Commerciale 29% 40%</w:t>
        <w:br/>
        <w:t>of which CE.DI GROS Scarl102 23% 32%</w:t>
        <w:br/>
        <w:t>of which Gabrielli Magazzini S.p.A. 3% 3%</w:t>
        <w:br/>
        <w:t>Carrefour Italia 7% 9%</w:t>
        <w:br/>
        <w:t>Pam 6% 7%</w:t>
        <w:br/>
        <w:t>Eurospin 10% 6%</w:t>
        <w:br/>
        <w:t>Lidl Italia 4% 3%</w:t>
        <w:br/>
        <w:t>Gruppo Végé 2% 1%</w:t>
        <w:br/>
        <w:t>Others 7% 5%</w:t>
        <w:br/>
        <w:t>Total 100% 100%</w:t>
      </w:r>
    </w:p>
    <w:p>
      <w:r>
        <w:t>74. In this regard, Lidl observes that “the GDO market in Lazio is led by Conad with about 400 points of sale (240 convenience stores, 155 supermarkets, and 5 hypermarkets). Conad is present in Rome with about 130 points of sale (70 convenience stores, 59 supermarkets, and 1 hypermarket). Furthermore, this market is characterized by a strong presence of local operators, such as Pewex, PIM, DEM, and Elite”103.</w:t>
      </w:r>
    </w:p>
    <w:p>
      <w:r>
        <w:t>100 GROS is a consortium of organized distribution operators, primarily located in the territory of Rome, to which the following branded points of sale refer: Agorà Piazza Del Fresco; CTS Supermarkets; Dem; Idromarket Dem; Iper Dem; Ipercarni; Ipertriscount; Lemark; Ma Supermercati; Iper Pewex; Pewex; Pewex City EffepiuEffepiù; Il Castoro; Pim and Sacoph.</w:t>
      </w:r>
    </w:p>
    <w:p>
      <w:r>
        <w:t>101 Elaborations on doc. 13.5</w:t>
      </w:r>
    </w:p>
    <w:p>
      <w:r>
        <w:t>102 For GROS, it is noted that the share of the main brand adhering to GROS (namely PIM together with Agorà Piazza del Fresco) is about 5% in Lazio and 10% in Rome (cf. doc. 13.5).</w:t>
      </w:r>
    </w:p>
    <w:p>
      <w:r>
        <w:t>103 Cf. doc. 44.1.</w:t>
      </w:r>
    </w:p>
    <w:p>
      <w:r>
        <w:t>100 BULLETIN NO. 1 OF JANUARY 7, 2025</w:t>
      </w:r>
    </w:p>
    <w:p>
      <w:r>
        <w:t>75. PAC itself acknowledges, in its documents, the “leadership position in the Central - Southern Italy regions”104. In fact, as can be seen in Figure 5 below, PAC identifies itself as the leading operator in Lazio, with a market share of 30.69%. According to the analysis conducted by The European House - Ambrosetti for PAC, it “holds market leadership in the GDO in 3 of the 5 Regions in which it operates”; moreover, PAC is the eighth company among the main industrial and service companies with legal headquarters in the 5 Regions of activity and holds the first position in the reference sector105.</w:t>
      </w:r>
    </w:p>
    <w:p>
      <w:r>
        <w:t>Figure 5 – Analysis of PAC's network106</w:t>
      </w:r>
    </w:p>
    <w:p>
      <w:r>
        <w:t>104 Cf. doc. 108.6.</w:t>
      </w:r>
    </w:p>
    <w:p>
      <w:r>
        <w:t>105 Specifically, in terms of revenue value, it ranks after Enel, Eni, Kuwait Petroleum Italia, Ferrovie dello Stato, Poste Italiane, Italiana Petroli, and Axpo Italia (cf. doc. 124).</w:t>
      </w:r>
    </w:p>
    <w:p>
      <w:r>
        <w:t>106 Cf. doc. 108.6.</w:t>
      </w:r>
    </w:p>
    <w:p>
      <w:r>
        <w:t>BULLETIN NO. 1 OF JANUARY 7, 2025 101</w:t>
      </w:r>
    </w:p>
    <w:p>
      <w:r>
        <w:t>76. In this regard, according to PAM, “there is a growth in the concentration of points of sale in the Lazio territory and particularly in the metropolitan city of Rome.”107, this circumstance is set in a market context characterized by a significant degree of complexity, as shown by some ownership transitions of certain chains108.</w:t>
      </w:r>
    </w:p>
    <w:p>
      <w:r>
        <w:t>77. In this sense, Esselunga highlights that the Lazio region ranks sixteenth out of twenty regions with a convenience index of 102.5, thus being less convenient compared to the Italian average (index 100). Furthermore, the province of Rome ranks 67th in Italy among the 86 provinces considered, thus being one of the least convenient, with a convenience index of 102.6109. In particular, Rome is less convenient than other territorial areas such as Milan (which ranks as the eighteenth most convenient province in Italy, with an index of 98.4), Florence (26th place, with an index of 99.3), Naples (8th place, convenience index 97.7), and Turin (31st place, with a convenience index of 99.4)110. In fact, Esselunga observes that “the Roman market is already characterized by low competitive pressure on prices, that is, by a price level higher than the average of other geographical areas”111.</w:t>
      </w:r>
    </w:p>
    <w:p>
      <w:r>
        <w:t>78. Indeed, according to PAM, “in principle, the higher the level of concentration of an operator in certain areas, the greater the ability to manage the territory with its own commercial policies. This can determine a certain autonomy in choosing pricing and promotion policies, due to the position acquired in the local area. […] the differences that exist in different local areas in Italy are generally significant, […] normally, city center areas are characterized by proximity points of sale, with higher prices and lower competitive pressure where, for example, there is no competitive push from large hypermarkets”112.</w:t>
      </w:r>
    </w:p>
    <w:p>
      <w:r>
        <w:t>V.2.b. Characteristics of PAC and Unicoop's offer in the territory of Rome</w:t>
      </w:r>
    </w:p>
    <w:p>
      <w:r>
        <w:t>79. PAC's offer in Lazio and, more specifically, in Rome occurs through points of sale that present differentiated brands depending on the chosen sales format (Figure 6, as well as Table 4 and Table 5 below).</w:t>
      </w:r>
    </w:p>
    <w:p>
      <w:r>
        <w:t>107 Cf. doc. 39.1.</w:t>
      </w:r>
    </w:p>
    <w:p>
      <w:r>
        <w:t>108 Cf. doc. 39.1. In particular, PAM reports on the sales of Dok Supermercati and Unicoop Tirreno that took place in Rome.</w:t>
      </w:r>
    </w:p>
    <w:p>
      <w:r>
        <w:t>109 Cf. doc. 40.</w:t>
      </w:r>
    </w:p>
    <w:p>
      <w:r>
        <w:t>110 Cf. doc. 40.</w:t>
      </w:r>
    </w:p>
    <w:p>
      <w:r>
        <w:t>111 Cf. doc. 82.</w:t>
      </w:r>
    </w:p>
    <w:p>
      <w:r>
        <w:t>112 Cf. doc. 91.</w:t>
      </w:r>
    </w:p>
    <w:p>
      <w:r>
        <w:rPr>
          <w:b/>
        </w:rPr>
        <w:t>[Pages 100–102]</w:t>
      </w:r>
    </w:p>
    <w:p>
      <w:r>
        <w:t>102 BULLETIN NO. 1 OF JANUARY 7, 2025</w:t>
      </w:r>
    </w:p>
    <w:p>
      <w:r>
        <w:t>Figure 6 – Sales Formats of the PAC Network in Its Operational Areas113</w:t>
      </w:r>
    </w:p>
    <w:p>
      <w:r>
        <w:t>80. In particular, the Conad City and Margherita114 sales points represent a sales format characterized by a smaller sales area, fewer references115, and are generally neighborhood stores, without parking facilities. The stores under the Conad116 and Conad Superstore117 brands are characterized by larger sales areas (on average approximately 800 and 1,700 square meters respectively) and a wider range of references, as well as a general availability of parking. The stores under the Spazio Conad118 brand represent the hypermarket sales format, with large sales areas, averaging about 5,000 square meters.</w:t>
      </w:r>
    </w:p>
    <w:p>
      <w:r>
        <w:t>113 Cf. doc. 108.6.</w:t>
      </w:r>
    </w:p>
    <w:p>
      <w:r>
        <w:t>114 The Conad City and Margherita branded stores belonging to PAC and its associates/affiliates represent 17% and 4% of PAC's sales points in Lazio, and 9% and 3% in the municipality of Rome, respectively. Cf. doc. 13.5.</w:t>
      </w:r>
    </w:p>
    <w:p>
      <w:r>
        <w:t>115 For example, only 53% of Conad City stores in Lazio have a meat department, only 19% of them have a fresh pastry department, and only 7% of them have a fresh fish department. Cf. Table 4 and Table 5.</w:t>
      </w:r>
    </w:p>
    <w:p>
      <w:r>
        <w:t>116 The stores under the Conad brand represent 33% and 36% of the sales points belonging to PAC in Rome and Lazio, respectively. Cf. doc. 13.5.</w:t>
      </w:r>
    </w:p>
    <w:p>
      <w:r>
        <w:t>117 The stores under the Conad Superstore brand represent 5% and 8% of the sales points belonging to PAC in Rome and Lazio, respectively. Cf. doc. 13.5.</w:t>
      </w:r>
    </w:p>
    <w:p>
      <w:r>
        <w:t>118 The stores under the Spazio Conad brand represent 2% and 1% of the sales points belonging to PAC in Rome and Lazio, respectively. Cf. doc. 13.5.</w:t>
      </w:r>
    </w:p>
    <w:p>
      <w:r>
        <w:t>BULLETIN NO. 1 OF JANUARY 7, 2025 103</w:t>
      </w:r>
    </w:p>
    <w:p>
      <w:r>
        <w:t>Table 4 – Characteristics of the Sales Points of the Parties in Lazio119</w:t>
      </w:r>
    </w:p>
    <w:p>
      <w:r>
        <w:t>Presence</w:t>
        <w:br/>
        <w:t>Average of</w:t>
        <w:br/>
        <w:t>Presence Presence Presence Presence Department Presence</w:t>
        <w:br/>
        <w:t>square Presence Presence</w:t>
        <w:br/>
        <w:t>Brands of No. of points Counter Department Department Department Cold Cuts Department Presence</w:t>
        <w:br/>
        <w:t>points of sale sales Frozen/ Bread Pastry Fish Cheese - Fruit/ Parking</w:t>
        <w:br/>
        <w:t>of the points Assisted Meat</w:t>
        <w:br/>
        <w:t>Ice Cream Fresh Pastry Fresh Fresh Gastronomy Vegetables</w:t>
        <w:br/>
        <w:t>of sale</w:t>
        <w:br/>
        <w:t>Conad 181 885.8 99% 100% 94% 97% 43% 46% 100% 97% 70%</w:t>
        <w:br/>
        <w:t>Conad City 86 261.4 99% 100% 53% 95% 19% 7% 100% 83% 44%</w:t>
        <w:br/>
        <w:t>Conad</w:t>
        <w:br/>
        <w:t>39 1718 100% 100% 100% 97% 56% 85% 100% 100% 92%</w:t>
        <w:br/>
        <w:t>Superstore</w:t>
        <w:br/>
        <w:t>Margherita 20 149 100% 100% 5% 85% 15% 0% 100% 50% 35%</w:t>
        <w:br/>
        <w:t>Spazio Conad 5 4810 100% 100% 100% 100% 100% 100% 100% 100% 100%</w:t>
        <w:br/>
        <w:t>Todis 167 593.8 83% 97% 94% 93% 43% 27% 100% 96% 63%</w:t>
        <w:br/>
        <w:t>Total PAC 2000 500120 752.6 94% 99% 84% 95% 39% 34% 100% 93% 64%</w:t>
        <w:br/>
        <w:t>DOC 14121 1010 100% 100% 100% 100% 79% 93% 100% 100% 79%</w:t>
      </w:r>
    </w:p>
    <w:p>
      <w:r>
        <w:t>81. Finally, the Todis122 branded stores constitute PAC's offering in the discount segment, under private label, and are also oriented towards a proximity positioning, with smaller sales areas (on average about 500 square meters) and less availability of parking.</w:t>
      </w:r>
    </w:p>
    <w:p>
      <w:r>
        <w:t>119 Elaborations on doc. 13.5 (data updated as of January 1, 2024).</w:t>
      </w:r>
    </w:p>
    <w:p>
      <w:r>
        <w:t>120 It should be noted that for 2 points of sale, the Nielsen database (codes 0000087757 and 0000001496) does not indicate the brand, and therefore, the total number of PAC sales points (500) is higher than the sum of the sales points by brand (498).</w:t>
      </w:r>
    </w:p>
    <w:p>
      <w:r>
        <w:t>121 It should be noted that of the 14 DOC points of sale, only 13 were subject to transfer to PAC.</w:t>
      </w:r>
    </w:p>
    <w:p>
      <w:r>
        <w:t>122 The Todis branded stores represent 49% and 33% of the sales points belonging to PAC in Rome and Lazio, respectively. Cf. doc. 13.5.</w:t>
      </w:r>
    </w:p>
    <w:p>
      <w:r>
        <w:t>104 BULLETIN NO. 1 OF JANUARY 7, 2025</w:t>
      </w:r>
    </w:p>
    <w:p>
      <w:r>
        <w:t>Table 5 - Characteristics of the Sales Points of the Parties in the Municipality of Rome123</w:t>
      </w:r>
    </w:p>
    <w:p>
      <w:r>
        <w:t>Presence</w:t>
        <w:br/>
        <w:t>Average of</w:t>
        <w:br/>
        <w:t>Presence Presence Presence Presence Department Presence</w:t>
        <w:br/>
        <w:t>square Presence Presence</w:t>
        <w:br/>
        <w:t>Brands of No. of points Counter Department Department Department Cold Cuts Department Presence</w:t>
        <w:br/>
        <w:t>points of sale sales Frozen/ Bread Pastry Fish Cheese - Fruit/ Parking</w:t>
        <w:br/>
        <w:t>of the points Assisted Meat</w:t>
        <w:br/>
        <w:t>Ice Cream Fresh Pastry Fresh Fresh Gastronomy Vegetables</w:t>
        <w:br/>
        <w:t>of sale</w:t>
        <w:br/>
        <w:t>Conad 65 929.0 99% 100% 94% 97% 43% 46% 100% 97% 70%</w:t>
        <w:br/>
        <w:t>Conad City 18 250.1 99% 100% 53% 95% 19% 7% 100% 83% 44%</w:t>
        <w:br/>
        <w:t>Conad</w:t>
        <w:br/>
        <w:t>9 1735.0 100% 100% 100% 97% 56% 85% 100% 100% 92%</w:t>
        <w:br/>
        <w:t>Superstore</w:t>
        <w:br/>
        <w:t>Margherita 5 131.0 100% 100% 5% 85% 15% 0% 100% 50% 35%</w:t>
        <w:br/>
        <w:t>Spazio Conad 3 5053.3 100% 100% 100% 100% 100% 100% 100% 100% 100%</w:t>
        <w:br/>
        <w:t>Todis 98 532.1 83% 97% 94% 93% 43% 27% 100% 96% 63%</w:t>
        <w:br/>
        <w:t>PAC 2000 198 749.8 94% 99% 84% 95% 39% 34% 100% 93% 64%</w:t>
        <w:br/>
        <w:t>DOC 13 1024 100% 100% 100% 100% 79% 93% 100% 100% 79%</w:t>
      </w:r>
    </w:p>
    <w:p>
      <w:r>
        <w:t>82. The Target branches consist of thirteen DOC branded GDO points of sale located in Rome and province listed in the following Table 6, all falling within the supermarket category, that is, points of sale with an area between 400 and 2,500 square meters. In particular, of the 13 points of sale, 10 have an area between 400 and 1,000 square meters, while the remaining three points of sale subject to transfer have an area exceeding 1,000 square meters (Table 6 below). The average area of the points of sale is approximately 950-1,000 square meters, while the median area is approximately 800-850 square meters.</w:t>
      </w:r>
    </w:p>
    <w:p>
      <w:r>
        <w:t>123 Elaborations on doc. 13.5 (data updated as of January 1, 2024). It should be noted that, according to the most recent data provided by PAC on October 9, 2024, the number of sales points in the municipal territory of Rome has increased to 206.</w:t>
      </w:r>
    </w:p>
    <w:p>
      <w:r>
        <w:rPr>
          <w:b/>
        </w:rPr>
        <w:t>[Pages 103–105]</w:t>
      </w:r>
    </w:p>
    <w:p>
      <w:r>
        <w:t>BULLETIN NO. 1 OF JANUARY 7, 2025 105</w:t>
        <w:br/>
        <w:t>Table 6 - List of sales points subject to transfer</w:t>
        <w:br/>
        <w:t>No. Address Municipality Province Region Area</w:t>
        <w:br/>
        <w:t>1 [omissis] Rome RM Lazio 400-1,000</w:t>
        <w:br/>
        <w:t>2 [omissis] Rome RM Lazio 1,700-2,500</w:t>
        <w:br/>
        <w:t>3 [omissis] Rome RM Lazio 400-1,000</w:t>
        <w:br/>
        <w:t>4 [omissis] Rome RM Lazio 400-1,000</w:t>
        <w:br/>
        <w:t>5 [omissis] Rome RM Lazio 400-1,000</w:t>
        <w:br/>
        <w:t>6 [omissis] Rome RM Lazio 400-1,000</w:t>
        <w:br/>
        <w:t>7 [omissis] Rome RM Lazio 400-1,000</w:t>
        <w:br/>
        <w:t>8 [omissis] Marino RM Lazio 400-1,000</w:t>
        <w:br/>
        <w:t>9 [omissis] Rome RM Lazio 400-1,000</w:t>
        <w:br/>
        <w:t>10 [omissis] Rome RM Lazio 400-1,000</w:t>
        <w:br/>
        <w:t>11 [omissis] Rome RM Lazio 1,000-1,700</w:t>
        <w:br/>
        <w:t>12 [omissis] Rome RM Lazio 400-1,000</w:t>
        <w:br/>
        <w:t>13 [omissis] Rome RM Lazio 1,000-1,700</w:t>
        <w:br/>
        <w:t>83. In fact, as can be inferred from the internal presentation of PAC shown in Figure 7 below, among the DOC sales points subject to transfer, some so-called "neighborhood" sales points can be identified, which are smaller in size and primarily located in the historic city center, as well as larger sales points that fall within the classic supermarket format.</w:t>
        <w:br/>
        <w:t>Figure 7 – Illustration of the sales points subject to transfer124</w:t>
        <w:br/>
        <w:t>[omissis]</w:t>
        <w:br/>
        <w:t>84. The DOC sales points can therefore be divided into two types: i) a first group of sales points with a reduced area and a central location, characterized by a neighborhood commercial connotation, ii) a second group of sales points with a larger area, exceeding 1,000 sqm, more aligned with the classic supermarket. According to what PAC indicated in its Board of Directors' minutes, [omissis]125.</w:t>
        <w:br/>
        <w:t>85. The sales points in question are characterized by a small area and an offer of products designed for daily consumption and the sale of "high turnover" goods, that is, goods not intended to be stored for long periods. These characteristics are typical of "proximity" supermarkets, a category to which the sales points subject to the operation belong. Proximity supermarkets serve a limited customer base, primarily consisting of consumers residing within a short radius who predominantly walk to the sales point. This limited customer base, along with the resulting reduction in competitive pressure, places the DOC sales points in a less advantageous position in the convenience index, with an overall price index of 108.26, significantly higher than that of other Unicoop sales points, which stands at 93.74126.</w:t>
        <w:br/>
        <w:t>86. Finally, in Table 7 below, the market shares are shown – indicated in the measure initiating the procedure for each relevant supermarket market – including all sales points larger than 100 sqm located within a 15-minute drive, under actual traffic conditions, for the supermarket and hypermarket markets – of PAC and the business branches of Target. It should be noted that the shares were provided by PAC in the form127 and, in particular, the buyer's share was calculated by PAC considering all Conad sales points as a whole, both those pertaining to the PAC sales network and those related to the Conad Nord Ovest sales network (hereinafter also "CNO"), another second-level cooperative of the Conad system, present in some areas of Lazio.</w:t>
        <w:br/>
        <w:t>Table 7 - Market shares indicated in the form128</w:t>
        <w:br/>
        <w:t>Share Share Share Share first Delta</w:t>
        <w:br/>
        <w:t>No. Address</w:t>
        <w:br/>
        <w:t>CONAD Target Joint competitor HHI</w:t>
        <w:br/>
        <w:t>1 [omissis] 30-35% 5-10% 35-40% 15-20% 379</w:t>
        <w:br/>
        <w:t>2 [omissis] 30-35% 1-5% 30-35% 5-10% 127</w:t>
        <w:br/>
        <w:t>3 [omissis] 30-35% &lt;1% 35-40% 5-10% 64</w:t>
        <w:br/>
        <w:t>4 [omissis] 20-25% 1-5% 25-30% 15-20% 180</w:t>
        <w:br/>
        <w:t>5 [omissis] 20-25% 1-5% 25-30% 20-25% 184</w:t>
        <w:br/>
        <w:t>6 [omissis] 20-25% 1-5% 25-30% 20-25% 117</w:t>
        <w:br/>
        <w:t>7 [omissis] 20-25% 1-5% 20-25% 20-25% 98</w:t>
        <w:br/>
        <w:t>8 [omissis] 15-20% 1-5% 20-25% 15-20% 127</w:t>
        <w:br/>
        <w:t>9 [omissis] 15-20% 5-10% 20-25% 15-20% 190</w:t>
        <w:br/>
        <w:t>10 [omissis] 20-25% 1-5% 25-30% 15-20% 162</w:t>
        <w:br/>
        <w:t>11 [omissis] 20-25% 1-5% 25-30% 15-20% 183</w:t>
        <w:br/>
        <w:t>12 [omissis] 30-35% 5-10% 35-40% 10-15% 432</w:t>
        <w:br/>
        <w:t>13 [omissis] 30-35% 5-10% 35-40% 10-15% 420</w:t>
        <w:br/>
        <w:t>87. During the investigative activity, PAC deemed it appropriate to provide updated market shares129. The updates concerned: (i) a distinction between the Conad-PAC sales network and that of Conad-CNO, (ii) an aggregation of some competitors sharing the same CE.DI, (iii) an update of new openings and closures in light of the new data from Nielsen. Due to the significant discrepancies that emerged, it was requested to provide the isochrones data from which PAC's calculations could be verified130. From the control carried out, it emerged that the new market shares illustrated by PAC during the hearing, far from being a mere detailed update, were calculated by including over 400 sales points not included in the form and with travel distances exceeding 15 minutes, thus proving to be inaccurate and unreliable131.</w:t>
        <w:br/>
        <w:t>88. In the following table, however, market shares have been calculated – for isochrones No. 1-6 and 10-13 subject to the investigation – using the data provided in the form, with greater detail regarding the operators present in those markets.</w:t>
        <w:br/>
        <w:t>130 Cf. doc. 109, containing the request for information, as well as docs. No. 112 and 115.25, containing the responses to the request for clarifications.</w:t>
        <w:br/>
        <w:t>131 On this point, see the request for clarifications regarding the data, cf. doc. 114. In this regard, PAC confirmed that the new market shares were the result of a material error in the code for extracting data from the Google Matrix distance, which led to the inclusion of sales points with travel times in traffic exceeding 15 minutes (cf. doc. 119,</w:t>
      </w:r>
    </w:p>
    <w:p>
      <w:r>
        <w:rPr>
          <w:b/>
        </w:rPr>
        <w:t>[Pages 106–108]</w:t>
      </w:r>
    </w:p>
    <w:p>
      <w:r>
        <w:t>108 BULLETIN NO. 1 OF JANUARY 7, 2025</w:t>
        <w:br/>
        <w:t>Table 8 – Detail of market shares in isochrones no. 1-6 and 10-13132</w:t>
        <w:br/>
        <w:t>1 2 3 4 5 6 10 11 12 13</w:t>
        <w:br/>
        <w:t>Conad-PAC 25-30% 25-30% 30-35% 10-15% 10-15% 10-15% 10-15% 15-20% 25-30% 25-30%</w:t>
        <w:br/>
        <w:t>Target 5-10% 1-5% &lt;1% 1-5% 1-5% 1-5% 1-5% 1-5% 5-10% 5-10%</w:t>
        <w:br/>
        <w:t>Total</w:t>
        <w:br/>
        <w:t>30-35% 25-30% 30-35% 15-20% 15-20% 10-15% 15-20% 20-25% 30-35% 30-35%</w:t>
        <w:br/>
        <w:t>PAC+Target</w:t>
        <w:br/>
        <w:t>Conad-CNO 1-5% 5-10% 1-5% 5-10% 5-10% 10-15% 10-15% 5-10% 1-5% 5-10%</w:t>
        <w:br/>
        <w:t>Total</w:t>
        <w:br/>
        <w:t>35-40% 30-35% 35-40% 25-30% 25-30% 25-30% 25-30% 25-30% 35-40% 35-40%</w:t>
        <w:br/>
        <w:t>Conad+Target</w:t>
        <w:br/>
        <w:t>PAM-Panorama 7.6% 8.7% 3.7% 4.9% 8.9% 0.7% 4.7% 5.6% 2.9% 4.5%</w:t>
        <w:br/>
        <w:t>Carrefour 10.5% 5.6% 4.4% 15.2% 10.3% 17.6% 17.3% 1.9% 12.3% 6.9%</w:t>
        <w:br/>
        <w:t>PIM-Agorà (CE.DI.</w:t>
        <w:br/>
        <w:t>18.7% 8.0% 8.3% 8.2% 25.5% 26.9% 8.5% 22.7% 19.0% 11.0%</w:t>
        <w:br/>
        <w:t>GROS)</w:t>
        <w:br/>
        <w:t>Il Castoro (CE.DI.</w:t>
        <w:br/>
        <w:t>0.0% 0.0% 2.1% 8.1% 0.0% 3.2% 6.4% 0.0% 0.0% 1.1%</w:t>
        <w:br/>
        <w:t>GROS)</w:t>
        <w:br/>
        <w:t>Pewex (CE.DI.</w:t>
        <w:br/>
        <w:t>6.3% 7.4% 6.7% 2.6% 3.4% 4.0% 6.2% 2.9% 5.7% 12.0%</w:t>
        <w:br/>
        <w:t>GROS)</w:t>
        <w:br/>
        <w:t>MA Supermercati</w:t>
        <w:br/>
        <w:t>2.4% 1.9% 5.0% 1.6% 0.5% 0.0% 0.0% 0.0% 2.8% 2.1%</w:t>
        <w:br/>
        <w:t>(CE.DI. GROS)</w:t>
        <w:br/>
        <w:t>Ipertriscount-</w:t>
        <w:br/>
        <w:t>Ipercarni (CE.DI. 0.7% 1.2% 5.0% 2.5% 0.0% 0.0% 0.0% 1.0% 0.9% 0.6%</w:t>
        <w:br/>
        <w:t>GROS)</w:t>
        <w:br/>
        <w:t>Elite 2.4% 6.9% 3.4% 3.7% 1.9% 1.6% 3.9% 4.7% 2.8% 6.2%</w:t>
        <w:br/>
        <w:t>Eurospin 2.7% 6.2% 8.9% 1.0% 4.4% 0.7% 1.0% 10.9% 2.5% 2.5%</w:t>
        <w:br/>
        <w:t>Tigre 2.9% 1.3% 0.0% 10.0% 3.2% 4.2% 11.9% 0.3% 3.5% 2.1%</w:t>
        <w:br/>
        <w:t>Lidl 2.2% 2.2% 2.3% 2.1% 2.3% 0.0% 2.2% 3.1% 2.5% 1.9%</w:t>
        <w:br/>
        <w:t>Penny 0.8% 0.4% 0.0% 1.2% 0.8% 0.4% 1.0% 0.6% 0.7% 0.7%</w:t>
        <w:br/>
        <w:t>Esselunga 0.7% 0.0% 0.0% 1.3% 1.0% 0.0% 1.3% 0.0% 0.0% 0.0%</w:t>
        <w:br/>
        <w:t>Others (CE.DI.GROS) 1.6% 5.1% 9.3% 1.1% 4.4% 5.7% 0.0% 9.4% 1.9% 4.0%</w:t>
        <w:br/>
        <w:t>Other brands 1-5% 10-15% 5-10% 5-10% 5-10% 5-10% 5-10% 5-10% 1-5% 1-5%</w:t>
        <w:br/>
        <w:t>V.3. The Exit survey</w:t>
        <w:br/>
        <w:t>V.3.a. Premise</w:t>
        <w:br/>
        <w:t>89. In order to better analyze the concentration under examination, a sample market research (hereinafter, briefly, the “Exit survey”) was conducted to verify the substitutability relationships between PAC and Target, to analyze the effects of the concentration, and, more generally, to collect useful elements for the assessment of the concentration in the GDO sector.</w:t>
        <w:br/>
        <w:t>90. The concentration was carried out through the administration, by the commissioned company GfK-NielsenIq, to a nationally representative sample of consumers, of a questionnaire at the exit of the cash registers of some of the Target sales points in CAPI mode (Computer Aided Personal Interviewing)133.</w:t>
        <w:br/>
        <w:t>91. The surveys were conducted at the centroid sales points of the isochrones: 1 – [omitted] – Rome; 2 – [omitted] – Rome; 10 – [omitted] – Rome; 12 – [omitted] – Rome; 13 – [omitted] – Rome, on the days between October 9 and 16, 2024. For each sales point, approximately 200 interviews were completed, for a total of 1,018 interviews for the 5 sales points.</w:t>
        <w:br/>
        <w:t>V.3.b. Main results of the exit survey</w:t>
        <w:br/>
        <w:t>92. According to the survey results, the smaller DOC sales points (less than approximately 1,000 sqm) present a neighborhood commercial profile, with a majority portion of consumers reaching the sales point on foot (equal to or greater than approximately 60% in isochrones no. 1, 10, 12; see Table 9 below).</w:t>
        <w:br/>
        <w:t>Table 9 – Modes of reaching the sales points134</w:t>
        <w:br/>
        <w:t>N. Address Sup. On foot By car/motorcycle Public transport/other</w:t>
        <w:br/>
        <w:t>1 [omitted] 400-1,000 59.6% 40.4% 0.0%</w:t>
        <w:br/>
        <w:t>2 [omitted] 1,700-2,500 15.1% 84.4% 0.5%</w:t>
        <w:br/>
        <w:t>10 [omitted] 400-1,000 62.1% 36.9% 1.0%</w:t>
        <w:br/>
        <w:t>12 [omitted] 400-1,000 78.1% 21.0% 1.0%</w:t>
        <w:br/>
        <w:t>13 [omitted] 1,000-1,700 31.3% 68.3% 0.5%</w:t>
        <w:br/>
        <w:t>93. Regarding travel times, the survey confirmed that almost all consumers use sales points reachable within a travel time of less than 15 minutes. In fact, on average, 89.7% of respondents reach the sales point within 15 minutes of travel (Table 10 below).</w:t>
        <w:br/>
        <w:t>133 See docs. 73 (and attachments) and 90.1.</w:t>
        <w:br/>
        <w:t>134 Elaborations on document no. 73.2 (question no. 9). For values on sales area, see doc. 13.5</w:t>
      </w:r>
    </w:p>
    <w:p>
      <w:r>
        <w:t>110 BULLETIN NO. 1 OF JANUARY 7, 2025</w:t>
        <w:br/>
        <w:t>Table 10 – Travel times to reach the sales point135</w:t>
        <w:br/>
        <w:t>Percentage of respondents Cumulative distribution</w:t>
        <w:br/>
        <w:t>N. Address</w:t>
        <w:br/>
        <w:t>Less than 6-10 11-15 16-20 Over 20 Less than 6-10 11-15 16-20 Over 20</w:t>
        <w:br/>
        <w:t>5 min. min. min. min. min. 5 min. min. min. min. min.</w:t>
        <w:br/>
        <w:t>1 [omitted] 54.2% 30.5% 9.4% 4.4% 1.5% 54.2% 84.7% 94.1% 98.5% 100.0%</w:t>
        <w:br/>
        <w:t>2 [omitted] 17.6% 33.2% 16.1% 9.0% 24.1% 17.6% 50.8% 66.8% 75.9% 100.0%</w:t>
        <w:br/>
        <w:t>10 [omitted] 27.3% 40.9% 26.3% 5.6% 0.0% 27.3% 68.2% 94.4% 100.0% 100.0%</w:t>
        <w:br/>
        <w:t>12 [omitted] 65.2% 28.1% 5.2% 1.0% 0.5% 65.2% 93.3% 98.6% 99.5% 100.0%</w:t>
        <w:br/>
        <w:t>13 [omitted] 42.3% 43.8% 7.7% 3.4% 2.9% 42.3% 86.1% 93.8% 97.1% 100.0%</w:t>
        <w:br/>
        <w:t>Average 41.7% 35.3% 12.8% 4.6% 5.7% 41.7% 76.9% 89.7% 94.3% 100.0%</w:t>
        <w:br/>
        <w:t>94. A second element that emerged concerns the main reasons for customers' choice of sales point. In particular, the main reason indicated by consumers interviewed at the sales points relates to the ease of reaching the sales point and the proximity to the customer's reference points (home, work), indicated as the first option by 37% of respondents, and as the second and third options respectively by 17% and 9% of the same (Figure 8). Additional elements of choice considered important by consumers are the quality of products and the availability of parking or the presence of other stores around the sales point.</w:t>
        <w:br/>
        <w:t>135 Elaborations on document no. 73.2 (question no. 8).</w:t>
      </w:r>
    </w:p>
    <w:p>
      <w:r>
        <w:rPr>
          <w:b/>
        </w:rPr>
        <w:t>[Pages 109–111]</w:t>
      </w:r>
    </w:p>
    <w:p>
      <w:r>
        <w:t xml:space="preserve">BULLETIN NO. 1 OF JANUARY 7, 2025 111  </w:t>
        <w:br/>
        <w:t xml:space="preserve">Figure 8 – Main reasons for choosing the point of sale136  </w:t>
        <w:br/>
        <w:t xml:space="preserve">V.3.c. Competitive proximity and incentive to raise prices  </w:t>
        <w:br/>
        <w:t xml:space="preserve">95. Using the results of the exit survey, it is possible to analyze the competitive proximity of the parties and, in particular, the so-called diversion ratios (DR), which allow for the analysis of how much of the sales lost by a particular point of sale (due, for example, to a price increase or its closure) is "captured" by each competitor. In other words, the DR represents an index capable of capturing the actual relationships of substitutability (and mutual competition) between points of sale within the same relevant market.  </w:t>
        <w:br/>
        <w:t xml:space="preserve">96. In particular, the survey, having been conducted at the exit of the target company's points of sale – which also constitute the center of the isochrones – allowed for the quantification of the share of sales that would shift from these points to the PAC points of sale present in the various local markets.  </w:t>
        <w:br/>
        <w:t xml:space="preserve">97. In this way, it is possible to estimate the degree of competitive proximity that the buyer's stores exert on the centroids and, therefore, the competitive constraint that would be lost downstream of the concentration, an element that ultimately also affects the incentive of the post-merger entity to raise prices following the operation.  </w:t>
        <w:br/>
        <w:t xml:space="preserve">98. In this case, consumers from each of the points of sale subject to the survey (the centroids of the respective isochrones) were asked which point of sale they would turn to if the point of sale were no longer available. In this way, the share of sales made at a particular DOC point of sale that would shift to PAC points of sale was calculated.  </w:t>
        <w:br/>
        <w:t xml:space="preserve">99. A first finding concerns, first of all, the circumstance that almost all consumers would move to another point of sale of the GDO (Table 11 below): on average, 89% of consumers would choose another point of sale of the GDO, while only a minority of consumers would then move to the outside options of online shopping (3%) or other stores (8%).  </w:t>
        <w:br/>
        <w:t xml:space="preserve">Table 11 – Alternative choice to the DOC point of sale137  </w:t>
        <w:br/>
        <w:t xml:space="preserve">Point of Sale Average 1 - [omissis] 2 -[omissis] 10 - [omissis] 12 - [omissis] 13 - [omissis]  </w:t>
        <w:br/>
        <w:t xml:space="preserve">Area 400-1,000 1,700-2,500 400-1,000 400-1,000 1,000-1,700  </w:t>
        <w:br/>
        <w:t xml:space="preserve">Other  </w:t>
        <w:br/>
        <w:t xml:space="preserve">89% 92% 97% 78% 76% 99%  </w:t>
        <w:br/>
        <w:t xml:space="preserve">supermarket/discount  </w:t>
        <w:br/>
        <w:t xml:space="preserve">Online 3% 6% 0% 6% 6% 0%  </w:t>
        <w:br/>
        <w:t xml:space="preserve">Other type of store 8% 3% 3% 16% 18% 1%  </w:t>
        <w:br/>
        <w:t xml:space="preserve">100. In Table 12 and Table 13, the percentages of consumers (calculated respectively in volume, i.e., number of consumers, or in value, i.e., calculated in value of the expenditure indicated by each respondent) who would shift from the surveyed point of sale to other points of sale of the GDO, as well as to other options (online purchases, other types of stores) are shown. In particular, consumers were asked to spontaneously and without prompting indicate the point of sale they would turn to as an alternative to the surveyed one138.  </w:t>
        <w:br/>
        <w:t xml:space="preserve">101. A particularly significant finding concerns the percentage of consumers who would shift the expenditure made at the DOC points of sale that constitute the centroids of isochrones No. 1, 2, 12, and 13, towards PAC points of sale (with the Conad or Todis brands). In the aforementioned surveyed points of sale, the DR from DOC to PAC is significantly high, ranging between 40% and 49%. Essentially, in isochrones No. 1, 2, 12, and 13, almost one in two consumers would shift from the DOC point of sale to a point of sale in the PAC network.  </w:t>
        <w:br/>
        <w:t xml:space="preserve">102. In this context, DOC and PAC are always the closest competitors in the aforementioned isochrones (No. 1, 2, 12, and 13); in fact, the points of sale in the PAC network are always the first preference of consumers from the DOC points of sale subject to transfer to PAC.  </w:t>
        <w:br/>
        <w:t xml:space="preserve">137 Elaborations on document No. 73.2 (questions No. 10 and 11). It is specified that the percentage values do not consider the responses in which consumers indicated "I don't know" in questions No. 10 and 11.  </w:t>
        <w:br/>
        <w:t>138 On this point, see document 90.1 containing the methodological note of the survey in which the instruction to the interviewer is indicated as "For the interviewer: leave the response open, but possibly guide it to identify the point of sale to be marked (for example, ask for the sign and then identify the address)."</w:t>
      </w:r>
    </w:p>
    <w:p>
      <w:r>
        <w:t xml:space="preserve">BULLETIN NO. 1 OF JANUARY 7, 2025 113  </w:t>
        <w:br/>
        <w:t xml:space="preserve">Table 12 – Alternative GDO points of sale to DOC (calculation based on the number of respondents)139  </w:t>
        <w:br/>
        <w:t xml:space="preserve">Point of Sale 1 - [omissis] 2 -[omissis] 10 - [omissis] 12 - [omissis] 13 - [omissis]  </w:t>
        <w:br/>
        <w:t xml:space="preserve">Conad-PAC 13% 41% 9% 42% 47%  </w:t>
        <w:br/>
        <w:t xml:space="preserve">Todis 27% 0% 1% 1% 1%  </w:t>
        <w:br/>
        <w:t xml:space="preserve">Total PAC 40% 41% 10% 44% 49%  </w:t>
        <w:br/>
        <w:t xml:space="preserve">Conad-CNO 0% 1% 12% 0% 1%  </w:t>
        <w:br/>
        <w:t xml:space="preserve">PIM Supermarkets 31% 1% 3% 12% 22%  </w:t>
        <w:br/>
        <w:t xml:space="preserve">Tigre 17% 0% 9% 1% 0%  </w:t>
        <w:br/>
        <w:t xml:space="preserve">Pam 1% 4% 19% 10% 0%  </w:t>
        <w:br/>
        <w:t xml:space="preserve">Elite 1% 17% 6% 1% 0%  </w:t>
        <w:br/>
        <w:t xml:space="preserve">Carrefour 1% 4% 2% 0% 8%  </w:t>
        <w:br/>
        <w:t xml:space="preserve">Eurospin 0% 15% 0% 0% 0%  </w:t>
        <w:br/>
        <w:t xml:space="preserve">Esselunga 0% 0% 4% 0% 0%  </w:t>
        <w:br/>
        <w:t xml:space="preserve">Others (CE.DI.Gros) 0% 12% 14% 6% 18%  </w:t>
        <w:br/>
        <w:t xml:space="preserve">Others 1% 3% 0% 3% 1%  </w:t>
        <w:br/>
        <w:t xml:space="preserve">Total Supermarkets 92% 97% 78% 76% 99%  </w:t>
        <w:br/>
        <w:t xml:space="preserve">Online 6% 0% 6% 6% 0%  </w:t>
        <w:br/>
        <w:t xml:space="preserve">Other type of store 3% 3% 16% 18% 1%  </w:t>
        <w:br/>
        <w:t xml:space="preserve">103. Considering the value of the expenditure, the diversion ratios would be further increased, as shown in Table 13. It is specified that the DR are calculated taking into account, as alternatives, both online purchases and other types of stores.  </w:t>
        <w:br/>
        <w:t>139 Elaborations on document No. 73.2 (questions No. 10 and 11). The values are calculated as percentages of respondents to questions No. 10 and 11. It is specified that the percentage values do not consider the responses in which consumers indicated "I don't know" in questions No. 10 and 11. However, even considering the "I don't know" values of responses No. 10 and 11, the percentages of consumers who would shift from the centroid DOC branded point of sale to an alternative PAC point of sale (with the Conad and Todis brands) would be extremely high in isochrones No. 1, 2, 12, 13 and, in particular, equal to: Isochrone No. 1: 30.5%; Isochrone No. 2: 39.2%; Isochrone No. 10: 9.5%; Isochrone No. 12: 29.0% and Isochrone No. 13: 47.6%.</w:t>
      </w:r>
    </w:p>
    <w:p>
      <w:r>
        <w:rPr>
          <w:b/>
        </w:rPr>
        <w:t>[Pages 112–114]</w:t>
      </w:r>
    </w:p>
    <w:p>
      <w:r>
        <w:t>114 BULLETIN NO. 1 OF JANUARY 7, 2025</w:t>
        <w:br/>
        <w:t>Table 13 – Alternative GDO Sales Points to DOC (calculation based on expenditure value)140</w:t>
        <w:br/>
        <w:t>Sales Point 1 - [omitted] 2 - [omitted] 10 - [omitted] 12 - [omitted] 13 - [omitted]</w:t>
        <w:br/>
        <w:t>Conad-PAC 12% 44% 11% 43% 47%</w:t>
        <w:br/>
        <w:t>Todis 29% 0% 0% 1% 4%</w:t>
        <w:br/>
        <w:t>Total PAC 41% 44% 11% 44% 50%</w:t>
        <w:br/>
        <w:t>Conad-CNO 0% 0% 13% 0% 0%</w:t>
        <w:br/>
        <w:t>PIM Supermarkets 32% 0% 3% 12% 19%</w:t>
        <w:br/>
        <w:t>Tigre 18% 0% 8% 1% 0%</w:t>
        <w:br/>
        <w:t>Pam 1% 5% 17% 10% 0%</w:t>
        <w:br/>
        <w:t>Elite 1% 18% 7% 1% 0%</w:t>
        <w:br/>
        <w:t>Carrefour 1% 4% 2% 0% 7%</w:t>
        <w:br/>
        <w:t>Eurospin 0% 13% 0% 0% 0%</w:t>
        <w:br/>
        <w:t>Esselunga 0% 0% 2% 0% 0%</w:t>
        <w:br/>
        <w:t>Others (CE.DI.Gros) 0% 11% 16% 5% 20%</w:t>
        <w:br/>
        <w:t>Others 1% 4% 0% 3% 1%</w:t>
        <w:br/>
        <w:t>Total Supermarkets 96% 99% 79% 75% 98%</w:t>
        <w:br/>
        <w:t>Online 3% 0% 6% 6% 1%</w:t>
        <w:br/>
        <w:t>Other type of</w:t>
        <w:br/>
        <w:t>1% 1% 15% 19% 0%</w:t>
        <w:br/>
        <w:t>store</w:t>
        <w:br/>
        <w:t>104. For completeness of analysis regarding the previous evidence about the effects of the concentration, further analyses have been conducted to assess the impact of the change in market structure resulting from the operation in question in terms of unilateral effects. In particular, reference is made to the GUPPI index (“Gross Upward Pricing Pressure Indicator”), a model that quantifies the incentive of the parties to raise prices (or more generally to worsen their offer at a given sales point), integrating the information contained in the DRs with information on cost margins and the relative price ratio between sales points: the higher the GUPPI, the greater the incentive to raise the price.</w:t>
        <w:br/>
        <w:t>105. As in the consolidated guidelines regarding GDO concentration141, as well as, more generally, retail chains142, the GUPPI is calculated according to the following formula:</w:t>
        <w:br/>
        <w:t>140 Elaborations on document no. 73.2 (questions no. 10 and 11). The values are calculated as percentages of weighted respondents based on declared expenditure (question no. 5) to questions no. 10 and 11. When subjects did not declare a specific expenditure value (variable “vD5_txt”), the intermediate value of the range provided by the same consumer (variable “vD5.1”) was used. It should be noted that the percentage values do not consider responses in which consumers indicated “I don’t know” in questions no. 10 and 11. However, even considering the “I don’t know” values of responses no. 10 and 11, the percentages of consumers who would switch from the DOC branded centroid sales point to an alternative PAC sales point (with the Conad and Todis brands) would be extremely high in isochrones no. 1, 2, 12, 13 and, in particular, equal to: Isochrone no. 1: 31.7%, Isochrone no. 2: 42.6%; Isochrone no. 10: 10.7%; Isochrone no. 12: 30.3% and Isochrone no. 13: 49.8%.</w:t>
        <w:br/>
        <w:t>141 See, among others, C12247B - BDC Italia-Conad/Auchan, measure no. 28163 of February 25, 2020, in Bulletin no. 10/2020; C12315 - Bennet/Eight points of Margherita Distribuzione, measure no. 28351 of September 15, 2020, in Bulletin no. 39/2020; C12279 - Diperdì/Business branches of SMA and Società Generale Distribuzione, measure no. 28326 of August 4, 2020, in Bulletin no. 34/2020.</w:t>
        <w:br/>
        <w:t>142 See, among others, C12488 - Bubbles Bidco/Four, measure no. 30404 of December 2, 2022, in Bulletin no. 46/2022; C12410B - Cinven Capital Management-Fressnapf Beteiligungs/Agrifarma - Maxi Zoo Italia, measure no. 30037 of February 22, 2022, in Bulletin no. 9/2022.</w:t>
      </w:r>
    </w:p>
    <w:p>
      <w:r>
        <w:t>BULLETIN NO. 1 OF JANUARY 7, 2025 115</w:t>
        <w:br/>
        <w:t>106. Where 𝑚 is the retail margin achieved by the sales points of the PAC network (whose average 𝑃𝐴𝐶 has been estimated by PAC to be [20-30%])143, while 𝑃 is the ratio between the prices charged by the PAC sales points and the DOC sales points (the estimated value by PAC is [0.5-1])144. In the following Table 14, the values of the GUPPI index calculated using the values of the DRs, in volume and value, as well as data related to margins and price ratios are shown.</w:t>
        <w:br/>
        <w:t>Table 14 - Gross Upward Pricing Pressure Indicator</w:t>
        <w:br/>
        <w:t>1 – [omitted] 2 – [omitted] 10 – [omitted] 12 – [omitted] 13 – [omitted]</w:t>
        <w:br/>
        <w:t>GUPPI with calculated DRs</w:t>
        <w:br/>
        <w:t>[8-10%] [8-10%] [2-4%] [8-10%] [8-10%]</w:t>
        <w:br/>
        <w:t>in number of respondents</w:t>
        <w:br/>
        <w:t>GUPPI with calculated DRs</w:t>
        <w:br/>
        <w:t>[8-10%] [8-10%] [2-4%] [8-10%] [10-12%]</w:t>
        <w:br/>
        <w:t>in expenditure value</w:t>
        <w:br/>
        <w:t>V.4. Third-party assessments regarding the concentration</w:t>
        <w:br/>
        <w:t>107. With reference to the operation in question, the main GDO groups active in the territory of Rome were asked to provide an assessment regarding the operation145.</w:t>
        <w:br/>
        <w:t>108. The companies Esselunga S.p.A., Pam S.p.A., Carrefour/GS S.p.A. and Penny Market S.r.l. highlighted the possible competitive harm of the same. In fact, Esselunga observes that the acquisition involves an increase in the shares of PAC2000A which could “lead to greater power in price determination and in defining the commercial offer […]”146, while PAM comments that “the operation in question has dimensions such that there is a possibility of effects on the competitive dynamics of the sector but, at present, we do not have the data and information necessary to take a precise position on the merits of the issue […]”147; in this regard, Penny Market emphasizes the danger, from a competitive standpoint, of replacing a little-known operator like DOC (which, as previously stated by Unicoop, is not associated with the Coop world) with one that is very well-known and established in the Roman territory: “it is nonetheless considered that the potential further strengthening of the already considerable position and presence in the local market of the Conad group, also due to the notoriety of the brand, could harm competition in the retail market for food and non-food products, reducing the offer for the final consumer. The operation, moreover, would result in the replacement of an operator - DOC Roma - of medium-small local size, with an operator - Conad - against which, in the city of Rome, Penny Market is unable to exert effective competitive pressure […]”148.</w:t>
        <w:br/>
        <w:t>143 See doc. 107.1</w:t>
        <w:br/>
        <w:t>144 See doc. 107.1</w:t>
        <w:br/>
        <w:t>145 It should be noted that the companies Gruppo Végé Società Cooperativa, Selex Gruppo Commerciale S.p.A., Lidl Italia S.r.l. and Magazzini Gabrielli S.p.A. did not express any assessment regarding the operation and its competitive impacts. See doc. 38.1, 42.1, 44.1., 106.</w:t>
        <w:br/>
        <w:t>146 See doc. 40.1</w:t>
        <w:br/>
        <w:t>147 See doc. 39.1</w:t>
        <w:br/>
        <w:t>148 See doc. 51.1</w:t>
      </w:r>
    </w:p>
    <w:p>
      <w:r>
        <w:t>116 BULLETIN NO. 1 OF JANUARY 7, 2025</w:t>
        <w:br/>
        <w:t>109. Finally, the companies Eurospin Italia S.p.A. and Multicedi S.r.l. believe that the operation does not have a significant competitive impact149, while the companies MD S.p.A., Super Elite S.p.A. express neutral assessments regarding the implications150, believing that the operation does not have an impact on their business.</w:t>
        <w:br/>
        <w:t>V.5. Unicoop's considerations</w:t>
        <w:br/>
        <w:t>110. Unicoop intended to illustrate, during the proceedings, the reasons for the sale of the business branches subject to this investigation, explaining that the sale originates from the insufficient economic results that management has been able to achieve since their opening. In fact, “only for a couple of years has a positive cash flow been generated, and the operating result has never been sufficient to cover the amortization of goodwill”151.</w:t>
        <w:br/>
        <w:t>111. In particular, “[f]rom 2013 to 2022, the turnover never exceeded 140 million euros and, except for 2020 (the year of the pandemic), a result sufficient to cover the amortization of goodwill has never been achieved”; Furthermore, “in 2022, the commercial management recorded a negative final result (-785 thousand euros), also due to the policy of containing the inflationary impact on selling prices and the increase in direct costs (rent, utilities)”152.</w:t>
        <w:br/>
        <w:t>112. The reasons for the low level of profitability of DOC supermarkets are mainly attributed to: an organizational structure, that of Unicoop, which has a poor understanding of the characteristics of the Roman market153 and is unable to “[…] manage commercial strategies […] suitable for sales points located in territories different from the Tuscan one – where market logics are very different, consumers have different spending habits”154; the use of the DOC brand which “made the sales points poorly recognizable to the consumer, who could not associate them with the Coop world”155, of whose notoriety, therefore, they could not benefit, just as they remained deprived of the possibility of fully utilizing the promotional and advertising leverage adopted by Unicoop156.</w:t>
        <w:br/>
        <w:t>113. This in an extremely competitive context, characterized by operators who, unlike Unicoop, know the Roman market and consumer habits157. Furthermore, the territory of the city of Rome does not lend itself to the opening of large supermarkets (i.e., over 2500 sqm) for various reasons, such as “the difficulty of finding suitable spaces for a Superstore, as well as the lower propensity or greater difficulty in moving”158.</w:t>
        <w:br/>
        <w:t>149 In particular, Eurospin believes that “the transformation of sales points from DOC signage to CONAD signage cannot have a significant impact from the perspective of competitive proximity” (see doc. 34), while Multicedi “does not see significant critical issues from a competitive standpoint” (see doc. 98).</w:t>
        <w:br/>
        <w:t>150 In particular, MD believes that it does not detect “any difference regarding the economic impact on our company, as it is merely a change of signage and therefore no greater competition” (see doc. 41); Super Elite states that “The operation does not have particular effects on the writing company” (see doc. 85).</w:t>
        <w:br/>
        <w:t>151 See doc. 118.</w:t>
        <w:br/>
        <w:t>152 See doc. 137 and doc. 5.9.</w:t>
        <w:br/>
        <w:t>153 See doc. 137.</w:t>
        <w:br/>
        <w:t>154 See doc. 118.</w:t>
        <w:br/>
        <w:t>155 See doc. 118.</w:t>
        <w:br/>
        <w:t>156 See doc. 137.</w:t>
        <w:br/>
        <w:t>157 In particular, Unicoop cites, by way of example, “the opening of Esselunga in the very central area of Viale Liegi, which has affected the profitability of the sales point in Via Tirso and the opening of Eurospin in front of the sales point located in Via del Fosso Torrino, with competitive prices and a larger parking lot” (see doc. 137).</w:t>
        <w:br/>
        <w:t>158 See doc. 118.</w:t>
      </w:r>
    </w:p>
    <w:p>
      <w:r>
        <w:rPr>
          <w:b/>
        </w:rPr>
        <w:t>[Pages 115–117]</w:t>
      </w:r>
    </w:p>
    <w:p>
      <w:r>
        <w:t>BULLETIN NO. 1 OF JANUARY 7, 2025 117</w:t>
      </w:r>
    </w:p>
    <w:p>
      <w:r>
        <w:t>114. Hence the management's intention of Unicoop to close its stores in the Lazio areas. In particular, Unicoop has decided to exit the Roman market because, otherwise, "changes in strategy and significant investments would have been necessary, with consequent risks of return on the same that Unicoop was not willing to take."159</w:t>
      </w:r>
    </w:p>
    <w:p>
      <w:r>
        <w:t>115. Specifically, the investments would have been needed for the massive development of the sales network and to increase the brand awareness of DOC, also in order to associate it with the much better-known COOP brand.160 Unicoop therefore deemed it inappropriate to make such investments considering: (i) its own business model; (ii) the pricing positioning of competitors in the municipality of Rome, which was not compatible with DOC's commercial policies; (iii) the commitments that Unicoop is undertaking in its traditional territory, in Tuscany, where it has its origins and has always primarily carried out its characteristic activity and where, therefore, it has decided to concentrate its activities; the changed economic context in recent years (pandemic, hyperinflation, consumption crisis).161 Potential priority interlocutors have thus been identified as "Gruppo GROS (directly with Pewex, Pim, Il Castoro), Magazzini Gabrielli, Gruppo PAM, Gruppo VEGE' (for the associates F.lli Arena and Multicedi) and CARREFOUR."162 Of these, "only Pewex - belonging to the GROS group - had made a non-binding proposal" for a price deemed far from Unicoop's expectations, which, in the meantime, received an expression of interest from PAC with which it initiated exclusive negotiations. In particular, Unicoop made this choice because PAC was "willing to (a) offer a higher price, (b) guarantee the maintenance of employment relationships with the staff assigned to the Rome office (not only, therefore, the staff employed in the individual stores) as well as (c) assume all risks arising from any conditional authorization" from the Authority.163</w:t>
      </w:r>
    </w:p>
    <w:p>
      <w:r>
        <w:t>V.6. PAC's considerations</w:t>
      </w:r>
    </w:p>
    <w:p>
      <w:r>
        <w:t>116. The Company represents that the purchase of DOC stores constitutes for PAC an expansion of the associated sales network, that is, an opportunity to expand its sales network in favor of the members, within the mutualistic system that characterizes it.164</w:t>
      </w:r>
    </w:p>
    <w:p>
      <w:r>
        <w:t>117. In fact, PAC pursues the objective of [omissis].165 Indeed, "business decisions are made centrally by PAC in a cooperative mutualistic spirit, in line with its corporate purpose"166 that guides the functions of the Company, among which is the expansion of the network since, although it is generally the individual members who acquire the stores, [omissis].167 In other words, PAC would provide support to the members, preventing them from incurring excessive initial investments, with a mechanism very similar to the supply credit granted by PAC to the associated stores in the supply of products.</w:t>
      </w:r>
    </w:p>
    <w:p>
      <w:r>
        <w:t>118. Furthermore, PAC manages some other functions for the associates, including those of marketing and logistics, which are compensated [omissis].168</w:t>
      </w:r>
    </w:p>
    <w:p>
      <w:r>
        <w:t>119. Regarding the assessment of the Operation, PAC believes that, for the purpose of proving the presence of a significant obstacle to effective competition of the Operation in question, the rigorous standard of prognostic evaluation has not been met, consisting in the fact that it is more likely than unlikely that the concentration in question significantly hinders effective competition in the market.169</w:t>
      </w:r>
    </w:p>
    <w:p>
      <w:r>
        <w:t>V.6.a. The market context</w:t>
      </w:r>
    </w:p>
    <w:p>
      <w:r>
        <w:t>120. Firstly, according to PAC, there is a misperception of the market context in which the concentration Operation takes place and, in particular, of the peculiarities of the Roman territory. According to PAC, a significant competitive dynamism can be observed in the Municipality of Rome. In fact, there would be no difficulties in opening stores, as evidenced by the fact that (i) since 2017, Esselunga has opened four stores and plans to open two more in the coming years; (ii) there are operators with numerous stores (for example, PAM with about 121 stores, one of which opened in the last year); (iii) several competitors have plans for new openings.170</w:t>
      </w:r>
    </w:p>
    <w:p>
      <w:r>
        <w:t>121. The confirmation of a high dynamism in the market would also be supported by the fact that in each isochrone there are many stores of competitors and, in this sense, "the alternative stores to the entity post-concentration are in the order of hundreds."171</w:t>
      </w:r>
    </w:p>
    <w:p>
      <w:r>
        <w:t>122. In this sense, the market conditions observable in Rome are similar to those found in the historic centers of other Italian cities, where "spending is concentrated in small proximity stores, with prices necessarily higher than those in peripheral and provincial areas. Therefore, this is not a peculiarity of just the historic center of Rome, but of all historic centers, where supermarkets inevitably incur much higher costs, such as in rents and logistics, and where, moreover, the typical customer is represented by a subject with an average or high per capita income."172 Furthermore, there would be other peculiarities of historic centers that determine higher prices, such as logistics costs or the management costs of small stores, "not to mention that the profile of the average consumer in historic center areas does not appear particularly deserving nor particularly interested in benefiting from a policy of popular prices."173</w:t>
      </w:r>
    </w:p>
    <w:p>
      <w:r>
        <w:t>123. Secondly, according to PAC, insufficient emphasis has been placed on the role played by online sales. In fact, according to "very recent surveys, from October 2024, confirm that more than a quarter of Italians (27%) have used online shopping in the last three months. Not to mention that Lazio is one of the regions of Italy historically most covered by online grocery delivery services (along with Lombardy and Piedmont) and online shopping is more widespread in geographical areas where population density increases."174</w:t>
      </w:r>
    </w:p>
    <w:p>
      <w:r>
        <w:t>V.6.b. PAC's competitors</w:t>
      </w:r>
    </w:p>
    <w:p>
      <w:r>
        <w:t>124. With regard to the effects of the concentration, PAC raises the appropriateness of the method of calculating competitors' shares. Specifically, it objects to the separate calculation of market shares for the brands related to GROS, which are characterized by a significant alignment in terms of promotional offers. For this reason, it states that "evaluating it as a single entity would highlight a greater disciplining power of the same over PAC-Conad, significantly reducing the impact of the concentration in question."175</w:t>
      </w:r>
    </w:p>
    <w:p>
      <w:r>
        <w:t>125. In this sense, according to PAC, "[t]he brands related to GROS (Pewex, PIM, DEM, etc.) must be considered jointly due to the uniformity of the commercial policies implemented by the GROS members; this circumstance makes GROS an organization similar to that of PAC and, therefore, makes GROS a single competitor with significant market shares in the isochrones subject to the CRI, capable of 'countering' (if there were ever a need) the entity post-concentration."176</w:t>
      </w:r>
    </w:p>
    <w:p>
      <w:r>
        <w:t>126. Therefore, there would be no substantial differences between what happens in PAC and what happens in GROS, and this would be confirmed by various pieces of evidence on record that contradict GROS's own statements, on which the investigative findings would have flattened.</w:t>
      </w:r>
    </w:p>
    <w:p>
      <w:r>
        <w:t>127. Firstly, in fact, in some precedents of the Authority, GROS has been considered as a single entity and, in some cases, Selex itself has been considered as a unitary entity.177</w:t>
      </w:r>
    </w:p>
    <w:p>
      <w:r>
        <w:t>128. Secondly, the evidence on record would demonstrate that GROS plays a role in defining the commercial policies of the brands it represents. In fact, the governance structure of GROS is a direct expression of the 12 brands united under the consortium system, and there would be personal ties between the bodies of GROS and the owners of the member brands.178 Furthermore, the "statute expressly provides in art. 8(3) among the requirements for admission to the social structure the verification 'of the non-competitiveness of such companies, with respect to those of the Members, both at the local and national/international level,' and that, in art. 10(4), in regulating the causes of withdrawal and exclusion of the individual member, it contemplates the hypothesis for which the member itself 'transfers in any capacity, by act between living persons, the commercial enterprise as a whole or all or part of the shares of participation of the Company that manages the activity that benefits from common purchases and services, in favor of natural persons or legal entities that have competitive commercial interests or in conflict with those pursued by the Consortium Company for the achievement of its corporate purpose,'"179 there would therefore be a "[s]tatutory obligation of non-competition among members."180</w:t>
      </w:r>
    </w:p>
    <w:p>
      <w:r>
        <w:t>129. Examples that would demonstrate an incidence by GROS on the commercial policies of the member brands would be: (i) the brand "Maestri del Fresco,"181 (ii) common strategy for e-commerce, with the provision of a warehouse for logistics where orders received online are dispatched; (iii) use of the online channel to advertise initiatives aimed at consumers, common to all.</w:t>
      </w:r>
    </w:p>
    <w:p>
      <w:r>
        <w:rPr>
          <w:b/>
        </w:rPr>
        <w:t>[Pages 118–120]</w:t>
      </w:r>
    </w:p>
    <w:p>
      <w:r>
        <w:t>120 BULLETIN NO. 1 OF JANUARY 7, 2025</w:t>
      </w:r>
    </w:p>
    <w:p>
      <w:r>
        <w:t>all the signs of the Consortium (for example, the charitable campaign "Sweet Thoughts," Figure 9 below); (iv) making available for the benefit of all members a "pool of experts" to test the quality of the marketed products.</w:t>
      </w:r>
    </w:p>
    <w:p>
      <w:r>
        <w:t>Figure 9 – Charitable Campaign Sweet Thoughts182</w:t>
      </w:r>
    </w:p>
    <w:p>
      <w:r>
        <w:t>130. Furthermore, between PAC and GROS, there would be the same dynamics in terms of assortment and recommended prices, as "in both cases there is a system of recommended prices and a system of support for promotional activities and thus on the prices to be proposed in the flyers"183. There would also be uniformity in assortments, values, and brand perception among the various member signs. Some competitors would also perceive GROS as a single entity.</w:t>
      </w:r>
    </w:p>
    <w:p>
      <w:r>
        <w:t>131. From the perspective of promotional activity, there would be absolute uniformity in the flyers of the GROS group signs (see, for example, Figure 10 below). In particular, from an analysis of the flyers and online sites of the signs, there would be (i) a very high level of overlap of references and the related prices applied (always above 90% except for "butchery" and "fishmonger," with 30% and 76% overlap, respectively); (ii) the use of identical art-work (product images) agreed upon with the various suppliers involved; (iii) absolute uniformity of products and prices of the products marketed on the respective e-commerce channels by the companies that are part of the Consortium; (iv) the presence of radio promotional campaigns related to the GROS brand184.</w:t>
      </w:r>
    </w:p>
    <w:p>
      <w:r>
        <w:t xml:space="preserve">182 See doc. 138.  </w:t>
        <w:br/>
        <w:t xml:space="preserve">183 See doc. 147, annex 4.  </w:t>
        <w:br/>
        <w:t>184 See doc. 138, 147, annex 4.</w:t>
      </w:r>
    </w:p>
    <w:p>
      <w:r>
        <w:t>BULLETIN NO. 1 OF JANUARY 7, 2025 121</w:t>
      </w:r>
    </w:p>
    <w:p>
      <w:r>
        <w:t>Figure 10 – Front pages of some flyers of the GROS signs provided by PAC185</w:t>
      </w:r>
    </w:p>
    <w:p>
      <w:r>
        <w:t>132. In fact, according to PAC, "the same Statute of GROS includes among the services provided to members: 'marketing actions, advertising, and promotion of the image; in particular the</w:t>
      </w:r>
    </w:p>
    <w:p>
      <w:r>
        <w:t>185 See doc. 142.30, 142.33, 142.34, 142.36, 142.41, 142.42.</w:t>
      </w:r>
    </w:p>
    <w:p>
      <w:r>
        <w:t>122 BULLETIN NO. 1 OF JANUARY 7, 2025</w:t>
      </w:r>
    </w:p>
    <w:p>
      <w:r>
        <w:t>promotion of the dissemination of Members' products through participation in trade fairs, the execution of advertising actions also on the internet or other information systems, the conduct of studies and research, the preparation of catalogs, and the provision of any other promotional means deemed suitable"186 that would actually be carried out as evidenced by the economic items in the GROS balance sheet187. There would also be uniformity in the layout of sales points and coordination of all services related to logistics, as well as the provision of services related to common loyalty188.</w:t>
      </w:r>
    </w:p>
    <w:p>
      <w:r>
        <w:t>133. In light of these elements, PAC believes that GROS, in its entirety, is a competitor capable of regulating the PAC network. In particular, "considering the market share of the sales points of the GROS network as a whole, in each of the three relevant isochrones, the Consortium is positioned as an immediate competitor to the entity post-concentration"189, with a completely different picture compared to the start of the investigation, with a reduced differential in the market shares held by PAC, the first operator, and GROS, the second operator, in isochrones No. 1, 12, and 13. Furthermore, the increase in the concentration index (HHI) due to the consideration of GROS as a single operator would entail a "different theory of harm [...] regarding any coordinated effects of the operation"190.</w:t>
      </w:r>
    </w:p>
    <w:p>
      <w:r>
        <w:t>134. Moreover, although PAC's shares exceed 30%, "[a] review of AGCM precedents shows that, in most cases, isochrones with shares between 30 and 35% have been considered non-problematic, with AGCM valuing elements such as the presence of competitors with significant shares (even if significantly lower than those of the parties to the concentration) and the number of alternative sales points (completely omitted in the CRI). Furthermore, in circumstances where the post-concentration share was between 30-35%, an increase between 5 and 10% (which is precisely our case) has been considered 'not high' and such as to deem the related isochrone non-problematic, despite a significant diversion ratio ("DR")"191.</w:t>
      </w:r>
    </w:p>
    <w:p>
      <w:r>
        <w:t>V.6.c. The exit survey, the calculation of DR and GUPPI</w:t>
      </w:r>
    </w:p>
    <w:p>
      <w:r>
        <w:t>135. Firstly, regarding the exit survey, PAC believes "that the AGCM Survey cannot yield reliable results, for the simple reason that it was administered when the acquired sales points had already changed their sign: consequently, consumers acquired after the change of sign are more attracted to the Conad sign and therefore more inclined to choose another Conad point as an alternative to the DOC centroid, thus overestimating the diversion ratios from the DOC centroids to the neighboring PAC sales points. [...] This fact has led to a change in the composition of the customers of the target sales points, which has likely distorted - in the direction of overestimating them - the diversion ratios from the centroids (ex DOC) to the neighboring PAC sales points (for example, some regular customers of the former DOC may have already moved to a different sales point: these are those who, presumably, would not have indicated a PAC sales point as the nearest sign; conversely, loyal customers of the Conad sign who did not previously frequent DOC - would not have participated in the sample survey and instead,</w:t>
      </w:r>
    </w:p>
    <w:p>
      <w:r>
        <w:t xml:space="preserve">186 See doc. 138.  </w:t>
        <w:br/>
        <w:t xml:space="preserve">187 See doc. 138, 147, annex 4.  </w:t>
        <w:br/>
        <w:t xml:space="preserve">188 See doc. 138.  </w:t>
        <w:br/>
        <w:t xml:space="preserve">189 See doc. 138.  </w:t>
        <w:br/>
        <w:t xml:space="preserve">190 See doc. 138.  </w:t>
        <w:br/>
        <w:t>191 See doc. 138.</w:t>
      </w:r>
    </w:p>
    <w:p>
      <w:r>
        <w:rPr>
          <w:b/>
        </w:rPr>
        <w:t>[Pages 121–123]</w:t>
      </w:r>
    </w:p>
    <w:p>
      <w:r>
        <w:t>BULLETIN NO. 1 OF JANUARY 7, 2025 123</w:t>
      </w:r>
    </w:p>
    <w:p>
      <w:r>
        <w:t>by participating, they have most likely indicated a Conad store as the nearest alternative, thus artificially increasing the DR towards Conad; even some of the regular customers of DOC might today consider the Conad brand as closer – having appreciated it after the concentration – but would not have considered it so before the Operation.”192</w:t>
      </w:r>
    </w:p>
    <w:p>
      <w:r>
        <w:t>136. Secondly, “[t]he investigation file does not contain information on the instructions given to the interviewers. Therefore, it is unclear how the response options to question 11 were identified. In particular, it is unclear whether consumers indicated alternative stores without prompts or whether they chose from a predefined list provided by the interviewers (potentially with the option to indicate another store not present on the list). In the latter case, the interviewed consumers may have been influenced by the list presented by the interviewer and chosen Conad and Todis stores more frequently.”193</w:t>
      </w:r>
    </w:p>
    <w:p>
      <w:r>
        <w:t>137. Thirdly, there would be errors in the methodology for calculating the GUPPI as it would not adequately take into account the actual incentives of PAC194. On the other hand, according to PAC, the members are completely autonomous “being able to decide the assortment, having the ability to source from suppliers other than PAC (for example, for counter products and fresh items) and, to some extent, promotional policies.”195</w:t>
      </w:r>
    </w:p>
    <w:p>
      <w:r>
        <w:t>138. For the reasons above, in evaluating the concentration, PAC believes that the analysis of the GUPPI index (usually conducted in concentrations to assess the upward price incentive resulting from the concentration operation) should “consider the peculiarities of the PAC ecosystem, in which the member owners of the stores act as independent entrepreneurs, and therefore, use exclusively the wholesale margin, rather than the retail margin, since the latter is not perceived by PAC but is instead attributable to the individual member/store (without prejudice to the use of the retail margin for stores directly managed by PAC or its subsidiaries).”196 This would involve modifying the GUPPI formula to consider different economic incentives in the PAC world, analogous to a previous case by the Authority in the fuel sector197. In this sense, the IP/ESSO case would be “perfectly fitting: in that case, “the GUPPI analysis took into account different contractual types for managing fuel station networks” and how the merged entity would extract margins from these operations; this is exactly what is being requested to do in this case.”198 Essentially, considering the modified GUPPI formula, PAC would have no incentive to raise prices and, indeed, there would be a negative GUPPI (which corresponds to an incentive to lower prices).199</w:t>
      </w:r>
    </w:p>
    <w:p>
      <w:r>
        <w:t>139. Finally, PAC notes that it does not set “retail prices but communicates, for some products, recommended prices.”200 However, the recommended prices are not defined for each individual store, but are determined on a sub-regional basis and divided by brand and channel201 and, in this sense, “The Operation is not able to affect pricing choices in the provinces of Rome and Rieti.”202</w:t>
      </w:r>
    </w:p>
    <w:p>
      <w:r>
        <w:t>VI. EVALUATION OF THE OPERATION</w:t>
      </w:r>
    </w:p>
    <w:p>
      <w:r>
        <w:t>VI.1. Relevant markets</w:t>
      </w:r>
    </w:p>
    <w:p>
      <w:r>
        <w:t>VI.1.a. The markets for the retail sale of food and non-food consumer goods</w:t>
      </w:r>
    </w:p>
    <w:p>
      <w:r>
        <w:t>140. Within the established guidelines regarding concentration operations in the GDO sector203, the Authority has, firstly, included stores managed under the discount formula in the relevant markets relating to the types of GDO stores of corresponding size, namely convenience stores (100-399 sqm), supermarkets (400-2,499 sqm), and hypermarkets (from 2,500 sqm and above), as they are considered by consumers to be a substitutable purchasing option with such other types of GDO stores.</w:t>
      </w:r>
    </w:p>
    <w:p>
      <w:r>
        <w:t>141. Furthermore, with reference to hypermarkets, supermarkets, and convenience stores, the Authority has defined the following distinct commodity markets:</w:t>
        <w:br/>
        <w:t>i. the market for convenience stores, including all stores with a size between 100 and 2,499 sqm (i.e., the same convenience stores, supermarkets, and discounts of less than 2,500 sqm);</w:t>
        <w:br/>
        <w:t>ii. the market for supermarkets, including all stores with a size from 100 sqm and above (i.e., supermarkets, convenience stores, hypermarkets, and discounts);</w:t>
        <w:br/>
        <w:t>iii. the market for hypermarkets, including all stores from 400 sqm and above (i.e., hypermarkets, supermarkets, and discounts of a size equal to or greater than 400 sqm).</w:t>
      </w:r>
    </w:p>
    <w:p>
      <w:r>
        <w:t>142. From a geographical perspective, local markets have been defined consisting of isochrone curves centered on the target stores with a width of 10 minutes of driving, under actual traffic conditions, for the market of convenience stores and 15 minutes of driving, under actual traffic conditions, for the markets of supermarkets and hypermarkets.</w:t>
      </w:r>
    </w:p>
    <w:p>
      <w:r>
        <w:t>VI.2. The effects of the Operation in the markets for the retail sale of food and non-food consumer goods (isochrones no. 1, 12, and 13)</w:t>
      </w:r>
    </w:p>
    <w:p>
      <w:r>
        <w:t>VI.2.a. Premise</w:t>
      </w:r>
    </w:p>
    <w:p>
      <w:r>
        <w:t>143. The procedure under examination was initiated pursuant to Article 16, paragraph 4, of Law No. 287/90, against the companies PAC and Unicoop considering that the concentration operation was likely to significantly hinder, pursuant to Article 6, paragraph 1, of Law No. 287/1990, effective competition in the markets for the retail sale of food and non-food consumer goods, particularly in certain local markets identified by isochrones no. 1, 2, 3, 4, 5, 6, 10, 11, 12, 13. In fact, in the local markets identified by isochrones no. 1-6 and 10-13, the entity resulting from the concentration would hold significant shares, exceeding 25%, often exceeding 35%, with significant increases in market share.</w:t>
      </w:r>
    </w:p>
    <w:p>
      <w:r>
        <w:t>144. In addition to these structural elements, the initiation measure considered the possibility that PAC and DOC could have a greater competitive proximity, due to the commercial format and the quality level characterizing the DOC-branded stores and those of PAC, such as to determine greater anticompetitive effects than those discernible from mere observation of market shares.</w:t>
      </w:r>
    </w:p>
    <w:p>
      <w:r>
        <w:t>145. Finally, the initiation measure emphasized, on the one hand, the disappearance of Unicoop from the territory of the municipality of Rome and, on the other hand, the position held by PAC, and the Conad system, in the local territory. These elements could reinforce the possible anticompetitive effects of the operation.</w:t>
      </w:r>
    </w:p>
    <w:p>
      <w:r>
        <w:t>146. Following the elements that emerged during the investigation, it is believed that the operation may result in significant anticompetitive effects in the local markets for the retail sale of food and non-food consumer goods identified with isochrones no. 1, 12, and 13.</w:t>
      </w:r>
    </w:p>
    <w:p>
      <w:r>
        <w:t>147. In fact, following the established approach regarding the evaluation of concentration in the organized retail sector, the analysis of market shares is supplemented by an estimate of the degree of substitutability between the acquired store and the other stores present within the same isochrone. This substitutability relationship of each store with the centroid - which tends to approximate the competitive pressure on the latter that can be exerted by a store located in the same isochrone - is functional to constructing the diversion ratios, indicators aimed at measuring the degree of competitive proximity between the Parties.</w:t>
      </w:r>
    </w:p>
    <w:p>
      <w:r>
        <w:t>148. As explained more extensively below, indeed, the elements acquired during the investigation allow for a consistent conclusion that the Operation is likely to determine significant unilateral anticompetitive effects in isochrones no. 1, 12, and 13, as:</w:t>
        <w:br/>
        <w:t>i. the joint market shares of PAC and the Target, even in the most cautious hypothesis for the Parties that considers the Conad stores of CNO as competitors, are always significantly above 30%, with a significant increase due to the Target stores (over 5%);</w:t>
        <w:br/>
        <w:t>ii. the Operation takes place in a concentrated market and results in a significant increase in the level of concentration (Delta HHI above 350) and above the thresholds of attention used in practice, even in the most cautious hypothesis for the Parties in which the competitors adhering to GROS are not considered in a unitary manner;</w:t>
        <w:br/>
        <w:t>iii. the concentration eliminates competition between the two closest competitors (in terms of diversion ratio, distance, etc.);</w:t>
        <w:br/>
        <w:t>iv. the concentration creates an incentive to raise prices in the PAC network in the considered isochrones.</w:t>
      </w:r>
    </w:p>
    <w:p>
      <w:r>
        <w:t>VI.2.b. The unilateral effects of the concentration operation</w:t>
      </w:r>
    </w:p>
    <w:p>
      <w:r>
        <w:t>(a) Market shares and the context of the local market</w:t>
      </w:r>
    </w:p>
    <w:p>
      <w:r>
        <w:t>149. In the local markets, consisting of all GDO stores larger than 100 sqm located within a maximum 15-minute driving isochrone from each store subject to transfer, the Operation will involve the acquisition of DOC-branded stores by PAC. Table 15 below summarizes the market shares of PAC and the Target, as well as CNO and the main competitors, and the concentration index (HHI) and the change in the concentration index.</w:t>
      </w:r>
    </w:p>
    <w:p>
      <w:r>
        <w:rPr>
          <w:b/>
        </w:rPr>
        <w:t>[Pages 124–126]</w:t>
      </w:r>
    </w:p>
    <w:p>
      <w:r>
        <w:t xml:space="preserve">126 BULLETIN NO. 1 OF JANUARY 7, 2025  </w:t>
        <w:br/>
        <w:t xml:space="preserve">Table 15 – Market Shares and Concentration Indices204  </w:t>
        <w:br/>
        <w:t xml:space="preserve">Isocrones  </w:t>
        <w:br/>
        <w:t xml:space="preserve">1 2 3 4 5 6 10 11 12 13  </w:t>
        <w:br/>
        <w:t xml:space="preserve">Conad-PAC 25-30% 25-30% 30-35% 10-15% 10-15% 10-15% 10-15% 15-20% 25-30% 25-30%  </w:t>
        <w:br/>
        <w:t xml:space="preserve">Target 5-10% 1-5% &lt;1% 1-5% 1-5% 1-5% 1-5% 1-5% 5-10% 5-10%  </w:t>
        <w:br/>
        <w:t xml:space="preserve">Total  </w:t>
        <w:br/>
        <w:t xml:space="preserve">30-35% 25-30% 30-35% 15-20% 15-20% 10-15% 15-20% 20-25% 30-35% 30-35%  </w:t>
        <w:br/>
        <w:t xml:space="preserve">PAC+Target  </w:t>
        <w:br/>
        <w:t xml:space="preserve">Conad-CNO 4.2% 7.3% 1.7% 8.5% 8.2% 12.2% 11.1% 6.0% 3.7% 5.4%  </w:t>
        <w:br/>
        <w:t xml:space="preserve">Total  </w:t>
        <w:br/>
        <w:t xml:space="preserve">35-40% 30-35% 35-40% 25-30% 25-30% 25-30% 25-30% 25-30% 35-40% 35-40%  </w:t>
        <w:br/>
        <w:t xml:space="preserve">Conad+Target  </w:t>
        <w:br/>
        <w:t xml:space="preserve">First  </w:t>
        <w:br/>
        <w:t xml:space="preserve">18.7% 8.7% 8.9% 15.2% 25.5% 26.9% 17.3% 22.7% 19.0% 12.0%  </w:t>
        <w:br/>
        <w:t xml:space="preserve">competitor  </w:t>
        <w:br/>
        <w:t xml:space="preserve">Second  </w:t>
        <w:br/>
        <w:t xml:space="preserve">10.5% 8.0% 8.3% 10.0% 10.3% 17.6% 11.9% 10.9% 12.3% 11.0%  </w:t>
        <w:br/>
        <w:t xml:space="preserve">competitor  </w:t>
        <w:br/>
        <w:t xml:space="preserve">HHI post 1700 1125 1468 942 1288 1423 1040 1255 1757 1590  </w:t>
        <w:br/>
        <w:t xml:space="preserve">Delta HHI 327 98 61 114 117 56 102 139 379 352  </w:t>
        <w:br/>
        <w:t xml:space="preserve">150. The Operation appears to be likely to produce significant anticompetitive effects in isocrones no. 1, 12, and 13205, where the combined market shares of PAC and Target are always significantly above 30%, with a significant increase due to the Target sales points (above 5%).  </w:t>
        <w:br/>
        <w:t xml:space="preserve">151. In this regard, it should be noted that the assessments were carried out based on the requirements of Article 6 of Law No. 287/1990, as amended by the Annual Law for the Market and Competition 2021206, which introduced the new SIEC test for concentrations consisting of verifying the presence of a significant obstacle to effective competition, innovating the previous evaluation regime (double test) in which it was necessary to verify both the establishment or strengthening of a dominant position and the elimination or substantial and lasting reduction of competition. Therefore, the arguments of PAC, according to which, in the presence of isocrones with post-operation shares between 30% and 35% and an increase between 5% and 10%, the Authority, in its precedents, would have considered the concentration in the relative isocrones non-problematic, are not relevant.  </w:t>
        <w:br/>
        <w:t xml:space="preserve">152. In this sense, for example, in the precedent cited by PAC, the Authority excluded that the indicators evaluated in the isocrones were "susceptible of determining the establishment of a dominant position on the part of the Party"207. Similar considerations can also be made with reference to the other precedents cited by PAC, in which, in addition to an assessment of the absence of a dominant position, it is noted that the indicators considered in certain isocrones deemed non-problematic did not provide a clear picture of the competitive implications of the operation and, therefore, further elements were valued, such as the number of alternative sales points208. Further cited precedents appear entirely irrelevant both due to the absence of market changes resulting from the concentration operation209 and due to the geographical scope in which the market shares were relevant210.  </w:t>
        <w:br/>
        <w:t xml:space="preserve">153. Moreover, precisely with reference to the number of competitors present in the isocrones, on the one hand, PAC contradicts itself by asserting that this is an element suitable for determining the absence of anticompetitive effects of the concentration operation, while on the other hand, it notes [omissis]211. Therefore, it is PAC itself, contradictorily, that believes that the number of competitors present in isocrones no. 1, 12, and 13 is sufficient to exclude the production of effects of the concentration, although it believes that the number of competitors is not suitable to influence the level of prices.  </w:t>
        <w:br/>
        <w:t xml:space="preserve">154. It should also be noted that these market shares exclude other Conad-branded sales points related to the CNO cooperative. This constitutes a precautionary hypothesis of the competitive context for the Buyer – in fact, the post-merger shares considering also CNO would exceed 35% and reach up to about 40% – since it should be noted that the competition exerted by the Conad sales points of CNO on the Conad sales points of PAC appears weakened compared to that exerted by other competing brands.  </w:t>
        <w:br/>
        <w:t xml:space="preserve">155. In fact, there are numerous reasons to believe that CNO, in the very limited overlapping territories with PAC212, is not a full-fledged competitor or is, in any case, a less effective competitor against PAC.  </w:t>
        <w:br/>
        <w:t xml:space="preserve">156. First, both CNO and PAC belong to the Conad system and share the brand, commercial formats, national promotions, as well as the distributor's private label products (the Conad brand represents about 30% of all purchases of packaged fast-moving consumer goods sold in Italy in supermarkets213). From the consumer's perspective, therefore, there is no clear perception of the differences between Conad sales points of CNO and PAC. Essentially, Conad is "able to cover the entire national territory with different sales formats for vocation and mission but all characterized by the same brand and a unique and coherent promise to customers"214.  </w:t>
        <w:br/>
        <w:t xml:space="preserve">157. Secondly, it should be noted that according to the national Conad statute, the individual second-level cooperatives, including PAC, are obliged to maintain uniformity of the brands, signs, and distinctive features of Conad, and ensure the presence of private label products consistently with the commercial guidelines approved, as well as to provide Conad national with commercial and statistical information on the performance of their activities215.  </w:t>
        <w:br/>
        <w:t xml:space="preserve">158. Similarly, the trademark license agreement between Conad, PAC, and the individual retailers provides, in addition to the necessary presence of Conad-branded products in the sales points and systematic adherence to promotions, the obligation not to operate in conflict with the interests of those adhering to Conad and PAC216. Therefore, even from the supply side, there is less room for differentiation between the sales points belonging to different second-level cooperatives of the Conad system.  </w:t>
        <w:br/>
        <w:t xml:space="preserve">159. Moreover, it is PAC itself that has provided the joint shares relating to the Conad sales points of both the PAC network and the CNO network217, considering at first glance the Conad-branded sales points, regardless of the second-level cooperative, as a single entity218.  </w:t>
        <w:br/>
        <w:t xml:space="preserve">160. In this regard, it should be noted that PAC itself has confirmed that, while periodic analyses are carried out on competitors, "the presentations prepared do not contain an explicit reference to [omissis]212. In this regard, see Figure 1 above, which shows that PAC and CNO overlap in limited territories of Lazio. In particular, out of 622 postal codes where PAC sales points are present and out of 374 postal codes where CNO sales points are present, only in 40 postal codes are there overlaps between PAC and CNO. Therefore, only in 6% of the postal codes covered by PAC are there overlaps with Conad Nord Ovest sales points (see doc. 13.5).  </w:t>
        <w:br/>
        <w:t xml:space="preserve">213 In particular, "In 2023, the Conad private label reached a 33.2% share in packaged fast-moving consumer goods at the national level (supermarket channel), continuing to play a fundamental role in consolidating Conad's market leadership. The private label product represents for millions of Italians a point of reference, a guarantee of quality and convenient products, especially in the current historical period, amid inflation and uncertainties in the geopolitical context." For PAC, the share of sales of the Conad private label is equal to 27.3% of all sales of packaged fast-moving consumer goods sold in the areas where it is present. See doc. 108.4.  </w:t>
        <w:br/>
        <w:t xml:space="preserve">214 See doc. 108.4.  </w:t>
        <w:br/>
        <w:t xml:space="preserve">215 In particular, according to Article 9 of the national Conad Statute, members are obliged to [omissis].  </w:t>
        <w:br/>
        <w:t xml:space="preserve">216 In particular, the licensee (i) must not engage in activities or commercial practices [omissis].  </w:t>
        <w:br/>
        <w:t xml:space="preserve">217 See doc. 7.3.  </w:t>
        <w:br/>
        <w:t>218 It should be noted that even in concentration C12247B among the various Conad-branded cooperatives and the SMA and Auchan sales points, the market shares of Conad sales points were considered as unitary. See C12247B - BDC Italia-Conad/Auchan, measure No. 28163 of February 25, 2020, in Bulletin No. 10/2020.</w:t>
      </w:r>
    </w:p>
    <w:p>
      <w:r>
        <w:rPr>
          <w:b/>
        </w:rPr>
        <w:t>[Pages 127–129]</w:t>
      </w:r>
    </w:p>
    <w:p>
      <w:r>
        <w:t>BULLETIN NO. 1 OF JANUARY 7, 2025 129</w:t>
      </w:r>
    </w:p>
    <w:p>
      <w:r>
        <w:t>Conad Nord Ovest as this activity aims to monitor only the main competitors in the area and not all the brands present”219. Essentially, PAC does not consider CNO as one of the main competitors in the territory of Rome and Lazio.</w:t>
      </w:r>
    </w:p>
    <w:p>
      <w:r>
        <w:t>161. In conclusion, the market shares, already significant, underestimate PAC's position in the local markets affected by the Operation, given the presence of a less effective competitor, Conad Nord Ovest - considering the uniformity of the sales formats and the distinctive brands of the sales points, as well as the ties due to participation in the Conad system - in exerting adequate competitive pressure220.</w:t>
      </w:r>
    </w:p>
    <w:p>
      <w:r>
        <w:t>162. Furthermore, in the considered isochrones, the Operation takes place in a concentrated market context (still in the favorable hypothesis for the party to consider CNO as a competitor of PAC), with an HHI index of isochrones No. 1, 12, and 13 averaging above 1,600 units, with an increase that is on average above 350 units221. According to the Commission's guidelines on horizontal concentrations, the presence of a concentrated market (HHI index between 1,000 and 2,000) and a delta HHI above 250222 are symptomatic elements of the presence of unilateral effects produced by the concentration.</w:t>
      </w:r>
    </w:p>
    <w:p>
      <w:r>
        <w:t>163. Finally, it should be noted that PAC is the leading operator in Rome and Lazio and in its documents recognizes the “leadership position in the Central-Southern Italy regions”223, with a market share of 30.69% in Lazio (see, on this point, PAC's presentation in Figure 5 above).</w:t>
      </w:r>
    </w:p>
    <w:p>
      <w:r>
        <w:t>(b) Competitive proximity</w:t>
      </w:r>
    </w:p>
    <w:p>
      <w:r>
        <w:t>164. In addition to the structural elements considered so far, it should be noted that the sales points of PAC and DOC are close competitors for the surveyed consumers. In fact, as can be seen in Table 12 and Table 13 above, which report the diversion ratios, over 40% and up to 50% of respondents indicated a willingness to replace the centroid sales points of isochrones No. 1, 12, and 13 with sales points from the PAC network.</w:t>
      </w:r>
    </w:p>
    <w:p>
      <w:r>
        <w:t>165. This demonstrates that, in the aforementioned isochrones, almost one in two customers of the aforementioned Target sales points would switch to a PAC sales point. Therefore, PAC, prior to the concentration, was the operator capable of exerting the greatest competitive pressure on the aforementioned Target sales points.</w:t>
      </w:r>
    </w:p>
    <w:p>
      <w:r>
        <w:t>219 See doc. 112.</w:t>
      </w:r>
    </w:p>
    <w:p>
      <w:r>
        <w:t>220 In this regard, it is noted that this substantial evaluative approach has also been adopted by the Authority in its previous decisions related to the Coop system. In this sense, the Authority has for example considered that following certain concentration operations there were no substantial structural changes in the market as “the sales points of the new operator will continue to be marked by the same brands of the Coop system that currently identify them and that entail a wide sharing of the image and commercial policy. The merger in question, therefore, also due to the previous common membership of the Parties in the Coop system, appears unsuitable to bring about significant changes to the pre-existing competitive structure, concerning companies belonging to the Coop chain” (see C12328 - Coop Lombardia/Coop Vicinato Lombardia, measure No. 28588 of February 23, 2021, in Bulletin 11/21). See also C12376 - Terre di Mezzo/29 Business Branches, measure No. 29741 of July 1, 2021, in Bulletin No. 29/2021; C12015 - Coop Estense-Coop Consumatori Nordest-Coop Adriatica/Coop Alleanza 3.0, measure No. 25774 of December 10, 2015, in Bulletin No. 48/15; C11968 — Coop Centro Italia/Grandi Magazzini Superconti-Superconti Supermarkets Ternisuperconti Service, measure No. 25419 of April 8, 2015, in Bulletins No. 14/2015. In this case, it is believed that the Operation is not suitable to bring about substantial changes to the existing competitive structure.</w:t>
      </w:r>
    </w:p>
    <w:p>
      <w:r>
        <w:t>221 Furthermore, in isochrones No. 1, 12, and 13, the HHI index is always above 1,500, with an increase always above 300 units.</w:t>
      </w:r>
    </w:p>
    <w:p>
      <w:r>
        <w:t>222 See Commission Communication, Guidelines on the assessment of horizontal concentrations under the Council Regulation on the control of concentrations between undertakings (2004/C 31/03).</w:t>
      </w:r>
    </w:p>
    <w:p>
      <w:r>
        <w:t>223 See doc. 108.6.</w:t>
      </w:r>
    </w:p>
    <w:p>
      <w:r>
        <w:t>130 BULLETIN NO. 1 OF JANUARY 7, 2025</w:t>
      </w:r>
    </w:p>
    <w:p>
      <w:r>
        <w:t>166. The Target sales points and the PAC network sales points are therefore not only very close competitors but also the closest competitors224. In fact, the DRs are the highest and significantly differ from those of other competitors225.</w:t>
      </w:r>
    </w:p>
    <w:p>
      <w:r>
        <w:t>167. It is noted, contrary to what PAC has claimed, that the analysis carried out expressly takes into account online sales226. In fact, according to the results of the exit survey, traditional channels are still preferred by consumers and, on average, only 3% of consumers would switch to the online channel (Table 11 above). In this sense, the analysis of competitive proximity expressly considers online sales, as well as other types of stores not belonging to the GDO. In fact, the aforementioned DRs, which present highly problematic values of the Operation in isochrones No. 1, 12, and 13, were calculated considering these options as well (online and other types of stores, see Tables 12 and 13 above). If online sales had been excluded, the DRs of the Parties would have been even higher.</w:t>
      </w:r>
    </w:p>
    <w:p>
      <w:r>
        <w:t>168. In this context, the higher the diversion ratios between the two companies subject to the concentration, the higher the sales that the concentration will allow to internalize - in the sense that a high portion of consumers would continue to make their purchases at the sales points of the post-merger entity - making the production of anti-competitive effects of the operation more likely.</w:t>
      </w:r>
    </w:p>
    <w:p>
      <w:r>
        <w:t>169. It should be noted that, in the Authority's precedents, levels above 20% have been deemed sufficient to produce unilateral effects of the concentration227. Therefore, such a high level of diversion ratios (always above 40% and up to 50%) allows us to conclude that, in isochrones No. 1, 12, and 13, the concentration appears capable of producing significant effects on competition, also confirming the analysis based on market shares.</w:t>
      </w:r>
    </w:p>
    <w:p>
      <w:r>
        <w:t>224 In this regard, it is noted that, according to judicial guidelines on concentration, it is not necessary for the concentration to remove competitive constraints between the closest competitors, but it is sufficient to demonstrate that it is more likely than not that the concentration, by eliminating a significant competitive constraint, could result in a significant impediment to effective competition and “[i]n this context, requiring, for the purposes of assessing the proximity of competition between the parties to a concentration, that they be ‘particularly close’ competitors implies the existence of a very high level of substitutability between the products of those participating firms in a differentiated products market. However, such a level of substitutability is not necessarily required. In fact, even when the substitutability between the products of the firms participating in the concentration is not particularly high, there may still exist a lower level of substitutability between the products of those participating firms and those of firms not participating in the concentration operation, which may lead the parties to that operation to raise their prices.” See Court of Justice, judgment of July 13, 2023, case C‑376/20 P - Commission v CK Telecoms UK Investments, ECLI:EU:C:2023:561.</w:t>
      </w:r>
    </w:p>
    <w:p>
      <w:r>
        <w:t>225 In particular - as can be seen in Table 12 and Table 13 above - in isochrone No. 1, with a volume (value) DR towards PAC of 40% (41% in value), the main competitor - Supermercati PIM - has a DR of 31% (32% in value), with a difference of 9 percentage points (both in volume and value, and thus a difference of over 21% compared to PAC's DR), the same data applies when considering Gros (of which Supermercati PIM is a part) as a single entity. In isochrone No. 12, with a DR towards PAC of 44% (in volume and value), there is a DR of 12% (in volume and value) if Supermercati PIM is considered individually or 18% in volume and 17% in value if all Gros supermarkets are considered together. In isochrone No. 12, therefore, there is a difference of 17-18 percentage points between PAC and the first competitor (even considering Gros as a single entity), that is, a difference of over 59% compared to PAC's DR. Finally, in isochrone No. 13, with a DR towards PAC of 49% in volume and 50% in value, there is a DR towards the first competitor - Supermercati PIM - of 22% (19% in value). Considering Gros (of which Supermercati PIM is a part) as a single entity, the DR towards Gros is 40% in volume and 39% in value, with a difference of 9-11 percentage points (respectively, in value and in volume), that is, a difference of over 18% compared to PAC's values.</w:t>
      </w:r>
    </w:p>
    <w:p>
      <w:r>
        <w:t>226 See doc. 138.</w:t>
      </w:r>
    </w:p>
    <w:p>
      <w:r>
        <w:t>227 See C12247B - BDC Italia-Conad/Auchan, measure No. 28163 of February 25, 2020, in Bulletin No. 10/2020; C12488 - Bubbles Bidco/Quattro, measure No. 30404 of December 2, 2022, in Bulletin No. 46/2022; C12410B - Cinven Capital Management-Fressnapf Beteiligungs/Agrifarma - Maxi Zoo Italia, measure No. 30037 of February 22, 2022, in Bulletin No. 9/2022; C12625 - Frozen Investments-Sammontana Finanziaria/Sammontana-Forno D’Asolo, measure No. 31293 of July 23, 2024, in Bulletin No. 30/2024.</w:t>
      </w:r>
    </w:p>
    <w:p>
      <w:r>
        <w:t>BULLETIN NO. 1 OF JANUARY 7, 2025 131</w:t>
      </w:r>
    </w:p>
    <w:p>
      <w:r>
        <w:t>170. Regarding the methodology followed in calculating the DR, two significant aspects are clarified. First, and contrary to what PAC has claimed that “it is unclear whether consumers indicated alternative sales points without prompting or whether they chose from a predefined list provided by the interviewers (potentially with the possibility of indicating another sales point not present in the list)”228, consumers were allowed to freely indicate (without any predetermined list that could influence their choice) the alternative sales point to the one being surveyed (as emerges from the methodological note of the exit survey)229.</w:t>
      </w:r>
    </w:p>
    <w:p>
      <w:r>
        <w:t>171. Secondly, it is necessary to recall - in response to PAC, which believes that the results of the survey may have been affected by the fact that it was conducted after the closure of DOC sales points and the subsequent reopening of the same under the Conad brand - that it was a decision of PAC itself to carry out the operation a few days after the notification of the Operation and before the initiation of the concentration investigation230. Therefore, the manner of conducting the survey is due to PAC's deliberate choice to proceed with the operation and to close the sales points231.</w:t>
      </w:r>
    </w:p>
    <w:p>
      <w:r>
        <w:t>172. Furthermore, the survey was conducted only with subjects who were already customers of the sales points when they were branded DOC232. In particular, if the surveyed consumers were not already customers of DOC, the interviewer could not continue the survey233, thus preventing the inclusion, from the outset, of “customers attracted by the Conad brand who would not have participated in the sample survey before the Operation”234, as erroneously claimed by PAC.</w:t>
      </w:r>
    </w:p>
    <w:p>
      <w:r>
        <w:t>173. Moreover, the survey was conducted concurrently with the reopening of the sales points235, in order to have a representative sample of consumers who frequented the sales point before the acquisition by PAC due to the consolidation over time of purchasing experiences with the new brand. To confirm that there were no changes in the clientele of the sales points, it is noted that all of the over one thousand respondents stated that they were regular customers of the sales point even when it was branded DOC236.</w:t>
      </w:r>
    </w:p>
    <w:p>
      <w:r>
        <w:t>228 See doc. 138.1.</w:t>
      </w:r>
    </w:p>
    <w:p>
      <w:r>
        <w:t>229 In this regard, see doc. 90.1 containing the methodological note of the survey - to which PAC had access on November 7, 2024 (see doc. 104) - in which it is indicated as instruction to the interviewer “For the interviewer: leave the answer open, but possibly guide it to identify the sales point to be marked (for example, ask for the brand and then identify the address).”</w:t>
      </w:r>
    </w:p>
    <w:p>
      <w:r>
        <w:t>230 See doc. 12. Furthermore, the authorization to allow the subjects tasked with conducting the exit survey access to the cash registers of the sales points was sent only on October 4, 2024 (see doc. 32), that is, after the closure of the sales points, although the request had been made earlier. In this sense, already on September 20, 2024, PAC's lawyers communicated that they had informed about the conduct of the survey (see doc. 12) but the authorization to be sent to the company tasked with conducting the statistical survey was received only on October 4, 2024 (see doc. 32).</w:t>
      </w:r>
    </w:p>
    <w:p>
      <w:r>
        <w:t>231 In this sense, it is necessary to respond to PAC's economic memorandum which states that it would have been preferable to conduct alternative analyses to the exit survey (see doc. 138.1) noting that the survey conducted for concentration C12247B - BDC Italia-Conad/Auchan, which involved PAC itself, was also acquired, conducted through telephone interviews (see doc. 102). This survey, although dated and without distinguishing the DOC brand from Coop, was included in the file to provide PAC with additional data (although not necessary) that could confirm the validity of the analyses conducted in terms of estimating the DRs.</w:t>
      </w:r>
    </w:p>
    <w:p>
      <w:r>
        <w:t>232 In particular, the question posed to consumers was: “4. Would you define yourself as a regular customer of this sales point, even when it was branded DOC? That is, did you make most of your grocery purchases here even when it was branded DOC?” (see docs. 73 and 90.1.).</w:t>
      </w:r>
    </w:p>
    <w:p>
      <w:r>
        <w:t>233 See docs. 73 and 90.1.</w:t>
      </w:r>
    </w:p>
    <w:p>
      <w:r>
        <w:t>234 See doc. 139.1.</w:t>
      </w:r>
    </w:p>
    <w:p>
      <w:r>
        <w:t>235 In particular, the survey was conducted between October 9 and 16, 2024 (see docs. 73 and 90.1), that is, at the time of the reopening of the centroid sales points of isochrones No. 1, 12, and 13 (see doc. 12).</w:t>
      </w:r>
    </w:p>
    <w:p>
      <w:r>
        <w:t>236 See docs. 73 and 90.1.</w:t>
      </w:r>
    </w:p>
    <w:p>
      <w:r>
        <w:rPr>
          <w:b/>
        </w:rPr>
        <w:t>[Pages 130–132]</w:t>
      </w:r>
    </w:p>
    <w:p>
      <w:r>
        <w:t>132 BULLETIN NO. 1 OF JANUARY 7, 2025</w:t>
      </w:r>
    </w:p>
    <w:p>
      <w:r>
        <w:t>174. Further confirmation of the absence of critical issues regarding the sample of interviewed subjects is that the main reason for choice for consumers is the ease of reaching the point of sale and the proximity to the customer's reference points (home, work)237, as recognized by PAC itself238. Therefore, these are choice motivations that disregard the circumstance that consumers are more or less "attached to the DOC brand"239 or "attracted to the Conad brand"240 or Todis241.</w:t>
      </w:r>
    </w:p>
    <w:p>
      <w:r>
        <w:t>175. In this regard, PAC's analysis is not suitable to demonstrate242, through estimates of the potential revenues of closed points of sale, the unreliability of the DR estimates, which therefore remain valid. In light of their very high DR values compared to those normally considered as threshold values (these are values more than double the critical ones), it is possible to confirm the presence of anti-competitive effects of the operation with a wide margin of certainty. Moreover, based on the data provided by PAC itself, it emerges that there is significant geographical proximity between PAC and DOC points of sale. For example, within a 5-minute drive from centroids No. 1, 12, and 13, the post-concentration entity holds market shares exceeding [40-45%] and up to [75-80%]243. This means</w:t>
      </w:r>
    </w:p>
    <w:p>
      <w:r>
        <w:t>237 In this sense, proximity is indicated as the first option by 37% of respondents, and as the second and third options by 17% and 9% of the same, respectively (Figure 8 above).</w:t>
      </w:r>
    </w:p>
    <w:p>
      <w:r>
        <w:t>238 PAC itself acknowledges that most consumers "move within a limited travel radius and choose the point of sale mainly based on the ease of reaching the point of sale and the proximity to home/work, while the motivation related to the quality of the brand is residual" (cfr. doc. 138).</w:t>
      </w:r>
    </w:p>
    <w:p>
      <w:r>
        <w:t>239 Cfr. doc. 138.1.</w:t>
      </w:r>
    </w:p>
    <w:p>
      <w:r>
        <w:t>240 Cfr. doc. 138.1.</w:t>
      </w:r>
    </w:p>
    <w:p>
      <w:r>
        <w:t>241 In this regard, it should be noted that, specifically with reference to the Todis brand, a significant competitive proximity has emerged between some Target points of sale and Todis points of sale, due to the distance. For example, for isochrone No. 1, as shown in Table 12 and Table 13, the DR towards Todis points of sale represent the majority of the DR towards the PAC network (which fully controls IGES S.r.l. and the Todis brand).</w:t>
      </w:r>
    </w:p>
    <w:p>
      <w:r>
        <w:t>242 In this regard, PAC attempts to demonstrate that the DR are overestimated, proposing an estimate of the revenues of closed DOC points of sale and then estimating the possible increase in sales at a Conad point of sale near the DOC one (cfr. doc. 138.1). Such estimates are not reliable. Firstly, it is noted that PAC's estimates are based on entirely hypothetical revenues, calculated from the year 2023 and for which it is assumed that the revenue trend of DOC moves uniformly compared to that of other GDO operators (or is constant over the years). This assumption is unfounded, as demonstrated by the internal DOC document from June 2024, which records a monthly reduction in its revenue of -0.6% against a monthly increase in the revenue of all GDO operators in Lazio of 0.7%, as well as a reduction in DOC's revenue compared to the budget of 6.9% (cfr. doc. 5.2). This is a document that demonstrates that the assumptions underlying such elaborations are incorrect, undermining the results of the natural experiment of the economic consultants. This is not valid both when taking the revenue of the previous year as a reference, given that DOC's revenue has decreased, and – even more so – when correcting the revenue, increasing it. Secondly, it omits to calculate the revenue related to part of the period of closure of the point of sale. In fact, while the closure of points of sale occurred from Saturday, September 28 to Wednesday, October 9, 2024, the revenues considered by PAC are those from Monday, October 30 to Sunday, October 6, that is, a subset of the same. This means that the sales shifted from DOC to PAC during the weekend of September 28-29, 2024, and at the beginning of the week of October 7-9, were not considered. Since consumers are not evenly distributed over time (for example, some of them shop every 8 days), this omission creates an additional problem in the estimate as it excludes subjects who shop for a period longer than a week, who are reasonably those who spend more on the receipt (as they stock up on products). Therefore, this assumption also undermines the partial elaborations, which are therefore unreliable.</w:t>
      </w:r>
    </w:p>
    <w:p>
      <w:r>
        <w:t>243 Cfr. doc. 115.24. In particular, within a 5-minute drive from the centroid, the joint market shares of PAC and Target are 44% in isochrone 1, 76% in isochrone 12, and 70% in isochrone 13. Within an 8-minute drive, the joint market shares of PAC and Target are 42% in isochrone 1, 35% in isochrone 12, and 42% in isochrone 13. Within a 10-minute drive, the joint market shares of PAC and Target are 33% in isochrone 1, 36% in isochrone 12, and 38% in isochrone 13. These are values higher than the market shares, which therefore show that there is a particular geographical proximity between PAC and Target points of sale. In particular, within a 5-minute drive from the centroid, the joint market shares of PAC and Target are 44% in isochrone 1, 76% in isochrone 12, and 70% in isochrone 13. Within an 8-minute drive, the joint market shares of PAC and Target are 42% in isochrone 1, 35% in isochrone 12, and 42% in isochrone 13. Within a 10-minute drive, the joint market shares of PAC and Target are 33% in isochrone 1, 36% in isochrone 12, and 38% in isochrone 13. These are values higher than the market shares, which therefore show that there is a particular geographical proximity between PAC and Target points of sale.</w:t>
      </w:r>
    </w:p>
    <w:p>
      <w:r>
        <w:t>BULLETIN NO. 1 OF JANUARY 7, 2025 133</w:t>
      </w:r>
    </w:p>
    <w:p>
      <w:r>
        <w:t>that PAC and DOC points of sale are particularly close in geographical terms244. Essentially, these elements confirm the circumstance that PAC and DOC are close competitors and therefore exert greater competition among themselves, as confirmed by the exit survey and the DR.</w:t>
      </w:r>
    </w:p>
    <w:p>
      <w:r>
        <w:t>176. In addition to the analysis of competitive proximity measured by the DR, the GUPPI index has been estimated, which, confirming the conclusions of the previous analysis, shows that the concentration is suitable to determine (in isochrones No. 1, 12, and 13) strong incentives to raise prices. In fact, this index assumes values always above 8%, significantly higher than the threshold of 5% commonly used in the Authority's precedents in the GDO and commercial distribution markets245.</w:t>
      </w:r>
    </w:p>
    <w:p>
      <w:r>
        <w:t>177. In this regard, the correctness of the methodology used is noted, which is based on the analysis of the operation as a horizontal concentration in local retail distribution markets and the inconsistency of the observations made by PAC246.</w:t>
      </w:r>
    </w:p>
    <w:p>
      <w:r>
        <w:t>178. Firstly, it should be noted that in the Authority's consolidated precedents regarding GDO concentrations, relating to the same Conad, as well as in general regarding retail distribution247, the margins (at retail) achieved by the sales network have always been used. In fact, the estimation of the GUPPI is precisely aimed at verifying to what extent a horizontal concentration determines an incentive considering the margin (at retail) of the sales that would be recovered from the network of points of sale belonging to PAC.</w:t>
      </w:r>
    </w:p>
    <w:p>
      <w:r>
        <w:t>179. Secondly, PAC refers to the precedent C12535 - relating to the concentration between IP and Esso - erroneously claiming that in that case wholesale margins were used.</w:t>
      </w:r>
    </w:p>
    <w:p>
      <w:r>
        <w:t>180. In this regard, it is observed that the reconstruction made by PAC is partial and misleading. In that concentration, the analysis of the GUPPI took into account different types of contractual management of the networks of service stations. In particular, in cases where the service stations were managed by third parties, two commercial modalities were distinguished: on one hand, there was the "List Price formula," in which the company supplied fuel at a set price to the managers and recommended a retail price (but not directly binding for the manager), on the other hand, there were wholesale transfer formulas (for example, the Platts+ formula) in which there was no possibility to suggest the retail prices of the service stations (and therefore to influence retail strategies, as well as indirectly through the leverage of wholesale prices).</w:t>
      </w:r>
    </w:p>
    <w:p>
      <w:r>
        <w:t>181. For the network that used the "List Price formula" - a situation comparable to that of the cooperative members of PAC - the analysis of the GUPPI used the retail margin (plus a component of the wholesale margin). In fact, the inclusion of the retail margin responded to the need to measure the effects of the concentration operation in a context where it was possible, for the part, to condition the pricing choices of the fuel network, although this retail margin – being the service stations also managed by affiliated third parties – was not a profit directly attributable to IP. Conversely, for the other service stations, characterized by a mere wholesale supply relationship (without a recommended pricing system), only the upstream margin was used.</w:t>
      </w:r>
    </w:p>
    <w:p>
      <w:r>
        <w:t>182. This confirms the validity of the GUPPI analysis carried out in this proceeding, as the correct reading of the precedent cited by PAC indicates that, in a situation analogous to the present (service stations managed by third parties and characterized by the "List Price formula"), the retail margin was used even with the addition of the wholesale margin249.</w:t>
      </w:r>
    </w:p>
    <w:p>
      <w:r>
        <w:t>183. Thirdly, it is necessary to consider the mutualistic function of PAC, for which there is an alignment of incentives between the cooperative (PAC) and the cooperative members adhering to PAC (points of sale of the PAC network). As noted above, in fact, this is a cooperative entrepreneurial project characterized by a shared commercial, promotional, and marketing strategy among the cooperative members.</w:t>
      </w:r>
    </w:p>
    <w:p>
      <w:r>
        <w:t>184. In this context, the use of retail margins in the GUPPI analysis reflects the structure of the PAC cooperative and the sharing of the mutualistic vision of individual cooperative members: to put it in PAC's own words, it is "committed to promoting cooperation among retailers, protecting and enhancing the profitability of associated businesses"250. There is therefore a specific social objective of increasing the profitability of individual associated points of sale, which is why retail margins (as well as the upstream margins achieved by PAC)251 are relevant.</w:t>
      </w:r>
    </w:p>
    <w:p>
      <w:r>
        <w:t>185. In this sense, the notes accompanying the 2023 budget should be read, which state: "Work has continued in terms of greater efficiency and cost containment, thus achieving the results commented on, in addition to a correct economic, asset, and financial balance, also improving the margins of associated points of sale. A significant effort has been directed towards improving the sales support for its associates to counter the exacerbated competitive competition. The interventions have not been limited to promotional and pricing activities alone, but, with a significant organizational effort, also with the commitment of the entire structure to revisit and requalify our brands, communication, products, and implement everything in our associated points of sale"252. Essentially, support for the (retail) margins of the points of sale in the PAC network is an objective that is also officially stated in the cooperative's budget.</w:t>
      </w:r>
    </w:p>
    <w:p>
      <w:r>
        <w:t>249 In this regard, the Tesco/Booker case of the Competition and Market Authority (CMA) also appears irrelevant. That case, in fact, concerns the acquisition by Tesco, a GDO operator in the United Kingdom, of a wholesaler that supplied GDO points of sale of Tesco's competitors and did not have its own points of sale. In that case, therefore, it was intended to evaluate the wholesale supply relationship between Booker and non-Tesco points of sale, assessing the sales that – following a wholesale price increase by Booker towards non-Tesco points of sale – would have been diverted from Tesco points of sale. This is therefore a different case from the one under examination, in which all points of sale are included in the PAC network and for which PAC has the ability to influence strategic retail positioning (prices, assortment, expansion plans, etc.) and for which, consequently, retail revenues (and not wholesale) must be evaluated. In the Tesco/Booker case, in fact, the new entity did not have the ability to influence (except indirectly through wholesale prices) non-Tesco points of sale supplied by Booker and therefore the analysis assumed a purely wholesale perspective.</w:t>
      </w:r>
    </w:p>
    <w:p>
      <w:r>
        <w:t>250 Cfr. doc. 108.5.</w:t>
      </w:r>
    </w:p>
    <w:p>
      <w:r>
        <w:t>251 In this regard, it should be noted that, according to what PAC reported, associated points of sale could decide to exit the PAC cooperative (cfr. doc. 126). Firstly, it should be noted that, in addition to the circumstance that PAC owns several points of sale (including those subject to the Operation), by virtue of the "Cooperative-Member Associative Pact," PAC enjoys a right of [omitted]. Therefore, in this context, the contractual structure of the cooperative appears to have tools to preserve the value of the sales network even in the case of transfer, through the possibility of acquiring individual points of sale to keep them within the cooperative. Secondly, it should be noted that precisely due to the need to ensure the well-being of cooperative members and to preserve the spread of the PAC network, the latter must necessarily maximize the profitability and margins of individual points of sale.</w:t>
      </w:r>
    </w:p>
    <w:p>
      <w:r>
        <w:t>252 Cfr. doc. 7.7. To this end, the PAC Regulation provides for the possibility of differentiating commercial and promotional actions for specific channels and territories, in particular: [omitted].</w:t>
      </w:r>
    </w:p>
    <w:p>
      <w:r>
        <w:rPr>
          <w:b/>
        </w:rPr>
        <w:t>[Pages 133–135]</w:t>
      </w:r>
    </w:p>
    <w:p>
      <w:r>
        <w:t>BULLETIN NO. 1 OF JANUARY 7, 2025 135</w:t>
      </w:r>
    </w:p>
    <w:p>
      <w:r>
        <w:t>186. Moreover, supporting the profitability of sales points is a primary objective of PAC, which is also willing to sacrifice – in line with the mutualistic purpose – the management results of the cooperative itself. In this regard, it is sufficient to cite the accompanying note to the 2022 financial statements of PAC, which indicates that, in the context of the energy crisis, PAC has "encouraged Members to revisit their costs as well as increasing their profitability through the tools provided by the Statute and the Internal Regulations. In the context of these negative scenarios, the Cooperative has also provided immediate financial support to the social base represented by the advance payment of an extraordinary advance on the deferred discount 'Loyalty Bonus', currently maturing, to meet the deadlines of the July/August bills as well as to progressively increase the profitability of the sales points, even at the expense of the profitability of the Cooperative itself. Furthermore, within the scope of the mutualistic function of the Cooperative, an allocation of extraordinary resources has been provided to give partial relief to Members in light of the increased impact of energy costs on the economic accounts of the associated companies."253</w:t>
      </w:r>
    </w:p>
    <w:p>
      <w:r>
        <w:t>187. Essentially, the internal documentation of PAC confirms the validity of the GUPPI analysis conducted, to the extent that it considers the retail profitability of the sales points of the network254, which PAC identifies as a primary objective in its commercial strategy255.</w:t>
      </w:r>
    </w:p>
    <w:p>
      <w:r>
        <w:t>188. It is also noted that the request to modify the standard formula for calculating the GUPPI appears to be unshareable in light of the significant issues with the alternative formula proposed by PAC, as shown below:</w:t>
      </w:r>
    </w:p>
    <w:p>
      <w:r>
        <w:t>189. Specifically, the proposed formula considers PAC as an operator almost exclusively wholesale (as a mere supplier to the Conad sales points of its network and only in a residual number of cases as a direct seller to the public). This formula therefore does not consider the retail profits made by PAC members, which the mutualistic structure of PAC aims to "grow."</w:t>
      </w:r>
    </w:p>
    <w:p>
      <w:r>
        <w:t>190. Furthermore, by adopting a (in fact, solely) vertical perspective, it uses only the retail price of the sales points256 as the choice variable, omitting to consider the wholesale price as another relevant variable for PAC257. Consequently, the formula almost tautologically returns the result that there would never be an incentive to increase retail prices.</w:t>
      </w:r>
    </w:p>
    <w:p>
      <w:r>
        <w:t>253 See doc. 7.6. The same considerations can be found in the 2022 financial statements (see doc. 7.5).</w:t>
      </w:r>
    </w:p>
    <w:p>
      <w:r>
        <w:t>254 In this regard, it should be noted that the surplus results of PAC's management are considered a "refund to Members." See docs. 7.5 and 7.6.</w:t>
      </w:r>
    </w:p>
    <w:p>
      <w:r>
        <w:t>255 Moreover, in light of the fact that the surpluses from the cooperative's management are then subject to retrocession to the members as a refund, the use of data relating only to the retail margin, without adding the margins of the cooperative that are redistributed to the members, results in a very cautious analysis for the party, since considering these values as well, the incentive to increase prices would be higher, thus facing a much worse context for competition.</w:t>
      </w:r>
    </w:p>
    <w:p>
      <w:r>
        <w:t>256 Essentially, in order to maximize PAC's profits from wholesale supplies to sales points, only the retail price charged by the sales point is used as the decision variable.</w:t>
      </w:r>
    </w:p>
    <w:p>
      <w:r>
        <w:t>257 The presence of a larger network indeed allows for greater opportunities to internalize lost sales following an increase in the wholesale price, thereby creating upward pressure on the latter that would be passed on to the retail price.</w:t>
      </w:r>
    </w:p>
    <w:p>
      <w:r>
        <w:t>136 BULLETIN NO. 1 OF JANUARY 7, 2025</w:t>
      </w:r>
    </w:p>
    <w:p>
      <w:r>
        <w:t>191. In fact, it should be noted that, even in the presence of a market structure that is tendentially monopolistic, the application of such a formula would lead to the paradoxical result of returning negative GUPPI values. In other words, even if there were only Conad sales points of the PAC network in a local market, according to the proposed formula, there would be no incentive to increase retail prices258.</w:t>
      </w:r>
    </w:p>
    <w:p>
      <w:r>
        <w:t>192. Essentially, the proposed formula presents three limitations: (i) it is not suitable for the situation at hand as it excludes the unitary nature of the PAC network and its impact on the retail strategies of the associated sales points; (ii) it does not consider PAC's objectives aimed at maximizing the margins of the associated sales points, limiting the analysis for these latter to only the vertical supply profiles; and (iii) it also sets the vertical supply relationship on partial decision variables (omitting the wholesale transfer price as a decision variable).</w:t>
      </w:r>
    </w:p>
    <w:p>
      <w:r>
        <w:t>193. Finally, it is necessary to refute PAC's thesis that the presence of prices defined at a broader geographical level (macro areas) would prevent effects from occurring in individual isochrones (considered in the Authority's analysis)259. In this regard, it should be noted that it is possible for PAC itself, through its management system, to define commercial policies even at the level of the individual sales point260. Essentially, the arguments proposed by the Party do not allow for the refutation of the relevant geographical scope for the purposes of this Operation, as this, by eliminating significant competitive constraints, creates an incentive to increase prices in local markets.</w:t>
      </w:r>
    </w:p>
    <w:p>
      <w:r>
        <w:t>194. In conclusion, the above considerations confirm the correctness of the analyses conducted regarding the incentives of the entity resulting from the concentration operation in question to increase prices, as analyzed by the GUPPI.</w:t>
      </w:r>
    </w:p>
    <w:p>
      <w:r>
        <w:t>(c) Other elements of market context</w:t>
      </w:r>
    </w:p>
    <w:p>
      <w:r>
        <w:t>195. Finally, it is necessary to consider further elements that may determine a greater competitive risk of the operation. First of all, it is noted that the municipality of Rome is characterized, as emerged during the proceedings, by greater difficulty in opening new sales points, especially larger ones (hypermarkets). In this regard, PAC believes that, on the contrary, there would be significant market dynamism, and in this sense, it refers to the number of openings by Esselunga and other operators concerning the center of Rome.</w:t>
      </w:r>
    </w:p>
    <w:p>
      <w:r>
        <w:t>258 In particular, it is sufficient to consider, by way of example, DR values that reach 100% (no competitors other than PAC sales points) and one would have a negative GUPPI (for example, inserting in the formula the DR values 𝐷 = 0𝑗 40%, 𝐷 = 50%, 𝐷 = 5%, 𝐷𝑂𝑊𝑁 = 50%), one would have a negative DR.</w:t>
      </w:r>
    </w:p>
    <w:p>
      <w:r>
        <w:t>259 This would be demonstrated, according to PAC, by the absence of a significant relationship between retail prices and the number of competitors present within certain distances (for example, within 1 km, etc.). In this regard, it is noted that the proposed analyses are incomplete and unreliable. In particular, the regression considers only the number of competitors but does not include the typical competitive variables that influence prices (such as the market shares held by the centroid and competitors or the competitive proximity of operators present in different geographical areas). Therefore, it is an incomplete and unreliable exercise that produces distorted estimates.</w:t>
      </w:r>
    </w:p>
    <w:p>
      <w:r>
        <w:t>260 Essentially, the choice of how to define recommended prices is the result of business decisions that are subject to change over time, where it is convenient to do so, as in the case of the presence of an incentive to increase prices (GUPPI) following a concentration operation. This indicates the presence of an economic incentive to increase prices. In this sense, it is worth noting, for example, that for assortment decisions, which is a variable as important as price, there are decision-making mechanisms based on the references of the sales points, even through complex algorithms. For example, PAC has adopted "state-of-the-art algorithms that use market information combined with the base keeper, ... launching the Assortment Project, which initiated a process of optimizing the assortment of products in our sales points to follow the evolution of needs and consumption [...] Through an analysis of the merchandise sectors and sample assortments of Conad references, and others, within the sales points, products to be moved will be periodically selected and post-intervention, their commercial effectiveness will be monitored, rationalizing the offer." (see doc. 108.6).</w:t>
      </w:r>
    </w:p>
    <w:p>
      <w:r>
        <w:t>BULLETIN NO. 1 OF JANUARY 7, 2025 137</w:t>
      </w:r>
    </w:p>
    <w:p>
      <w:r>
        <w:t>196. In this regard, it should be noted that, contrary to what PAC claims, new openings – obviously considered where they fall within the analyzed isochrones261 – are actually an extremely limited phenomenon. It is enough to think that Esselunga, one of the primary operators in Italy, has opened only four sales points in eight years (2017-2024), as recognized by PAC itself262. Moreover, almost all the other cases cited by PAC are actually changes of signage of already existing sales points263. Finally, Unicoop itself, in its internal documents, notes that "the opportunities for development have been predominantly for indirect development (acquisitions) and through the redevelopment of existing situations; very few have been the openings of new medium-sized structures (sales area &gt; 250 sqm) within the ring in the last 5 years, and among them, 2 were carried out by doc*Roma"264.</w:t>
      </w:r>
    </w:p>
    <w:p>
      <w:r>
        <w:t>In conclusion, therefore, the elements on record allow us to conclude the absence of significant changes in the competitive structure of the markets under analysis in the medium term and, therefore, of elements that may reduce the effects of the Operation.</w:t>
      </w:r>
    </w:p>
    <w:p>
      <w:r>
        <w:t>(d) Conclusions regarding the presence of unilateral effects of the Operation</w:t>
      </w:r>
    </w:p>
    <w:p>
      <w:r>
        <w:t>197. Therefore, the analyzed data and the above indicate how the operation, evaluating the unilateral effects, has eliminated the incentives to compete between two close competitors (the Target and PAC). These conclusions are based on a complex of unique and concordant elements such as the shares of the post-merger entity and their increase, the level of concentration (HHI) post-merger and its variation due to the Operation (Delta HHI), competitive proximity (DR), and the incentives to raise prices (GUPPI). In this regard, it should be noted that the potential evaluation of the competitor GROS as a unitary network, as requested by PAC, further increases the risk of restrictive effects, which are the subject of analysis with the SIEC test. In fact, due to the circumstance that the Operation eliminates the relationship between two close competitors, the increase in the level of concentration would exacerbate the unilateral effects.</w:t>
      </w:r>
    </w:p>
    <w:p>
      <w:r>
        <w:t>VI.2.c. The sales points of the brands associated with GROS</w:t>
      </w:r>
    </w:p>
    <w:p>
      <w:r>
        <w:t>198. Regarding the role of GROS, the evidence acquired confirms that the brands affiliated with it (Pewex, PIM, DEM, etc.) cannot be considered in a unitary manner. In fact, contrary to what PAC claims, there are significant differences between PAC and GROS, which appear to determine a greater degree of autonomy of the brands associated with GROS compared to what is observable for the PAC sales point network265.</w:t>
      </w:r>
    </w:p>
    <w:p>
      <w:r>
        <w:t>261 For example, see the request for information of October 30, 2024, in which it was requested to provide, for isochrone no. 4, in order to take into account the new Esselunga sales point previously not included in the isochrone (see doc. 83).</w:t>
      </w:r>
    </w:p>
    <w:p>
      <w:r>
        <w:t>262 See doc. 138.</w:t>
      </w:r>
    </w:p>
    <w:p>
      <w:r>
        <w:t>263 For example, PAC itself identifies among the openings: "Castoro acquired from the Maiorana Group (IperLa Spesa) the sales points of Viale Manzoni, Via Renzo Da Ceri, and Via Chiabrera in 2024 [...] PIM will open two sales points in Via dei Boccabelli (former Panorama) in 2025 [...] In 2024, the following sales points changed from the Sacoph brand (GROS group) to the Decò and Dodeca brands, joining Multicedi S.r.l.: Via Tuscolana and Circonvallazione Nomentana, under the Decò brand, and Via Val Trompia, Via dei Due Ponti, and Viale di Castel Porziano under the Dodeca brand." (see doc. 138).</w:t>
      </w:r>
    </w:p>
    <w:p>
      <w:r>
        <w:t>264 See doc. 5.3.</w:t>
      </w:r>
    </w:p>
    <w:p>
      <w:r>
        <w:t>265 In this regard, in some passages of the final memorandum, PAC hypothesizes the possibility of considering all sales points attributable to the Selex purchasing center as a single competitor (see doc. 138). These considerations, however, are not adequately motivated and are in evident contradiction with the defenses aimed at considering CNO and PAC, both belonging to the Conad system as different subjects, despite operating under the same brands. Furthermore, it should be noted that Selex provides its members with negotiation services for purchasing conditions with suppliers, containing the basic conditions of supplies to the member companies, which manage their sales points "using a plurality of brands, some owned by Selex and others owned by the member companies," and, with reference to private label products, it handles the activities of certification and selection of suppliers, definition of product specifications, quality control, and negotiation of purchases, while private label products do not present uniformity as they are offered to consumers under different brands, some dedicated to individual members (see doc. 42.1).</w:t>
      </w:r>
    </w:p>
    <w:p>
      <w:r>
        <w:rPr>
          <w:b/>
        </w:rPr>
        <w:t>[Pages 136–138]</w:t>
      </w:r>
    </w:p>
    <w:p>
      <w:r>
        <w:t>138 BULLETIN NO. 1 OF JANUARY 7, 2025</w:t>
      </w:r>
    </w:p>
    <w:p>
      <w:r>
        <w:t>199. In the introduction, it should be clarified that, contrary to what PAC has claimed, Article 8(3) of the GROS Statute provides for a clause of approval whereby the potential "entry of new members into the Consortium Company is subject to the approval of the Assembly of members, which must give its consent, by express resolution, after verifying" certain requirements, among which is the "non-competition of such enterprises, with respect to those of the Members, both at the local and national/international level."266</w:t>
      </w:r>
    </w:p>
    <w:p>
      <w:r>
        <w:t>200. This is therefore an admission requirement to the consortium, aimed at assessing the interest in allowing a new member into the network, taking into account its presence in the market and avoiding ties with prospective members who are close competitors of the current members of GROS. Therefore, contrary to what PAC has claimed, there does not appear to be a "statutory obligation of non-competition among members"267 in the statutory provisions regarding the activities of the consortium members.</w:t>
      </w:r>
    </w:p>
    <w:p>
      <w:r>
        <w:t>201. Similarly, Article 10(4) of the Statute268 does not provide for a non-competition agreement but merely for the exclusion from the social structure of a member in the event that they transfer or assign the business to parties with interests in competition or conflict with those pursued (not by the other members but) "by the Consortium Company for the achievement of its corporate purpose."269 This provision is intended to prevent the status of member from being maintained, following a business transfer, by a party that benefits from common purchases and services from distribution centers other than GROS270.</w:t>
      </w:r>
    </w:p>
    <w:p>
      <w:r>
        <w:t>202. GROS, as emerged in the investigation, performs for its members only the function of acquisition and logistical distribution of products, without intervening in any way in the definition of the commercial lines of its members or in the definition of product assortments271 or in the policies for expanding sales points272. Unlike PAC, therefore, it does not play a coordinating role in commercial matters with respect to its members and does not collect information on the retail commercial activity carried out by individual sales points273, pooling it for</w:t>
      </w:r>
    </w:p>
    <w:p>
      <w:r>
        <w:t>266 See doc. 142.17.</w:t>
        <w:br/>
        <w:t>267 See doc. 147, annex 4.</w:t>
        <w:br/>
        <w:t>268 See doc. 142.17. More specifically, the clause in Article 10(4) of the GROS Statute provides that "A Member may be excluded, by resolution of the Assembly, also when they transfer in any way, by act between living persons, the entire commercial business or all or part of the shares of the Company that manages the activity that benefits from common purchases and services, in favor of individuals or legal entities that have competitive interests or in conflict with those pursued by the Consortium Company for the achievement of its corporate purpose."</w:t>
        <w:br/>
        <w:t>269 See doc. 142.17.</w:t>
        <w:br/>
        <w:t>270 The aforementioned statutory provision, therefore, is aimed at regulating the vertical relationships between the consortium and individual (different) members, not qualifying as a statutory obligation of non-competition among members, as asserted by PAC.</w:t>
      </w:r>
    </w:p>
    <w:p>
      <w:r>
        <w:t>271 In this case, "the various member brands of GROS have heterogeneous networks among themselves, both in terms of size (for example, there are member brands that primarily operate with smaller sales points) and in terms of consumer perception. In particular, each member decides their commercial positioning with respect to customers (for example, greater or lesser focus on the lowest price, presence of quality or local products) and chooses among the references handled by GROS, as well as other suppliers (for example, for meats and bread, which are distinctive elements for quality, GROS does not offer its members any supplier grid, as is the case for fresh products) to create a commercial profile that aligns with their positioning. In this sense, GROS provides the opportunity to handle more than 25,000 references, and each member decides the assortment of the sales point and, consequently, the commercial profile they want to have with respect to consumers. GROS does not enter in any way into this extremely relevant commercial area for the perception of the brand by consumers." (see doc. 125).</w:t>
      </w:r>
    </w:p>
    <w:p>
      <w:r>
        <w:t>272 In this regard, it should be noted that Unicoop itself has dealt with the sale of sales points with individual members of GROS and not - as occurred with PAC - with GROS (see 137).</w:t>
      </w:r>
    </w:p>
    <w:p>
      <w:r>
        <w:t>273 On this point, PAC, in its final memorandum, partially cites GROS's response and claims that there is an exchange of information on the sales of the sales points from the members to GROS (see doc. 138). However, this reconstruction is incorrect, as it is the individual sales points that "therefore make use of the purchasing center [GROS] for the part of purchases for the logistical part and for the statistical and IT part, obtaining data related to purchases and the movement of goods" (see doc. 94). Therefore, it is the individual sales points that obtain data on their purchases, and there is no evidence, contrary to what PAC has claimed, of a reverse process of data transmission (similar to that of PAC).</w:t>
      </w:r>
    </w:p>
    <w:p>
      <w:r>
        <w:t>BULLETIN NO. 1 OF JANUARY 7, 2025 139</w:t>
      </w:r>
    </w:p>
    <w:p>
      <w:r>
        <w:t>274 to improve the profitability of the entire sales network through actions related to pricing or assortment274.</w:t>
      </w:r>
    </w:p>
    <w:p>
      <w:r>
        <w:t>203. Secondly, the supermarkets associated with GROS each have their own brand, manage the flyer independently (which, unlike PAC, is graphically developed by each brand autonomously), do not have common sales point formats, and do not have common loyalty systems (fidelity cards). In this regard, for example, the data provided by PAC275 regarding the analysis of the flyers of the various brands adhering to GROS show a significant difference in the number of references included by each brand in their flyers. The variability of the references included ranges from 12% for the pet food category to 38% for the meat department (Table 16).</w:t>
      </w:r>
    </w:p>
    <w:p>
      <w:r>
        <w:t>Table 16 – Analysis conducted by PAC on the flyers of the brands adhering to GROS276</w:t>
        <w:br/>
        <w:t>Number of references in the flyers of each brand</w:t>
        <w:br/>
        <w:t>Coefficient of</w:t>
        <w:br/>
        <w:t>Types of products in variation</w:t>
        <w:br/>
        <w:t>Minimum Maximum Average</w:t>
        <w:br/>
        <w:t>flyer</w:t>
        <w:br/>
        <w:t>Various goods 44 138 117 21%</w:t>
        <w:br/>
        <w:t>Beverages 14 90 69 26%</w:t>
        <w:br/>
        <w:t>Gastronomy 24 49 41 17%</w:t>
        <w:br/>
        <w:t>Fresh and very fresh 59 161 137 19%</w:t>
        <w:br/>
        <w:t>Fishery 1 13 9 36%</w:t>
        <w:br/>
        <w:t>Butchery 19 67 35 38%</w:t>
        <w:br/>
        <w:t>Fruits and vegetables 19 65 53 23%</w:t>
        <w:br/>
        <w:t>Home and personal hygiene 13 39 33 19%</w:t>
        <w:br/>
        <w:t>Frozen foods 21 46 37 18%</w:t>
        <w:br/>
        <w:t>Pet food 8 13 12 12%</w:t>
        <w:br/>
        <w:t>Christmas preview 12 29 23 20%</w:t>
      </w:r>
    </w:p>
    <w:p>
      <w:r>
        <w:t>204. This represents a significant variability in the number of references included (independently) by each brand related to GROS, each of which has its own flyer, compared to a single centralized flyer created by PAC for the sales points adhering to the cooperative.</w:t>
      </w:r>
    </w:p>
    <w:p>
      <w:r>
        <w:t>205. Furthermore, the percentage of common promotions among GROS brands, identified by PAC (from 30% to 100%), appears to be overestimated because (i) it is considered that there is uniformity of common promotions even when the promotion is present in the flyers of only some GROS brands and not in all277 (ii) it does not take into account that the flyers have a different number of references and, therefore, that the individual brands decide independently which promotions to include in the flyer (and whether to include them)278.</w:t>
      </w:r>
    </w:p>
    <w:p>
      <w:r>
        <w:t>206. Moreover, the presence of some common offers279 or of the private label products Consilia in all sales points appears to be linked to the collective bargaining of products with suppliers from which promotional initiatives also derive. In particular, the purchasing centers negotiate with the industry the conduct of periodic promotional campaigns on certain products, to which the brands can decide to adhere, often having an incentive to do so due to the better price positioning of the products towards consumers: this would explain the presence of some similar offers on the front pages of the flyers of the members. It should be noted that the fact that GROS carries out some advertisements or supplementary promotional initiatives280 does not appear sufficient to assimilate this to PAC, for which a centralized level of strategic decision-making is observed.</w:t>
      </w:r>
    </w:p>
    <w:p>
      <w:r>
        <w:t>207. Essentially, even from the perspective of commercial positioning, there is greater heterogeneity compared to the sales points of PAC, which are characterized (i) by uniformity of sales points, which is a statutory objective of the PAC cooperative, (ii) by the sharing of promotional offers centrally managed by PAC (for example, the uniform offers flyer), as well as uniform pricing policies on certain product lines (for example, "low and fixed" and "always convenient"), recommended pricing systems with management software that allows monitoring of the same, and, in general, (iii) by the presence of common brands, distinctive signs, and sales formats, not only to PAC but to all cooperatives in the Conad system.</w:t>
      </w:r>
    </w:p>
    <w:p>
      <w:r>
        <w:t>(a) The presence of unilateral effects of the Operation regardless of the unitary consideration of GROS</w:t>
      </w:r>
    </w:p>
    <w:p>
      <w:r>
        <w:t>208. In any case, it should be noted that, even considering GROS as a single operator, the joint shares would still be lower than those of PAC in isochrones No. 1, 12, and 13 (with a distance of about 3-4% considering only PAC and 7-9% considering all sales points under the Conad brand). PAC would therefore remain the first operator in isochrones No. 1, 12, and 13. Moreover, this</w:t>
      </w:r>
    </w:p>
    <w:p>
      <w:r>
        <w:t>277 Essentially, PAC believes that there is uniformity in the promotions of all GROS brands even when only some of them adhere to them. This would, for example, reduce the estimate of the commonality of offers of various goods made by PAC from an average of 97% (see doc. 142.18) to a maximum of 32% (since at least one operator, which has only 44 references in the flyer, cannot be considered as adhering to the promotions of another brand that has 138 references in the flyer, see Table 16).</w:t>
      </w:r>
    </w:p>
    <w:p>
      <w:r>
        <w:t>278 If this circumstance were considered, there would be an even lower percentage of common promotions among the brands related to GROS, with an average commonality of promotions of 71%. In particular, PAC calculates the percentage of common promotions as the number of references present in its flyer that have prices equal to those of at least one other brand divided by the number of references present in its flyer. However, it should be noted that this analysis does not take into account the fact that the individual brand has also chosen to include or exclude certain products from its flyer (and therefore to decide ex ante which product to promote and advertise). Therefore, calculating the percentage of common promotions as the number of references present in its flyer that have prices equal to those of at least one other brand over the total number of maximum references for a given product category (and not over the total number of references of that product category present in the individual flyer), would yield percentages of commonality of promotions ranging from 15% for butchery to 94% for pet food, with an average of 71% (see doc. 142.18).</w:t>
      </w:r>
    </w:p>
    <w:p>
      <w:r>
        <w:t>279 On this point, it should be noted that PAC, in its internal documents, confirms that the "common points among the brands of the group [GROS:] the front pages are similar (mechanics of the products)" (see doc. 115.30).</w:t>
      </w:r>
    </w:p>
    <w:p>
      <w:r>
        <w:t>280 On this point, it is noted that, as can be verified both from the flyers transmitted by PAC (Figure 10 above) and from the number of references in the flyers (Table 16), there are significant differences between the various GROS brands compared to what can be found for the flyer defined centrally by PAC. Furthermore, PAC, in referring to the flyer, shows, on the contrary, the web pages of the GROS brands (see doc. 147, annex 4) which have a common layout due to the fact that "GROS has entrusted a software company (Digitelematica) with the creation of a web infrastructure that uses multi-company software, that is, a customizable and adaptable platform to the needs of the individual brands." (see doc. 125).</w:t>
      </w:r>
    </w:p>
    <w:p>
      <w:r>
        <w:rPr>
          <w:b/>
        </w:rPr>
        <w:t>[Pages 139–141]</w:t>
      </w:r>
    </w:p>
    <w:p>
      <w:r>
        <w:t>BULLETIN NO. 1 OF JANUARY 7, 2025 141</w:t>
      </w:r>
    </w:p>
    <w:p>
      <w:r>
        <w:t>would occur by considering CNO as a full competitor when, instead, it could be considered within the network as a member of Conad281.</w:t>
      </w:r>
    </w:p>
    <w:p>
      <w:r>
        <w:t>209. Furthermore, the sales points of Target and those of PAC would still be the closest competitors, with the highest DR levels among them. In particular, against a DR from Target to PAC always exceeding 40% (and reaching up to 50%), the DR from Target to GROS as a whole is always significantly lower (between 18% and 62%) compared to that of PAC282. In this sense, the analysis of competitive proximity confirms (i) the elimination of a strong competitive constraint between Target and PAC, as well as (ii) a lesser competitive constraint existing between Target and GROS as a whole. This refutes PAC's thesis that GROS, if considered jointly, would be "a stronger competitor [that] would make the Operation less problematic"283.</w:t>
      </w:r>
    </w:p>
    <w:p>
      <w:r>
        <w:t>210. Moreover, if GROS were considered as a single entity, the level of concentration in the market would increase significantly284 and, therefore, the effects of the concentration would be accentuated as they would occur in a competitive context with fewer independent operators. In particular, according to the Commission's guidelines, when the concentration eliminates an important competitive force, the anticompetitive effects resulting from the elimination of such a company could be further accentuated when the market is already concentrated285. These are, in particular, unilateral effects of the operation or the loss of the incentive to compete, due to the fact that the concentration eliminates an important competitive force in a market where the conditions of competition are already deteriorated by high levels of concentration.</w:t>
      </w:r>
    </w:p>
    <w:p>
      <w:r>
        <w:t>VI.2.d. Conclusions</w:t>
      </w:r>
    </w:p>
    <w:p>
      <w:r>
        <w:t>211. In conclusion, the elements considered above allow us to conclude that the Operation is likely to significantly impede effective competition in the retail markets for food and non-food consumer products identified by isochrones No. 1, 12, 13.</w:t>
      </w:r>
    </w:p>
    <w:p>
      <w:r>
        <w:t>281 In this regard, PAC notes in its submissions that, in the initiation measure, the significant distance from the second operator was indicated as a problematic element and, in this sense, believes that such distance is not present when considering GROS jointly (cfr. doc. 138, 147). However, it is noted that the distance between the first and second operator is not an element that has been considered in the analysis of the effects of concentration in the communication of the investigation results, within which the presence of a significant obstacle to effective competition has been verified with reference to various and different indicators, all precise and consistent (market shares and their variations, concentration index and its variations, competitive proximity and incentives to raise prices). In fact, as mentioned, the analysis does not concern the establishment of a dominant position in the relevant local markets, but rather the presence of competitive effects due to the elimination of constraints between two close competitors.</w:t>
      </w:r>
    </w:p>
    <w:p>
      <w:r>
        <w:t>282 In particular, as can be seen in Table 12 (DR in volume): (i) in isochrone 1, against a DR to PAC of 40%, there would be a DR to GROS of 31%, that is, a difference of 9 percentage points (difference of 23%); (ii) in isochrone 12, against a DR to PAC of 44%, there would be a DR to GROS of 18%, that is, a difference of 26 percentage points (difference of 59%); finally, (iii) in isochrone 13, against a DR to PAC of 49%, there would be a DR to GROS of 40%, that is, a difference of 9 percentage points (difference of 18%). Considering the DR in value of expenditure (Table 13): (i) in isochrone 1, against a DR to PAC of 41%, there would be a DR to GROS of 32%, that is, a difference of 9 percentage points (difference of 22%); (ii) in isochrone 12, against a DR to PAC of 44%, there would be a DR to GROS of 17%, that is, a difference of 27 percentage points (difference of 62%); finally, (iii) in isochrone 13, against a DR to PAC of 50%, there would be a DR to GROS of 39%, that is, a difference of 11 percentage points (difference of 22%).</w:t>
      </w:r>
    </w:p>
    <w:p>
      <w:r>
        <w:t>283 Cfr. doc. 147.</w:t>
      </w:r>
    </w:p>
    <w:p>
      <w:r>
        <w:t>284 In particular, on average, the post-merger HHI index would exceed 2,200 units in isochrones No. 1, 12, and 13.</w:t>
      </w:r>
    </w:p>
    <w:p>
      <w:r>
        <w:t>285 Cfr. Communication from the Commission, Guidelines on the assessment of horizontal concentrations under the Council Regulation on the control of concentrations between undertakings (2004/C 31/03).</w:t>
      </w:r>
    </w:p>
    <w:p>
      <w:r>
        <w:t>142 BULLETIN NO. 1 OF JANUARY 7, 2025</w:t>
      </w:r>
    </w:p>
    <w:p>
      <w:r>
        <w:t>VI.3. Non-competition agreements in favor of the seller</w:t>
      </w:r>
    </w:p>
    <w:p>
      <w:r>
        <w:t>212. With specific reference to the non-competition agreements provided for by the described clauses in Article 17 of the contract for the transfer of the business branches subject to the Operation as well as the further illustrated provision in Article 8 of the same contract, the following is observed.</w:t>
      </w:r>
    </w:p>
    <w:p>
      <w:r>
        <w:t>213. The non-competition agreement in Article 17.1 is clearly inserted in the interest of the buyer and can be considered accessory and necessary for the realization of the Operation as it is functional to safeguarding the value of the business branches subject to acquisition, being geographically limited to the area of activity of the latter, commercially to the type of services provided therein, and temporally to a period of two years.</w:t>
      </w:r>
    </w:p>
    <w:p>
      <w:r>
        <w:t>214. Conversely, the provision in Article 17.2, which imposes on PAC, for five years, the obligation not to transfer or allow the transfer of the business branches subject to acquisition to chains and/or entrepreneurs in distribution (including other operators with the "Conad" brand) active in Tuscany, cannot be considered, pursuant to the Commission's Communication on restrictions directly related and necessary to concentrations286, as accessory and necessary for the realization of the operation.</w:t>
      </w:r>
    </w:p>
    <w:p>
      <w:r>
        <w:t>215. This is indeed a provision that, as expressly acknowledged in the same contractual clause, was inserted "at the explicit request and in the interest of UNICOOP (for which this clause also constitutes a negotiating premise)"287. In this regard, from the minutes of the Board of Directors of Unicoop acquired in the proceedings288 as well as from the statements made by representatives of the same company during the hearing of November 7, 2024289, it is clear that Unicoop did not intend to transfer the business branches subject to the Operation to economic operators considered direct competitors as they were already present in Tuscany, that is, in the geographical area where Unicoop predominantly operated290.</w:t>
      </w:r>
    </w:p>
    <w:p>
      <w:r>
        <w:t>216. Likewise, the provision in Article 8.1 of the same contract, according to which PAC, in the event that it becomes necessary to transfer some Business Branches subject to the Operation for compliance with competition law, expressly undertakes not to transfer them to Esselunga or other companies of the Conad System, is provided in favor of the seller, as it aims to exclude that such an eventuality could constitute an opportunity for development for Unicoop's competitors active in Tuscany, thus implementing Unicoop's described business strategy.</w:t>
      </w:r>
    </w:p>
    <w:p>
      <w:r>
        <w:t>217. Therefore, the aforementioned clauses contained in Articles 8.1 and 17.2 of the contract for the transfer of the business branches subject to the Operation, as expressly indicated in the aforementioned Communication on accessory restrictions, cannot be considered accessory and necessary for the purposes of the Operation itself as they are expressly provided for in the exclusive interest of the selling party alone and, considering the object and the territorial scope of application, they are configured as likely to create unjustified competitive restrictions, to the extent that they are not even functional to the realization of the concentration.</w:t>
      </w:r>
    </w:p>
    <w:p>
      <w:r>
        <w:t>286 Cfr. Communication from the Commission on restrictions directly related and necessary to concentrations (2005/C 56/03), published in the Official Journal of the European Union on March 5, 2005.</w:t>
      </w:r>
    </w:p>
    <w:p>
      <w:r>
        <w:t>287 Cfr. doc. 7.2.1.</w:t>
      </w:r>
    </w:p>
    <w:p>
      <w:r>
        <w:t>288 Cfr. doc. from 31.2 to 31.16.</w:t>
      </w:r>
    </w:p>
    <w:p>
      <w:r>
        <w:t>289 Cfr. doc. 118.</w:t>
      </w:r>
    </w:p>
    <w:p>
      <w:r>
        <w:t>290 On this point, Unicoop stated that "Unicoop's initial orientation was not to sell to an operator present in Tuscany, in order not to further strengthen it in the main territory where Unicoop operates. For this reason, resale limits were introduced in the accessory agreements to avoid strengthening already very strong competitors in the Tuscan territory" (cfr. doc. 118).</w:t>
      </w:r>
    </w:p>
    <w:p>
      <w:r>
        <w:t>BULLETIN NO. 1 OF JANUARY 7, 2025 143</w:t>
      </w:r>
    </w:p>
    <w:p>
      <w:r>
        <w:t>218. The same agreements are also likely to undermine the effectiveness of any remedial solutions that may prove necessary, following the investigation, to eliminate the major competitive issues. In this regard, it is noted that the Parties have expressly waived clauses 8.1 and 17.2 of the preliminary contract291.</w:t>
      </w:r>
    </w:p>
    <w:p>
      <w:r>
        <w:t>VI.4. Corrective measures</w:t>
      </w:r>
    </w:p>
    <w:p>
      <w:r>
        <w:t>219. In the markets identified by isochrones No. 1, 12, and 13, the investigation in question has established that the concentration under examination is likely to significantly impede effective competition.</w:t>
      </w:r>
    </w:p>
    <w:p>
      <w:r>
        <w:t>220. The concentration Operation was carried out on September 16, 2024, and the transfer of the sales points in favor of PAC has already taken place. Furthermore, the sales points have already undergone a change of signage and are now operated by PAC, also through its associates.</w:t>
      </w:r>
    </w:p>
    <w:p>
      <w:r>
        <w:t>221. Articles 6 and 18, paragraph 3, of Law No. 287/1990 provide that if the Authority, following the investigation, finds that a concentration is likely to significantly impede effective competition and the concentration operation has already been carried out, the Authority may prescribe the necessary measures to restore effective competition by eliminating the distorting effects.</w:t>
      </w:r>
    </w:p>
    <w:p>
      <w:r>
        <w:t>222. In its final submissions292, PAC proposed a measure consisting of the lease of the business branch consisting of the sales point [omissis], for a determined period of time.</w:t>
      </w:r>
    </w:p>
    <w:p>
      <w:r>
        <w:t>223. Subsequently, in a communication dated December 13, 2024293, PAC submitted a new proposal for commitments consisting of the divestiture, through sale to a third party, of two sales points: [omissis].</w:t>
      </w:r>
    </w:p>
    <w:p>
      <w:r>
        <w:t>224. It is believed that the proposed corrective measures, as last integrated on December 13, 2024, consisting of the divestiture of two sales points, are suitable to restore effective competition conditions in the three isochrones No. 1, 12, and 13.</w:t>
      </w:r>
    </w:p>
    <w:p>
      <w:r>
        <w:t>225. In fact, the divestiture of the two sales points identified by PAC, which are located in such a way as to fall within all three critical isochrones, allows for the mitigation and, in some cases, elimination of the indicators used for the analysis of competitive effects.</w:t>
      </w:r>
    </w:p>
    <w:p>
      <w:r>
        <w:t>226. Specifically, in addition to a reduction in market shares in isochrones No. 1, 12, and 13, which become close to 30%, the divestiture also results in a significant reduction in the level of concentration (with the delta HHI always being less than 250 and reaching about 100 units in isochrone No. 1), as well as a decrease in the values of DR and GUPPI (in particular, in isochrone No. 12).</w:t>
      </w:r>
    </w:p>
    <w:p>
      <w:r>
        <w:t>227. As for the modalities of divestiture, the aforementioned sales points must be divested in a short time, to a third party and independent operator, active in the retail distribution of food products. In this sense, the provisions of Article 8.1 and Article 17 of the preliminary contract294, for which the Parties have expressly waived, must not prejudice the effectiveness of the divestiture process, which must therefore take place transparently and non-discriminatorily towards all operators interested in purchasing the aforementioned sales points.</w:t>
      </w:r>
    </w:p>
    <w:p>
      <w:r>
        <w:t>291 Cfr. doc. 137 and doc. 138.</w:t>
      </w:r>
    </w:p>
    <w:p>
      <w:r>
        <w:t>292 Cfr. doc. 138.</w:t>
      </w:r>
    </w:p>
    <w:p>
      <w:r>
        <w:t>293 Cfr. doc. 149.</w:t>
      </w:r>
    </w:p>
    <w:p>
      <w:r>
        <w:t>294 Cfr. doc. 7.2.1.</w:t>
      </w:r>
    </w:p>
    <w:p>
      <w:r>
        <w:rPr>
          <w:b/>
        </w:rPr>
        <w:t>[Pages 142–144]</w:t>
      </w:r>
    </w:p>
    <w:p>
      <w:r>
        <w:t>144 BULLETIN NO. 1 OF JANUARY 7, 2025</w:t>
      </w:r>
    </w:p>
    <w:p>
      <w:r>
        <w:t>228. The purchasers of the retail outlets must meet the following requirements: (i) be independent entities, also commercially, from PAC and its affiliated companies, as well as from individuals at the top of the control chain of the Parties or related to the Conad system; (ii) possess the financial means, as well as the incentive and ability to maintain and develop, on an efficient scale, the retail sale of food and non-food products; (iii) be entities already active in the retail sale of food and non-food products.</w:t>
      </w:r>
    </w:p>
    <w:p>
      <w:r>
        <w:t>229. The acquisition of the divested business by a proposed purchaser must not create new competition problems, nor entail the risk that the implementation of the measures will be delayed.</w:t>
      </w:r>
    </w:p>
    <w:p>
      <w:r>
        <w:t>230. PAC must provide all necessary information regarding the retail outlets to be divested, to allow potential purchasers to assess their value and presumed commercial capacity. Furthermore, PAC must preserve the economic operability, marketability, and competitiveness of the retail outlets subject to the measures, in accordance with good commercial practice, until the full validity and effectiveness of their divestiture.</w:t>
      </w:r>
    </w:p>
    <w:p>
      <w:r>
        <w:t>231. The divestiture process should be monitored by a designated trustee (monitoring trustee), in accordance with the practices of the Authority and the European Commission295.</w:t>
      </w:r>
    </w:p>
    <w:p>
      <w:r>
        <w:t>232. The monitoring trustee must be third-party and independent and have the expertise to perform the following assigned tasks: (i) prior to the divestitures, monitor that the economic operability, marketability, and competitiveness of the retail outlets subject to the measures are adequately preserved by the Parties; (ii) verify the progress of the divestiture process and the provision to potential purchasers of all relevant information regarding the retail outlets subject to divestiture; (iii) transmit to the Authority a non-binding opinion on the technical and financial suitability as well as the independence of the potential purchasers of the retail outlets; (iv) transmit to the Authority periodic reports with the results of the checks carried out.</w:t>
      </w:r>
    </w:p>
    <w:p>
      <w:r>
        <w:t>233. Furthermore, in the event of an unsuccessful divestiture by PAC, a specific trustee for the divestiture (divestiture trustee) should be appointed, to whom the Party must grant an irrevocable mandate for the divestiture of the business units, without the provision of a minimum price (understood as a zero or even negative price, according to the practices of the European Commission and the Authority). The divestiture trustee must be third-party and independent and have the expertise to carry out the assigned task.</w:t>
      </w:r>
    </w:p>
    <w:p>
      <w:r>
        <w:t>234. PAC shall not repurchase, directly or indirectly, and shall not exercise influence over the business units subject to divestiture for a period of ten years from the date of authorization of the Operation296.</w:t>
      </w:r>
    </w:p>
    <w:p>
      <w:r>
        <w:t>VII. CONCLUSIONS</w:t>
      </w:r>
    </w:p>
    <w:p>
      <w:r>
        <w:t>235. The investigation in question has concluded that the Operation is likely to significantly impede effective competition in the retail markets for food and non-food consumer products identified by isochrones No. 1, 12, 13, pursuant to Article 6 of Law No. 287/1990.</w:t>
      </w:r>
    </w:p>
    <w:p>
      <w:r>
        <w:t>236. Given that the Operation has already been carried out, it is therefore necessary, pursuant to Article 18, paragraph 3, to prescribe measures necessary to restore effective competition conditions, consisting of the divestiture of retail outlets as detailed above.</w:t>
      </w:r>
    </w:p>
    <w:p>
      <w:r>
        <w:t>295 See Best Practice Guidelines: The Commission’s Model Texts for Divestiture Commitments and the Trustee Mandate under the EC Merger Regulation.</w:t>
      </w:r>
    </w:p>
    <w:p>
      <w:r>
        <w:t>296 According to the Commission's guidelines, the ten-year period for the prohibition of repurchase is necessary, in divestiture measures, to preserve the structural nature of the divestiture. See Best Practice Guidelines: The Commission’s Model Texts for Divestiture Commitments and the Trustee Mandate under the EC Merger Regulation.</w:t>
      </w:r>
    </w:p>
    <w:p>
      <w:r>
        <w:t>BULLETIN NO. 1 OF JANUARY 7, 2025 145</w:t>
      </w:r>
    </w:p>
    <w:p>
      <w:r>
        <w:t>CONSIDERING, based on the elements emerged in the investigation, that the Operation in question, already carried out, is likely, pursuant to Article 6, paragraph 1, of Law No. 287/1990, to significantly impede effective competition in the retail markets for food and non-food consumer products identified by isochrones No. 1, 12, 13;</w:t>
      </w:r>
    </w:p>
    <w:p>
      <w:r>
        <w:t>CONSIDERING, therefore, it necessary to prescribe, pursuant to Article 18, paragraph 3, of Law No. 287/1990, measures necessary to restore effective competition conditions;</w:t>
      </w:r>
    </w:p>
    <w:p>
      <w:r>
        <w:t>CONSIDERING that the Authority, pursuant to Article 19, paragraph 1, of Law No. 287/1990 imposes administrative monetary penalties not less than one percent and not more than ten percent of the turnover of the business activities subject to the concentration in the event that they do not comply with the prescriptions imposed pursuant to Article 18, paragraph 3, of Law No. 287/1990;</w:t>
      </w:r>
    </w:p>
    <w:p>
      <w:r>
        <w:t>CONSIDERING, furthermore, that the non-competition agreement between the Parties is accessory to this operation only to the extent described above and that the Authority reserves the right to evaluate, where the conditions exist, the aforementioned agreement that occurs beyond the limits indicated therein;</w:t>
      </w:r>
    </w:p>
    <w:p>
      <w:r>
        <w:t>RESOLVES</w:t>
      </w:r>
    </w:p>
    <w:p>
      <w:r>
        <w:t>to authorize the concentration operation and to prescribe to PAC 2000A Soc.coop. pursuant to Article 18, paragraph 3, of Law No. 287/1990, the following measures:</w:t>
      </w:r>
    </w:p>
    <w:p>
      <w:r>
        <w:t>a. PAC 2000A Soc.coop. must divest, by [omitted], through the sale to one or more third-party and independent entities, the retail outlets of [omitted];</w:t>
      </w:r>
    </w:p>
    <w:p>
      <w:r>
        <w:t>a.i. the purchaser(s) of the retail outlets must meet the following requirements:</w:t>
      </w:r>
    </w:p>
    <w:p>
      <w:r>
        <w:t>a.i.i. be an independent entity, also commercially, from PAC 2000A Soc.coop. and from the companies affiliated with it, as well as from individuals at the top of its control chain. Furthermore, the independent entity must not be part of the Conad system;</w:t>
      </w:r>
    </w:p>
    <w:p>
      <w:r>
        <w:t>a.i.ii. possess the financial means, as well as the incentive and ability to maintain and develop, on an efficient scale, the retail sale of food and non-food products;</w:t>
      </w:r>
    </w:p>
    <w:p>
      <w:r>
        <w:t>a.i.iii. be an active operator in the retail distribution of food and non-food products in Italy;</w:t>
      </w:r>
    </w:p>
    <w:p>
      <w:r>
        <w:t>a.i.iv. the acquisition of the divested business by a proposed purchaser must not create new competition problems, nor entail the risk that the implementation of the measures will be delayed;</w:t>
      </w:r>
    </w:p>
    <w:p>
      <w:r>
        <w:t>a.ii. the agreements related to the transfer of the retail outlets referred to in measure a) must be submitted to the Authority for approval of the identity of the transferee(s) and the agreements themselves, at least 1 month before the relevant deadlines referred to above;</w:t>
      </w:r>
    </w:p>
    <w:p>
      <w:r>
        <w:t>a.iii. if a binding purchase agreement with the purchaser of one or more retail outlets referred to in point a) has not been concluded by the deadlines provided therein, PAC 2000A Soc.coop. must divest, by [omitted], the aforementioned retail outlets identifying the purchaser in question without the provision of a minimum price (understood as a zero or even negative price according to the practices of the European Commission and the Authority), granting for this purpose an irrevocable mandate to a designated trustee for the sale (divestiture trustee), subject to the Authority's approval, at least two weeks before the deadline provided in point sub a);</w:t>
      </w:r>
    </w:p>
    <w:p>
      <w:r>
        <w:t>146 BULLETIN NO. 1 OF JANUARY 7, 2025</w:t>
      </w:r>
    </w:p>
    <w:p>
      <w:r>
        <w:t>a.iii.i. the communication regarding the appointment of the divestiture trustee contains all the information necessary to verify its suitability to perform the assigned task, similarly to what is provided in points c.ii) and c.iii) below;</w:t>
      </w:r>
    </w:p>
    <w:p>
      <w:r>
        <w:t>a.iii.ii. the Authority verifies the possession of the aforementioned requirements by the divestiture trustee and, if such verification yields a negative result, may request its modification, similarly to what is provided in point c.iv. below;</w:t>
      </w:r>
    </w:p>
    <w:p>
      <w:r>
        <w:t>a.iii.iii. PAC 2000A Soc.coop. must grant the mandate to the divestiture trustee within one week from the Authority's approval;</w:t>
      </w:r>
    </w:p>
    <w:p>
      <w:r>
        <w:t>a.iii.iv. the divestiture trustee transmits at any time, within the provided deadlines, the information requested by the Authority regarding the progress of the divestiture process, to potential purchasers and developments in negotiations with such entities;</w:t>
      </w:r>
    </w:p>
    <w:p>
      <w:r>
        <w:t>a.iv. PAC 2000A Soc.coop. (or the independent entity appointed for the divestiture) must provide all necessary information regarding the Proposed Company, to allow all potential purchasers to assess its value and presumed commercial capacity;</w:t>
      </w:r>
    </w:p>
    <w:p>
      <w:r>
        <w:t>a.v. PAC 2000A Soc.coop. (or the independent entity appointed for the divestiture) must carry out the divestiture process in a transparent and non-discriminatory manner, ensuring that entities falling within the cases identified by Articles 8.1 and 17.2 of the business unit divestiture agreement, if interested in purchasing, are not unjustifiably excluded from the sales process;</w:t>
      </w:r>
    </w:p>
    <w:p>
      <w:r>
        <w:t>a.vi. the Parties must preserve the economic operability, marketability, and competitiveness of the retail outlets subject to divestiture, in accordance with good commercial practice, during the period between the date of authorization of the Operation and the full validity and effectiveness of their divestiture, maintaining independent management of the Proposed Company and preventing the acquisition and/or use of confidential information related to the Proposed Company, except as strictly necessary for the purposes of the divestiture;</w:t>
      </w:r>
    </w:p>
    <w:p>
      <w:r>
        <w:t>b. PAC 2000A Soc.coop. shall not repurchase, directly or indirectly, and shall not exercise influence over the retail outlets subject to divestiture for a period of ten years from the date of authorization of the Operation;</w:t>
      </w:r>
    </w:p>
    <w:p>
      <w:r>
        <w:t>c. for the purpose of monitoring the implementation of the measures referred to in the previous point a):</w:t>
      </w:r>
    </w:p>
    <w:p>
      <w:r>
        <w:t>c.i. within thirty days from the notification of the measure, PAC 2000A Soc.coop. must submit to the Authority the proposal for the appointment of a trustee (“Monitoring Trustee”) for monitoring compliance with the aforementioned measures for their duration;</w:t>
      </w:r>
    </w:p>
    <w:p>
      <w:r>
        <w:t>c.ii. the Monitoring Trustee must meet the following characteristics: 1) be an independent entity with respect to the Parties and the companies belonging to their respective groups; 2) possess the necessary qualifications to perform its mandate; 3) not be, nor have been exposed to, a conflict of interest. In particular, the trustee cannot have held any significant position on behalf of the Parties and their respective groups in the year preceding its appointment;</w:t>
      </w:r>
    </w:p>
    <w:p>
      <w:r>
        <w:t>c.iii. the proposal must contain sufficient information to allow the Authority to verify that the proposed trustee meets the requirements of point c.ii) above and must include the curriculum vitae and the terms of the proposed mandate, which will include all necessary provisions to allow the trustee to fulfill its obligations under these measures;</w:t>
      </w:r>
    </w:p>
    <w:p>
      <w:r>
        <w:t>c.iv. the Authority has the power to approve or reject the proposed trustee and to approve the proposed mandate or to modify it appropriately in order to allow the trustee to perform its functions;</w:t>
      </w:r>
    </w:p>
    <w:p>
      <w:r>
        <w:rPr>
          <w:b/>
        </w:rPr>
        <w:t>[Pages 145–147]</w:t>
      </w:r>
    </w:p>
    <w:p>
      <w:r>
        <w:t>BULLETIN NO. 1 OF JANUARY 7, 2025 147</w:t>
        <w:br/>
        <w:t xml:space="preserve">c.v. PAC 2000A Soc.coop. must confer the assignment to the trustee within one week from the communication of the resolution of approval by the Authority;  </w:t>
        <w:br/>
        <w:t xml:space="preserve">c.vi. the Monitoring Trustee will carry out its task by doing what is necessary to ensure that PAC 2000A Soc.coop. correctly implements the measures referred to in point a) above;  </w:t>
        <w:br/>
        <w:t xml:space="preserve">c.vii. with reference, in particular, to the measure referred to in point a), the Monitoring Trustee must perform the following tasks:  </w:t>
        <w:br/>
        <w:t xml:space="preserve">c.vii.i. before the divestiture, monitor that the economic operation, marketability, and competitiveness of the business complex subject to the divestiture measure are adequately preserved by PAC 2000A Soc.coop.;  </w:t>
        <w:br/>
        <w:t xml:space="preserve">c.vii.ii. verify the progress of the divestiture process and the availability to all potential buyers of all relevant information regarding the sales points, as well as verify that the sales process is transparent and non-discriminatory and does not unjustifiably exclude potential buyers falling within the cases identified by Articles 8.1 and 17.2 of the business branch transfer contract;  </w:t>
        <w:br/>
        <w:t xml:space="preserve">c.vii.iii. transmit to the Authority a non-binding opinion on the technical and financial suitability as well as the independence of the potential buyers of the sales points subject to divestiture, accompanied by appropriate documentation regarding these aspects;  </w:t>
        <w:br/>
        <w:t xml:space="preserve">c.viii. the Monitoring Trustee must:  </w:t>
        <w:br/>
        <w:t xml:space="preserve">c.viii.i. with reference to the tasks referred to in point c.vii), transmit to the Authority a quarterly report starting from its appointment and until the completion of the divestiture referred to in measure a), with the results of the checks carried out;  </w:t>
        <w:br/>
        <w:t xml:space="preserve">c.viii.ii. inform the Authority whenever critical issues arise in the implementation of the measures subject to monitoring.  </w:t>
        <w:br/>
        <w:t xml:space="preserve">The above measures will come into effect upon notification of the authorization measure for this operation.  </w:t>
        <w:br/>
        <w:t xml:space="preserve">This measure will be notified to the interested parties and published in the Bulletin of the Competition and Market Authority.  </w:t>
        <w:br/>
        <w:t xml:space="preserve">Against this measure, an appeal may be filed with the TAR of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measure itself.  </w:t>
        <w:br/>
        <w:t xml:space="preserve">THE SECRETARY GENERAL THE PRESIDENT  </w:t>
        <w:br/>
        <w:t>Guido Stazi Roberto Rustichelli</w:t>
      </w:r>
    </w:p>
    <w:p>
      <w:r>
        <w:t xml:space="preserve">148 BULLETIN NO. 1 OF JANUARY 7, 2025  </w:t>
        <w:br/>
        <w:t xml:space="preserve">C12687 - NEW SIDAP/BUSINESS BRANCH OF IPLANET  </w:t>
        <w:br/>
        <w:t xml:space="preserve">Measure No. 31425  </w:t>
        <w:br/>
        <w:t xml:space="preserve">THE COMPETITION AND MARKET AUTHORITY  </w:t>
        <w:br/>
        <w:t xml:space="preserve">IN ITS MEETING of December 17, 2024;  </w:t>
        <w:br/>
        <w:t xml:space="preserve">HEARD the Rapporteur, President Roberto Rustichelli;  </w:t>
        <w:br/>
        <w:t xml:space="preserve">HAVING REGARD to Law No. 287 of October 10, 1990;  </w:t>
        <w:br/>
        <w:t xml:space="preserve">HAVING REGARD to Presidential Decree No. 217 of April 30, 1998;  </w:t>
        <w:br/>
        <w:t xml:space="preserve">HAVING REGARD to Regulation (EC) No. 139/2004;  </w:t>
        <w:br/>
        <w:t xml:space="preserve">HAVING REGARD to the communication from the company Nuova Sidap S.r.l., received on November 19, 2024;  </w:t>
        <w:br/>
        <w:t xml:space="preserve">HAVING REGARD to the documentation on file;  </w:t>
        <w:br/>
        <w:t xml:space="preserve">CONSIDERING the following  </w:t>
        <w:br/>
        <w:t xml:space="preserve">I. THE PARTIES  </w:t>
        <w:br/>
        <w:t xml:space="preserve">1. Nuova Sidap S.r.l. (hereinafter, "NS") is a company active at the national level both in the field of commercial catering (through the provision and retail sale of food products and other goods and the management of bars, restaurants, and snack bars) and in the distribution of fuels. Both activities are carried out in service areas located on road and highway networks. NS is 100% controlled by Autogrill Italia S.p.A. (hereinafter, "Autogrill"), which is in turn controlled by World Duty Free S.p.A. (hereinafter, "WDF"). WDF is ultimately controlled by the Swiss company Avolta AG, which heads the eponymous corporate group.  </w:t>
        <w:br/>
        <w:t xml:space="preserve">Autogrill achieved a worldwide turnover in 2023 of approximately [700-1,000]* million euros, of which approximately [700-1,000] was generated in Italy.  </w:t>
        <w:br/>
        <w:t xml:space="preserve">2. IPlanet S.p.A. (hereinafter, "IPlanet") is a recently established company resulting from the equal joint venture between Italiana Petroli S.p.A. (hereinafter, "IP", belonging to the Italian oil group API-IP) and EV Asset Holdings S.p.A. (belonging to the Macquarie group), authorized by the European Commission on March 14, 20241 and active since April 2024. The establishment of IPlanet was aimed at the development of ultra-fast public charging infrastructure for electric mobility at non-highway stations. The business branch subject to divestiture consists of forty service areas located on ordinary road networks, the management of which will be assumed by NS through the contractual scheme of business lease for commercial catering activities and the loan for use of facilities for fuel distribution. The turnover attributable to the divested business branch in 2023 is approximately [100-567] million euros.  </w:t>
        <w:br/>
        <w:t xml:space="preserve">II. DESCRIPTION OF THE OPERATION  </w:t>
        <w:br/>
        <w:t xml:space="preserve">3. The communicated operation (hereinafter, "Operation") concerns the exclusive acquisition of control by NS (and, therefore, by Autogrill) of the aforementioned business branch of IPlanet, in the contractual modalities described. The Parties, together with the Operation, have provided for additional agreements. Among them, there is [omitted]. The Parties have also provided for [omitted].  </w:t>
        <w:br/>
        <w:t xml:space="preserve">III. QUALIFICATION OF THE OPERATION  </w:t>
        <w:br/>
        <w:t xml:space="preserve">4. The Operation, as it involves the acquisition of control over parts of businesses, constitutes a concentration pursuant to Article 5, paragraph 1, letter b), of Law No. 287/1990.  </w:t>
        <w:br/>
        <w:t xml:space="preserve">It falls within the scope of application of Law No. 287/1990, as the conditions referred to in Article 1 of Regulation (EC) 139/2004 do not apply, and is subject to the obligation of prior notification provided for by Article 16, paragraph 1, of the same law as the total turnover achieved, in the last financial year at the national level, by the group of companies involved was over 567 million euros and the total turnover achieved individually, in the last financial year at the national level, by at least two of the companies involved was over 35 million euros.  </w:t>
        <w:br/>
        <w:t xml:space="preserve">With reference to the agreements related to [omitted], it is specified that they, due to their specific content, cannot be considered ancillary to the Operation.  </w:t>
        <w:br/>
        <w:t xml:space="preserve">Similarly, [omitted], cannot be considered ancillary to the Operation2.  </w:t>
        <w:br/>
        <w:t xml:space="preserve">IV. ASSESSMENT OF THE CONCENTRATION  </w:t>
        <w:br/>
        <w:t xml:space="preserve">The relevant markets and the effects of the Operation  </w:t>
        <w:br/>
        <w:t xml:space="preserve">5. Due to the activities carried out by the company subject to acquisition, the Operation concerns the retail distribution of fuels for motor vehicles on ordinary road networks and the commercial catering and sale of food and various products at catering establishments.  </w:t>
        <w:br/>
        <w:t xml:space="preserve">The market for the distribution of fuels for motor vehicles on ordinary road networks  </w:t>
        <w:br/>
        <w:t xml:space="preserve">6. Based on the Authority's precedents3, in the markets for the distribution of fuels for motor vehicles on networks, no distinctions are made, in terms of goods, between the type of fuel distributed. In any case, there is a distinction between the distribution of fuels on highway networks and that, affected by this Operation, on ordinary road networks. With reference to the geographical dimension, it is local in nature and, in particular, corresponds to the catchment areas (hereinafter also "c.a.") traceable around each facility, using a radius equal, in the case of ordinary road networks, to a travel time of fifteen minutes.4  </w:t>
        <w:br/>
        <w:t xml:space="preserve">7. In this case, the position of the Parties can therefore be measured in the c.a. traceable around the forty facilities whose management will be acquired by NS and the related group.  </w:t>
        <w:br/>
        <w:t xml:space="preserve">8. In this sense, it is noted that, as anticipated, the Operation concerns, for all the sales points that constitute the target business branches, the mere temporary acquisition of final management - through the loan for use formula - of sales points that are already operating under the IP group brand and that will continue to operate within the network of that group, continuing to exclusively distribute the fuels of that company using its brand. Therefore, for these sales points, the competitive effects of the Operation may derive from  </w:t>
        <w:br/>
        <w:t xml:space="preserve">2 See Commission Communication on restrictions directly related and necessary to concentrations (2005/C/56/03). [Omitted].  </w:t>
        <w:br/>
        <w:t xml:space="preserve">3 See, inter alia, C12535 - IP Italiana Petroli/Esso Italiana, measure No. 30745 of August 1, 2023, in Bulletin No. 30/2023 and C12386 - Tamoil Italia/Repsol Italia, measure No. 29824 of September 14, 2021, in Bulletin No. 39/2021.  </w:t>
        <w:br/>
        <w:t>4 See C12535 - IP Italiana Petroli/Esso Italiana, cited.</w:t>
      </w:r>
    </w:p>
    <w:p>
      <w:r>
        <w:rPr>
          <w:b/>
        </w:rPr>
        <w:t>[Pages 148–150]</w:t>
      </w:r>
    </w:p>
    <w:p>
      <w:r>
        <w:t>150 BULLETIN NO. 1 OF JANUARY 7, 2025</w:t>
      </w:r>
    </w:p>
    <w:p>
      <w:r>
        <w:t>solely from the change in the identity of the final operator of the sales points and the hypothetical effects this could have on the methods of setting the final retail price, given the wholesale price paid to the oil company5. On the contrary, the Operation does not involve any variation in the size or market shares attributable to the sales networks of IP or other oil companies or distribution networks operating under their own brand.</w:t>
      </w:r>
    </w:p>
    <w:p>
      <w:r>
        <w:t>9. In any case, there are no horizontal overlaps with the sales points of the acquiring group within the catchment areas traceable around the acquired facilities, with one exception, that of a catchment area relating to the municipality of Zanica (BG). In it, the sum of the final management of the sales points of the acquiring group and the target sales point would represent, based on the Parties' estimates, a share of [35-40%] of the final market of the catchment area in terms of estimated volumes and [20-25%] in terms of the number of sales points. Using more detailed data, based on the volumes supplied directly by the operators present in the catchment area, the joint share obtained post-merger by the Parties is found to be no more than [25-30%].</w:t>
      </w:r>
    </w:p>
    <w:p>
      <w:r>
        <w:t>10. This share, as stated, is solely representative of the hypothetical overlaps at the last level of the supply chain, that of price setting - and with it the final margin of the operator - starting from the wholesale price paid to the fuel supplier, also fits into a local market in which, in the absence of the Operation, the IP group already holds, together with IPlanet (a company that IP jointly controls and constitutes its industrial partner, as well as the exclusive supplier of fuels and holder of the brand of the network to which the sold points belong), a significant share, estimated at about [30-35%] according to the Parties6.</w:t>
      </w:r>
    </w:p>
    <w:p>
      <w:r>
        <w:t>The commercial catering sector</w:t>
      </w:r>
    </w:p>
    <w:p>
      <w:r>
        <w:t>11. The market for commercial catering consists of the activity of serving food and beverages to the public. It includes various types of commercial establishments, ranging from simple bars, which can only serve drinks and sweets, to establishments that can also offer fast food service (snack bars, fast food, pizza by the slice, self-service, take-away), up to traditional restaurants with table service. Each of these establishments is associated with at least one of the following licenses: a) catering services (restaurants, pizzerias, trattorias, hot tables, and similar); b) serving beverages and sweets (bars, ice cream parlors, pastry shops, and similar). For the purposes of this assessment, however, it does not seem necessary to establish whether bars and establishments dedicated to fast food service identify, from a commodity perspective, a distinct market compared to that of traditional catering, or whether they are part of a broader catering market. Similarly, it does not seem necessary to identify a distinct market for different products sold at catering establishments.</w:t>
      </w:r>
    </w:p>
    <w:p>
      <w:r>
        <w:t>12. The fast food market is characterized by extreme fragmentation of supply and a wide variety of organizational solutions, made possible, among other things, by the large presence of family-run businesses. Considering consumer purchasing behaviors and, in particular, the importance they attribute to the proximity of dining points, the relevant geographic market has a local dimension, not exceeding the boundaries of the affected province7.</w:t>
      </w:r>
    </w:p>
    <w:p>
      <w:r>
        <w:t>5 More specifically, based on what was clarified by the notifying Party, the facilities subject to acquisition, initially managed directly by the seller, will pass to direct management by NS.</w:t>
      </w:r>
    </w:p>
    <w:p>
      <w:r>
        <w:t>6 It is therefore likely that IP, in the absence of the Operation, could exercise a certain degree of control over the commercial decisions at the last level of the supply chain for at least some of the sales points included in that share (including those leased by IPlanet to the Autogrill group).</w:t>
      </w:r>
    </w:p>
    <w:p>
      <w:r>
        <w:t>7 See, for example, C10585 - Nuova Sidap/Branch of Residence Castelcervo, measure No. 21219 of June 9, 2010, in Bulletin No. 23/2010; C11584 - Autogrill/Branch of TotalErg, measure No. 23562 of June 9, 2012, in Bulletin No. 19/2012 and C11579 - Autogrill/Branch of S. Giulia Truck Center, measure No. 23547 of May 3, 2012, in Bulletin No. 18/2012.</w:t>
      </w:r>
    </w:p>
    <w:p>
      <w:r>
        <w:t>151 BULLETIN NO. 1 OF JANUARY 7, 2025</w:t>
      </w:r>
    </w:p>
    <w:p>
      <w:r>
        <w:t>13. In this case, the Parties have provided an estimate of the joint share, reached at the provincial level, which is, in all the involved provinces, less than 1%. In light of what has been highlighted, the Operation does not appear capable of substantially changing the existing competitive conditions in such markets.</w:t>
      </w:r>
    </w:p>
    <w:p>
      <w:r>
        <w:t>14. In light of the above, the Operation is therefore deemed unsuitable to produce anti-competitive effects in the relevant markets in question.</w:t>
      </w:r>
    </w:p>
    <w:p>
      <w:r>
        <w:t>CONSIDERING, therefore, that the Operation does not significantly impede effective competition in the relevant market pursuant to Article 6, paragraph 1, of Law No. 287/1990 and does not result in the establishment or strengthening of a dominant position;</w:t>
      </w:r>
    </w:p>
    <w:p>
      <w:r>
        <w:t>CONSIDERING, furthermore, that the agreements between NS and IPlanet concerning [omitted] cannot be considered ancillary to the Operation and that the Authority reserves the right to evaluate, where the conditions exist, the aforementioned agreements;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measure will be published in the Bulletin of the Competition and Market Authority.</w:t>
      </w:r>
    </w:p>
    <w:p>
      <w:r>
        <w:t>THE SECRETARY GENERAL THE PRESIDENT</w:t>
      </w:r>
    </w:p>
    <w:p>
      <w:r>
        <w:t>Guido Stazi Roberto Rustichelli</w:t>
      </w:r>
    </w:p>
    <w:p>
      <w:r>
        <w:t>C12690 - DZBT HOLDINGS (MALTA)/BETTING</w:t>
      </w:r>
    </w:p>
    <w:p>
      <w:r>
        <w:t>Measure No. 31426</w:t>
      </w:r>
    </w:p>
    <w:p>
      <w:r>
        <w:t>THE COMPETITION AND MARKET AUTHORITY</w:t>
      </w:r>
    </w:p>
    <w:p>
      <w:r>
        <w:t>IN ITS MEETING of December 17, 2024;</w:t>
      </w:r>
    </w:p>
    <w:p>
      <w:r>
        <w:t>HEARD the Rapporteur, Saverio Valentino;</w:t>
      </w:r>
    </w:p>
    <w:p>
      <w:r>
        <w:t>HAVING REGARD to Regulation (EC) No. 139/2004;</w:t>
      </w:r>
    </w:p>
    <w:p>
      <w:r>
        <w:t>HAVING REGARD to Law No. 287 of October 10, 1990;</w:t>
      </w:r>
    </w:p>
    <w:p>
      <w:r>
        <w:t>HAVING REGARD to Presidential Decree No. 217 of April 30, 1998;</w:t>
      </w:r>
    </w:p>
    <w:p>
      <w:r>
        <w:t>HAVING REGARD to the communication from DZBT Holdings (Malta) Limited, received on November 21, 2024, and partially corrected and supplemented on November 25, 27, December 2, and 3, 2024;</w:t>
      </w:r>
    </w:p>
    <w:p>
      <w:r>
        <w:t>HAVING REGARD to the documentation on file;</w:t>
      </w:r>
    </w:p>
    <w:p>
      <w:r>
        <w:t>CONSIDERED the following</w:t>
      </w:r>
    </w:p>
    <w:p>
      <w:r>
        <w:t>I. THE PARTIES</w:t>
      </w:r>
    </w:p>
    <w:p>
      <w:r>
        <w:t>1. DZBT Holdings (Malta) Limited (hereinafter, "DZBT Holdings" or "Acquirer") is a company under Maltese law that operates in Italy in the markets of betting and online gaming through its wholly-owned subsidiary Bet Class Italia S.r.l. (hereinafter, "Bet Class"). DZBT Holdings is wholly controlled by DZBT Holdings (Gibraltar) Limited (hereinafter, "DZBT Gibraltar") which, following the recent acquisition on October 4, 2024, came under the control of DAZN Brand Licensing Limited (hereinafter, "DAZN Media"), which is in turn controlled by the parent company DAZN Group Limited (hereinafter, "DAZN"). DAZN is active in:</w:t>
      </w:r>
    </w:p>
    <w:p>
      <w:r>
        <w:t>a) production and distribution of audiovisual media1;</w:t>
      </w:r>
    </w:p>
    <w:p>
      <w:r>
        <w:t>b) retail sale of pay television services (pay-tv);</w:t>
      </w:r>
    </w:p>
    <w:p>
      <w:r>
        <w:t>c) betting and online gaming, following the aforementioned recent acquisition by DAZN Media of DZBT Gibraltar and, consequently, of DZBT Holdings and Bet Class2.</w:t>
      </w:r>
    </w:p>
    <w:p>
      <w:r>
        <w:t>2. In 2023, DAZN achieved a total worldwide revenue of approximately [2–3]* billion US dollars3 (approximately [2–3] billion euros), of which approximately [2–3] billion US dollars (approximately [2–3] billion euros) generated in Europe and approximately [700-1,000] million US dollars (approximately [700-1,000] million euros) in Italy.</w:t>
      </w:r>
    </w:p>
    <w:p>
      <w:r>
        <w:t>3. Scommettendo S.r.l. (hereinafter, "Scommettendo" or "Target"), a company active in Italy in betting, from sports and non-sports betting, both through physical points.</w:t>
      </w:r>
    </w:p>
    <w:p>
      <w:r>
        <w:t>1 In particular, in the retail distribution of content related to football championships and, in general, most sporting events.</w:t>
      </w:r>
    </w:p>
    <w:p>
      <w:r>
        <w:t>2 In fact, in February 2022, DZBT Gibraltar, which already fully controlled DZBT Holdings, acquired, through it, Bet Class.</w:t>
      </w:r>
    </w:p>
    <w:p>
      <w:r>
        <w:t>* In this version, some data are omitted, as elements of confidentiality or secrecy of the information were deemed to exist.</w:t>
      </w:r>
    </w:p>
    <w:p>
      <w:r>
        <w:t>3 Consolidated financial statements for the year 2023 currently under approval.</w:t>
      </w:r>
    </w:p>
    <w:p>
      <w:r>
        <w:rPr>
          <w:b/>
        </w:rPr>
        <w:t>[Pages 151–153]</w:t>
      </w:r>
    </w:p>
    <w:p>
      <w:r>
        <w:t>BULLETIN NO. 1 OF JANUARY 7, 2025 153</w:t>
      </w:r>
    </w:p>
    <w:p>
      <w:r>
        <w:t>that through digital channels, in online gaming collection and, to a very small extent, in the management of gaming halls, as it owns and manages only one betting hall in Ceglie Messapica (BR). Scommettendo does not control any company and is 50% owned by NGR Holding Development S.r.l. (hereinafter, “NGR Holding”), which is 100% controlled by a natural person, and the remaining 50% by the company The Ear S.r.l. (hereinafter, “The Ear”), which is entirely controlled by another natural person.</w:t>
      </w:r>
    </w:p>
    <w:p>
      <w:r>
        <w:t>4. In 2023, Scommettendo generated, entirely in Italy, a total worldwide revenue of [567-700] million euros.</w:t>
      </w:r>
    </w:p>
    <w:p>
      <w:r>
        <w:t>II. DESCRIPTION OF THE TRANSACTION</w:t>
      </w:r>
    </w:p>
    <w:p>
      <w:r>
        <w:t>5. On November 12, 2024, The Ear, NGR Holding, and DZBT Holdings entered into a contract titled “Share Purchase Agreement relating to Scommettendo S.r.l.”, under which DZBT Holdings will acquire all the shares held by The Ear and 30% of the shares held by NGR Holding, both of which hold 50% of Scommettendo. More precisely, based on the terms and conditions stipulated, the Parties will proceed with the following sale: (i) The Ear will transfer to DZBT Holdings a share equal to 50% of the share capital of Scommettendo (hereinafter, “The Ear Share”) and (ii) NGR Holding will transfer to DZBT Holdings a share equal to 30% of the share capital of Scommettendo (hereinafter, “NGR Holding Share” and, together with The Ear Share, the “Relevant Shares”), so that, as a result of and upon execution, the share capital of Scommettendo will be distributed as follows:</w:t>
        <w:br/>
        <w:t>- 80% held by DAZN Malta;</w:t>
        <w:br/>
        <w:t>- 20% held by NGR Holding (hereinafter, “Minority Share”).</w:t>
        <w:br/>
        <w:t>The agreement also provides DZBT Holdings with the option to exercise a right to acquire the entire capital of Scommettendo, exercisable from the third year from the completion of the acquisition transaction (hereinafter, “Transaction”).</w:t>
      </w:r>
    </w:p>
    <w:p>
      <w:r>
        <w:t>6. Finally, the agreement also includes a non-competition and non-solicitation clause, under which The Ear and NGR Holding undertake, directly or indirectly, unless expressly authorized in writing by DZBT Holdings, for a period of five years from the completion of the Transaction and within the territory of the Italian Republic, the Republic of San Marino, and the Vatican City, to:</w:t>
        <w:br/>
        <w:t>a) not execute, initiate, work for, associate with, be employed by, participate in, own or acquire an interest in, or be a consultant for any company, person, or business operating in the activity of Scommettendo as well as in those of DZBT Holdings and the DAZN Group; and</w:t>
        <w:br/>
        <w:t>b) not propose employment relationships, either directly or indirectly, to persons who are, or have been in the previous twelve months, linked to Scommettendo by employment or collaboration relationships of any kind and not induce employees to establish employment relationships, either directly or indirectly, or collaboration relationships with Third Parties operating in competition with the activity of Scommettendo.</w:t>
      </w:r>
    </w:p>
    <w:p>
      <w:r>
        <w:t>III. QUALIFICATION OF THE TRANSACTION</w:t>
      </w:r>
    </w:p>
    <w:p>
      <w:r>
        <w:t>7. The Transaction,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is subject to the obligation of prior notification provided for by Article 16, paragraph 1, of the same law, as the total revenue generated, in the last financial year at the national level, by the group of companies involved exceeded 567 million euros and the total revenue generated, in the last financial year at the national level, individually by at least two of the companies involved exceeded 35 million euros.</w:t>
      </w:r>
    </w:p>
    <w:p>
      <w:r>
        <w:t>8. Regarding the non-competition and non-solicitation clause described above, it is represented that it constitutes a restriction directly connected and necessary for the realization of the Transaction, as it is strictly functional to safeguarding the value of the acquired company, provided that it is limited in terms of goods and geographically to the services offered by the acquired company, does not prevent the sellers from acquiring or holding shares solely for financial investment purposes, without this resulting, directly or indirectly, in the assignment of management roles or substantial influence in the competing company and has a duration not exceeding a period of two years.</w:t>
      </w:r>
    </w:p>
    <w:p>
      <w:r>
        <w:t>IV. EVALUATION OF THE CONCENTRATION</w:t>
      </w:r>
    </w:p>
    <w:p>
      <w:r>
        <w:t>9. The Transaction consists of the acquisition by DZBT Holdings, a company of the DAZN group operating in Italy in the collection of bets and online gaming through its subsidiary Bet Class, of Scommettendo, a company also active in Italy in the collection of bets and online gaming and, to a completely marginal extent, in the downstream market of managing gaming halls, as it owns and manages a gaming hall.</w:t>
      </w:r>
    </w:p>
    <w:p>
      <w:r>
        <w:t>10. More precisely, Bet Class is a pure online gambling operator, holder of a remote gaming collection concession, which does not hold retail points and reload (hereinafter also “PVR”) and carries out all its activities on the website www.daznbet.it.</w:t>
      </w:r>
    </w:p>
    <w:p>
      <w:r>
        <w:t>11. Scommettendo carries out its activity as an authorized concessionaire for the collection of bets both through physical points, as it holds land-based concessions, and through the online channel, as it holds a remote gaming collection concession (which also includes online games). The collection of physical gaming occurred during the year 2023 through the gaming hall directly managed by the company located in Ceglie Messapica (BR) and through some corners ([omitted]) and some agencies ([omitted]) with rights granted to third parties, located in Puglia, Campania, Marche, Piemonte, Lazio, Calabria, and Sicily. The collection of remote gaming occurred during the year 2023 through the online channel via the sites: scommettendo.it, il10bet.it, skiller.it, gs24.org, italiagioco.it, gfbwin888.org, betshop375.it, ioscommetto.it, loginbet.it, overbet.eu, and sirplay.it. Furthermore, in relation to the remote gaming collection concession, Scommettendo holds a network of retail and reload points equal to [400-500], mainly located in Central-Southern Italy.</w:t>
      </w:r>
    </w:p>
    <w:p>
      <w:r>
        <w:t>12. Finally, neither Bet Class nor Scommettendo are active in the production, development, and supply of games and betting services and lotteries.</w:t>
      </w:r>
    </w:p>
    <w:p>
      <w:r>
        <w:t>5 See Authority measure No. 31088 of March 5, 2024 “Reevaluation of revenue thresholds pursuant to Article 16, paragraph 1, of Law No. 287/1990”, in Bulletin No. 10/2024.</w:t>
      </w:r>
    </w:p>
    <w:p>
      <w:r>
        <w:t>6 See regarding the “Commission Communication on restrictions directly connected and necessary to concentrations” (2005/C56/03), in OJCE of March 5, 2005, paragraphs 18 et seq.</w:t>
      </w:r>
    </w:p>
    <w:p>
      <w:r>
        <w:t>7 The corners all have a predominant activity different from that of games and can exercise the activity of sports corner only in a limited part of their activity which cannot exceed 30% of the total area. In fact, the corners in question are located in bars, tobacco shops, stationery stores, copy shops, internet points, etc.</w:t>
      </w:r>
    </w:p>
    <w:p>
      <w:r>
        <w:t>8 The stores are activities dedicated exclusively to games and have an exclusive contract with Scommettendo. They may, however, also have other games not from Scommettendo such as scratch cards or slot machines.</w:t>
      </w:r>
    </w:p>
    <w:p>
      <w:r>
        <w:t>BULLETIN NO. 1 OF JANUARY 7, 2025 155</w:t>
      </w:r>
    </w:p>
    <w:p>
      <w:r>
        <w:t>IV.1 The relevant markets</w:t>
      </w:r>
    </w:p>
    <w:p>
      <w:r>
        <w:t>A) The betting collection market</w:t>
      </w:r>
    </w:p>
    <w:p>
      <w:r>
        <w:t>13. From a product perspective, in line with the Authority's precedents, the betting collection market includes both physical agencies and online and, primarily, the following types of bets:</w:t>
        <w:br/>
        <w:t>a. Sports (sports betting) - Games that associate a win with the correct prediction of the outcome of a sporting event;</w:t>
        <w:br/>
        <w:t>b. Virtual (virtual betting) - Games that associate a win with the correct prediction of the outcome of a sporting event simulated by the game provider;</w:t>
        <w:br/>
        <w:t>c. Horse racing (horse racing betting) - Games that associate a win with the correct prediction of the outcome of an event related to horse racing.</w:t>
        <w:br/>
        <w:t>The betting exchange, a particular type of online betting where the end customer has the opportunity to act as a bookmaker by selling sports odds (“back”), made available by the concessionaire, to other customers (“lay”), is also included in this market.</w:t>
      </w:r>
    </w:p>
    <w:p>
      <w:r>
        <w:t>14. The betting collection activity is subject to the issuance of a concession by the Customs and Monopolies Agency (hereinafter “ADM”) following an open tender procedure, and currently, the concessions issued are 211 (of which about ninety in the online channel); these concessions are currently in a regime of prorogatio since 2012 and will expire on December 31, 2024, unless new extensions. Two distinct concessions are required depending on whether the betting activity is carried out at physical retail points (so-called retail betting offer) or in the online channel. Regarding the physical channel, the retail points can be owned by the concessionaires themselves or, most often, by third parties affiliated with the concessionaires.</w:t>
      </w:r>
    </w:p>
    <w:p>
      <w:r>
        <w:t>15. From a geographical perspective, in line with the aforementioned precedents of the Authority, the market in question has national dimensions, considering both the homogeneity of the offering conditions on the market and the fact that the collection of bets carried out in the online channel now accounts for over half of the total value (in 2023, it is reported that about 67% of the betting collection comes from the online channel, an increase from about 58% recorded in 2019), demonstrating players' preference to place bets directly from their mobile devices rather than going to physical retail points. On the supply side, it has emerged that all major operators active in the physical channel are also active in the online channel, and that there are no substantial elements of differentiation between the bets offered through the two channels in terms of the range of events offered and odds.</w:t>
      </w:r>
    </w:p>
    <w:p>
      <w:r>
        <w:t>11 In relation to a possible further segmentation of the market depending on the type of events (sports, horse racing, and virtual), currently, the evidence tends to favor a definition of the market that includes them all, since users generally bet indiscriminately on different types of events. A player's choice does not depend so much on the type of bet, but on a plurality of factors such as, inter alia, the offer of promotions, bonuses, gaming experience, ease of use of the site or app, gaming mode, available payment methods, etc. In other words, competition among operators seems to take place mostly on the quality of the services offered, regardless of the specific type of bet.</w:t>
      </w:r>
    </w:p>
    <w:p>
      <w:r>
        <w:t>12 More precisely, there are: for the physical channel, sixty-six concessionaires and one hundred twenty-one concessions + thirty/thirty-two racetracks; for the online channel, eighty-four concessionaires and ninety concessions.</w:t>
      </w:r>
    </w:p>
    <w:p>
      <w:r>
        <w:t>13 Article 1, paragraph 124, letter c), of Law No. 197 of December 29, 2022, provided for a renewal of the current concessions for betting in the physical channel (extended also to the online channel) until December 31, 2024.</w:t>
      </w:r>
    </w:p>
    <w:p>
      <w:r>
        <w:t>14 Article 15 of Law No. 111 of August 9, 2023, which delegates the Government for tax reform, has set out a series of principles and directives for the reorganization of the provisions regarding games. In particular, paragraph 1 has delegated the Government to implement, with the legislative decrees referred to in Article 1, the reorganization of the existing provisions on public games. The first Decree, relating to remote gaming, Legislative Decree No. 41 of March 25, 2024, provides that the ADM must promptly publish, after the entry into force of the Decree, the tender notice for the assignment of concessions for the collection of remote games that are currently expiring on December 31, 2024, which concern both online betting and online card and skill games.</w:t>
      </w:r>
    </w:p>
    <w:p>
      <w:r>
        <w:rPr>
          <w:b/>
        </w:rPr>
        <w:t>[Pages 154–156]</w:t>
      </w:r>
    </w:p>
    <w:p>
      <w:r>
        <w:t>156 BULLETIN NO. 1 OF JANUARY 7, 2025</w:t>
      </w:r>
    </w:p>
    <w:p>
      <w:r>
        <w:t>territory - in terms of shares, range, and types of events15 - as well as the relevance acquired by the online offer in the collection from betting16.</w:t>
      </w:r>
    </w:p>
    <w:p>
      <w:r>
        <w:t>B) The online gaming collection market</w:t>
      </w:r>
    </w:p>
    <w:p>
      <w:r>
        <w:t>16. From a commodity perspective, the Authority, in its previous17 decisions, has identified the national market for online gaming collection including the following card and skill games:</w:t>
        <w:br/>
        <w:t>i. online casinos, which digitally replicate traditional gaming solutions available in physical casinos (roulette, baccarat, chemin de fer, blackjack, etc.);</w:t>
        <w:br/>
        <w:t>ii. online poker, which digitally replicates the game of poker;</w:t>
        <w:br/>
        <w:t>iii. online bingo, which digitally replicates the game of bingo;</w:t>
        <w:br/>
        <w:t>iv. online skill games.</w:t>
      </w:r>
    </w:p>
    <w:p>
      <w:r>
        <w:t>17. The distinguishing feature of online games is that the player's skills significantly influence the outcome. This aspect, along with the fact that these games (with the exception of bingo) are offered to users only via the web and do not have an equivalent game offered in the physical channel, means that they constitute a distinct market compared to other games, to the extent that the exclusive "digital mode" enjoyment appears to be an essential feature of the product and the gaming experience.</w:t>
      </w:r>
    </w:p>
    <w:p>
      <w:r>
        <w:t>18. The concessions for the operation of online gaming collection allow operation throughout the national territory, thus determining competitive comparison among the concession holders within this scope. In light of this, it is believed that the geographical dimension of the market is national.</w:t>
      </w:r>
    </w:p>
    <w:p>
      <w:r>
        <w:t>C) The gaming hall management market</w:t>
      </w:r>
    </w:p>
    <w:p>
      <w:r>
        <w:t>19. The activity of managing gaming halls is particularly significant for concessionaires, as the ability to have halls located in areas with higher population density or in wealthier areas of the country allows for better exploitation of the concession rights associated with their AWP and VLT machines or the collection of physical bets. Similarly, gaming hall operators with high collection levels can enjoy greater bargaining power with concessionaires in defining commercial conditions as well as higher revenues derived from the commission generally calculated as a percentage of the collection.</w:t>
      </w:r>
    </w:p>
    <w:p>
      <w:r>
        <w:t>20. The possibility of opening new gaming halls is subject to constraints set by regional and municipal regulations, currently differing across the national territory, in terms of the location of gaming points and, more specifically, regarding the minimum distance they must maintain from certain aggregation places (for example, places of worship, schools, hospitals, nursing homes); these constraints, which are subject to periodic review, can make the opening of new establishments more or less convenient.</w:t>
      </w:r>
    </w:p>
    <w:p>
      <w:r>
        <w:t>21. From a geographical perspective, therefore, it is believed that the activity of managing gaming halls has local geographical dimensions18, linked to the aforementioned regional and municipal regulations. In a first approximation, the geographical markets can be defined as municipal in size; however, in this specific case, it is not necessary to arrive at a more precise definition19.</w:t>
      </w:r>
    </w:p>
    <w:p>
      <w:r>
        <w:t>IV.2 The effects of the operation</w:t>
      </w:r>
    </w:p>
    <w:p>
      <w:r>
        <w:t>22. In the national betting collection market, the Operation entails a modest horizontal overlap, as DZBT Holdings (Bet Class) operates only in the online channel and has a very small market share. More precisely, DZBT Holdings (Bet Class) is attributed, in 2023, a share [below 1%]; in the same year, the share of Scommettendo is [below 1%]. The post-merger share will therefore be [below 1%].</w:t>
      </w:r>
    </w:p>
    <w:p>
      <w:r>
        <w:t>23. Therefore, the operation does not appear to be likely to cause any adverse effects on competition. Moreover, there are operators in the market with significant shares, such as the Lottomatica Group20 (with [25-30%]), Flutter Entertainment plc/Sisal S.p.A.21 (with [20-25%]), Playtech S.p.A. (with [10-15%]), Bet365 Group Ltd (with [10-15%]), and Entain Plc (with [10-15%]).</w:t>
      </w:r>
    </w:p>
    <w:p>
      <w:r>
        <w:t>24. Furthermore, as noted above, the activity of betting collection, both for the physical channel and for the online channel, is subject to the issuance of a concession, following an open tender procedure, by the ADM, and the current number of concessionaires is high.</w:t>
      </w:r>
    </w:p>
    <w:p>
      <w:r>
        <w:t>25. Even in the national online gaming collection market, the operation in question entails a modest horizontal overlap between the Parties. The shares held by DZBT Holdings (Bet Class) and Scommettendo, in 2023, are estimated to be [below 1%] and [below 1%], respectively. The post-merger share will therefore be [below 1%].</w:t>
      </w:r>
    </w:p>
    <w:p>
      <w:r>
        <w:t>26. Therefore, the post-merger share of online gaming collection does not appear to raise competitive concerns, also due to the presence of numerous operators with significant shares, such as the Lottomatica Group (with [25-30%]), Flutter Entertainment plc/Sisal S.p.A. (with [20-25%]), Entain Plc (with [5-10%]), Snaitech S.p.A. (with [5-10%]), and 888 Holdings + William Hill22 (with [5-10%]).</w:t>
      </w:r>
    </w:p>
    <w:p>
      <w:r>
        <w:t>27. Furthermore, as highlighted above, to carry out the activity of online gaming collection, it is necessary to possess a concession issued by the ADM, following an open tender procedure, and the number of authorized and active remote gaming concessionaires currently providing online games in Italy23 is high.</w:t>
      </w:r>
    </w:p>
    <w:p>
      <w:r>
        <w:t>28. With specific regard to online gaming in Italy, it should also be considered that it is particularly competitive for the following reasons:</w:t>
        <w:br/>
        <w:t>i. switching from one operator to another is easy and quick. Opening online accounts with online gaming operators is free and easy, and customers are incentivized to open new accounts due to a wide range of offers available in the market;</w:t>
        <w:br/>
        <w:t>19 In relation to the territorial and regulatory specificities of the areas where gaming halls are located, it cannot be excluded that local markets for gaming hall management may present larger or smaller dimensions.</w:t>
        <w:br/>
        <w:t>20 See C12618 - Lottomatica/Sks365 Malta Holding, cited.</w:t>
        <w:br/>
        <w:t>21 See C12465 - Flutter Entertainment/Sisal, measure No. 30251 of July 19, 2022, in Bulletin No. 30/2022.</w:t>
        <w:br/>
        <w:t>22 In July 2022, 888 Holdings completed the acquisition of William Hill.</w:t>
        <w:br/>
        <w:t>23 Based on data reported on the ADM website, there are currently one hundred and ten ADM concession holders for online gaming collection. To operate in the market, sophisticated technology is not required, and it is relatively easy to launch a new online gaming offer or expand an existing gaming offer, as there are many software providers that provide the necessary basic technology and allow new operators to enter the online gaming collection market quickly and easily, at low costs.</w:t>
      </w:r>
    </w:p>
    <w:p>
      <w:r>
        <w:t>158 BULLETIN NO. 1 OF JANUARY 7, 2025</w:t>
      </w:r>
    </w:p>
    <w:p>
      <w:r>
        <w:t>ii. there are high levels of customer "churn" in favor of competing operators. Customer loss to competitors stimulates strong competition among online gaming operators to acquire, retain, and reacquire customers;</w:t>
        <w:br/>
        <w:t>iii. there is intense rivalry based on price and non-price parameters. Promotions and/or offers are often among the main criteria considered by customers when choosing an operator, but product quality is also a key factor in acquiring, reacquiring, and retaining customers.</w:t>
      </w:r>
    </w:p>
    <w:p>
      <w:r>
        <w:t>29. Finally, in the gaming hall management market, the Operation does not entail any horizontal overlap as DZBT Holdings (Bet Class) does not own or manage any gaming hall.</w:t>
      </w:r>
    </w:p>
    <w:p>
      <w:r>
        <w:t>30. In light of the considerations made, the Operation does not appear to be likely to cause adverse effects on competition, not resulting in substantial changes to the structure of the affected markets.</w:t>
      </w:r>
    </w:p>
    <w:p>
      <w:r>
        <w:t>THEREFORE CONSIDERED that the Operation does not significantly impede effective competition in the affected markets, pursuant to Article 6, paragraph 1, of Law No. 287/1990, and does not result in the establishment or strengthening of a dominant position;</w:t>
      </w:r>
    </w:p>
    <w:p>
      <w:r>
        <w:t>ALSO CONSIDERED that the non-competition and non-solicitation agreement described can be considered accessory to the Operation only to the limits indicated above and that the Authority reserves the right to evaluate, where the conditions exist, the aforementioned agreement that occurs beyond those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The measure will be published in the Bulletin of the Competition and Market Authority.</w:t>
      </w:r>
    </w:p>
    <w:p>
      <w:r>
        <w:t>THE SECRETARY GENERAL THE PRESIDENT</w:t>
      </w:r>
    </w:p>
    <w:p>
      <w:r>
        <w:t>Guido Stazi Roberto Rustichelli</w:t>
      </w:r>
    </w:p>
    <w:p>
      <w:r>
        <w:rPr>
          <w:b/>
        </w:rPr>
        <w:t>[Pages 157–159]</w:t>
      </w:r>
    </w:p>
    <w:p>
      <w:r>
        <w:t>BULLETIN NO. 1 OF JANUARY 7, 2025 159</w:t>
        <w:br/>
        <w:t>C12692 - IREN/EGEA HOLDING</w:t>
        <w:br/>
        <w:t>Measure No. 31427</w:t>
        <w:br/>
        <w:t>THE COMPETITION AND MARKET AUTHORITY</w:t>
        <w:br/>
        <w:t>IN ITS MEETING of December 20, 2024;</w:t>
        <w:br/>
        <w:t>HEARD the Rapporteur, Professor Elisabetta Iossa;</w:t>
        <w:br/>
        <w:t>HAVING REGARD to Regulation (EC) No. 139/2004;</w:t>
        <w:br/>
        <w:t>HAVING REGARD to Law No. 287 of October 10, 1990;</w:t>
        <w:br/>
        <w:t>HAVING REGARD to the communication from Iren S.p.A., received on December 6, 2024;</w:t>
        <w:br/>
        <w:t>HAVING REGARD to the documentation on file;</w:t>
        <w:br/>
        <w:t>CONSIDERING the following:</w:t>
        <w:br/>
        <w:t>I. THE PARTIES</w:t>
        <w:br/>
        <w:t>1. Iren S.p.A. (hereinafter, “Iren”) is the parent company of the homonymous multi-utility Group active, among other sectors, in electricity, gas, integrated water services management, environmental services, and technological services. Iren is jointly controlled by the municipalities of Genoa, Turin, and Reggio Emilia, which hold a participation share of 18.85%, 13.8%, and 6.42%, respectively. The Iren Group achieved a turnover of approximately 6.5 billion euros worldwide in 2023, of which approximately [6-7]* billion euros were generated in Italy.</w:t>
        <w:br/>
        <w:t>2. Egea Holding S.p.A. (hereinafter, “Egea Holding”) is a company established in January 2024 to which all activities of the Egea group in the energy sector (except for certain energy efficiency services related to the so-called superbonus), in the water sector, and in environmental services have been transferred1. Egea Holding is jointly controlled by Iren and Egea - Ente Gestione Energia e Ambiente S.p.A. (hereinafter, “Egea”, a mixed public-private capital company subject to the exclusive control of a natural person), each holding 50% of the share capital. The turnover generated in Italy in 2023 from the activities transferred to Egea Holding was approximately [700-1,000] million euros.</w:t>
        <w:br/>
        <w:t>II. DESCRIPTION OF THE OPERATION</w:t>
        <w:br/>
        <w:t>3. The notified operation (hereinafter, “Operation”) consists of the acquisition of exclusive control of Egea Holding by Iren. This will be realized through Iren's participation in the capital increase of Egea Holding approved by the shareholders' meeting on August 1, following which Iren will hold [50-60]% of the share capital of Egea Holding, and the consequent modification of the company's governance. By virtue of the existing shareholders' agreements, Iren will have the power to appoint the majority of the members of the Board of Directors, including the Chairman and the Chief Executive Officer, and will thus have the power to independently determine the strategic direction of Egea Holding.</w:t>
        <w:br/>
        <w:t>* In this version, some data are omitted, as elements of confidentiality or secrecy of the information were deemed to exist.</w:t>
        <w:br/>
        <w:t>1 See C12648 - Iren - Egea / Egea Holding, measure No. 31277 of June 26, 2024, in Bulletin No. 28/2024.</w:t>
      </w:r>
    </w:p>
    <w:p>
      <w:r>
        <w:t>160 BULLETIN NO. 1 OF JANUARY 7, 2025</w:t>
        <w:br/>
        <w:t>4. The Operation is aimed at providing Egea Holding with the financial resources necessary for the development investments of the district heating networks of [omitted].</w:t>
        <w:br/>
        <w:t>III. QUALIFICATION OF THE OPERATION</w:t>
        <w:br/>
        <w:t>5. The Operation, as it involves the transition from joint control to exclusive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turnover generated in the last financial year at the national level by the group of companies involved exceeded 567 million euros and the total turnover generated individually in the last financial year at the national level by at least two of the companies involved exceeded 35 million euros.</w:t>
        <w:br/>
        <w:t>IV. EVALUATION OF THE CONCENTRATION</w:t>
        <w:br/>
        <w:t>6. Due to the operations of the Parties, the Operation concerns the markets: (i) of the production and wholesale supply of electricity; (ii) of the retail sale of electricity to non-domestic customers connected at medium-high voltage, to non-domestic customers connected at low voltage, and to domestic customers; (iii) of the supply and wholesale sale of natural gas; (iv) of the distribution of natural gas in the respective concession areas; (v) of the (future) area tenders for the awarding of natural gas distribution concessions; (vi) of the retail sale of natural gas to electricity generation companies (with consumption generally exceeding 200,000 mc/year), to medium/large final customers (with consumption generally exceeding 200,000 mc/year), and to small final customers (with consumption generally below 200,000 mc/year); (vii) of the management of public lighting services; (viii) of the provision of district heating services; (ix) of heat management services; (x) of energy efficiency services; (xi) of the management of the Integrated Water Service and tenders for the awarding of the IWS for the management of water resources; and (xii) of the collection, sweeping, and transport of urban and similar waste, of the collection and transport of non-hazardous and hazardous special waste, of the selection and treatment of non-hazardous differentiated waste.</w:t>
        <w:br/>
        <w:t>7. A precise definition of the relevant markets and any affected markets does not appear, however, necessary for the evaluation of this concentration.</w:t>
        <w:br/>
        <w:t>8. In fact, Iren already jointly controlled Egea Holding, and therefore, the Operation will not entail any structural changes in the markets referred to in numbers (i) to (iv) and (vi) to (xii) of the previous point, however defined. Therefore, the Operation does not appear likely to affect effective competition in those markets.</w:t>
        <w:br/>
        <w:t>9. As for the markets of the (future) area tenders for the awarding of natural gas distribution concessions, coinciding with each of the tenders of the areas within which the current municipal concessions are grouped (hereinafter, “ATEM”), Iren and Egea Holding operate in ATEM located in different geographical areas2: the Iren group is a concessionaire in ATEM located in the provinces of Parma, Piacenza, Reggio Emilia, Genoa, Vercelli, and Savona; Egea Holding, on the other hand, is present in ATEM located in the provinces of Cuneo, Alessandria, Milan, Lecco, and Monza Brianza. The only ATEM in which both companies are present is that of Alessandria 1 where, moreover, the overlap is negligible. The acquisition of exclusive control of Egea Holding will not change this situation nor will it modify, compared to the previous situation of joint control, Iren's incentives to participate in the area tenders in which Egea Holding is present, given that the Operation involves a modest increase in the share of Egea Holding's capital held by Iren and, therefore, in the related flow of profits.</w:t>
        <w:br/>
        <w:t>CONSIDERING, therefore, that the Operation does not significantly impede effective competition in the relevant markets pursuant to Article 6, paragraph 1, of Law No. 287/1990 and does not result in the establishment or strengthening of a dominant position;</w:t>
        <w:br/>
        <w:t>RESOLVES</w:t>
        <w:br/>
        <w:t>not to initiate the investigation referred to in Article 16, paragraph 4, of Law No. 287/1990.</w:t>
        <w:br/>
        <w:t>The above conclusions will be communicated, pursuant to Article 16, paragraph 4, of Law No. 287/1990, to the companies involved and to the Minister of Enterprises and Made in Italy.</w:t>
        <w:br/>
        <w:t>This measure will be published in the Bulletin of the Competition and Market Authority.</w:t>
        <w:br/>
        <w:t>THE SECRETARY GENERAL THE PRESIDENT</w:t>
        <w:br/>
        <w:t>Guido Stazi Roberto Rustichelli</w:t>
      </w:r>
    </w:p>
    <w:p>
      <w:r>
        <w:rPr>
          <w:b/>
        </w:rPr>
        <w:t>[Pages 160–162]</w:t>
      </w:r>
    </w:p>
    <w:p>
      <w:r>
        <w:t>162 BULLETIN NO. 1 OF JANUARY 7, 2025</w:t>
        <w:br/>
        <w:t>ACTIVITY OF REPORTING AND CONSULTATION</w:t>
        <w:br/>
        <w:t>AS2044 - INTERPRETATIVE CIRCULARS OF ARTICLE 9 OF THE HIGHWAY CODE</w:t>
        <w:br/>
        <w:t>Rome, December 19, 2024</w:t>
        <w:br/>
        <w:t>Ministry of Infrastructure and Transport</w:t>
        <w:br/>
        <w:t>In exercising the powers referred to in Article 22 of Law No. 287 of October 10, 1990, the Competition and Market Authority, in its meeting of December 17, 2024, deemed it appropriate to express an opinion regarding the circular of January 19, 2024, No. 1933 issued by this Ministry1.</w:t>
        <w:br/>
        <w:t>Motor sports competitions on the road, that is, events that have a competitive character, are governed by Article 9 of Legislative Decree No. 285 of April 30, 1992 (hereinafter, "Highway Code"), as well as by some ministerial circulars that have over time specified their scope of application.</w:t>
        <w:br/>
        <w:t>In particular, Article 9 of the Highway Code and subsequent amendments subject "motor vehicle races" to a detailed authorization procedure. Specifically, pursuant to paragraph 1, "For motor vehicle races, authorization is granted, after consulting the competent national sports federations and promptly informing the public security authority: by the region and the autonomous provinces of Trento and Bolzano for roads that constitute the national interest network; by the region for regional roads; by the provinces for provincial roads; by the municipalities for municipal roads. The authorizations specify the conditions to which the races are subject." Furthermore, such authorizations, as indicated in paragraph 2, "must be requested by the promoters at least fifteen days before the event for those under the mayor's jurisdiction and at least thirty days before for others and may be granted subject to the consent of the road owner."</w:t>
        <w:br/>
        <w:t>The authorization process, therefore, is initiated with a request to the road owner (Municipality, Province, Region) and is completed, pursuant to paragraph 3 of Article 9, with the request for "consent to the Ministry of Infrastructure and Transport," to which the "preliminary opinion of CONI"2 must be attached, which is issued by the competent sports federation, depending on whether it is an automobile or motorcycle competition3. The logic of this process is rooted in the legislator's intention to involve, on the one hand, the authorities responsible for ensuring road safety and public safety and, on the other hand, the relevant sports institutions.</w:t>
        <w:br/>
        <w:t>This Ministry has issued interpretative circulars of Article 9 of the Highway Code annually since 2008, aimed, as far as relevant here, at defining the scope of application of the codified provisions.</w:t>
        <w:br/>
        <w:t>In particular, the most recent circular of January 19, 2024, No. 1933 - in line with those of previous years - clarifies that events that do not have a competitive character4 are not subject to the provisions of Article 9, paragraph 2, of the Highway Code. For these, the circular continues, the usual authorization procedures provided for in Title III of Royal Decree No. 635 of May 6, 1940 - that is, the Implementing Regulation of the TULPS5 (Consolidated Text of Public Security Laws) - remain in force, which provides for oversight of the safe conduct of events by appropriate supervisory commissions6.</w:t>
        <w:br/>
        <w:t>The same circular, in a subsequent passage, however, indicates the need for the competent authority, "regardless of the type of sporting event," to obtain the preliminary opinion of CONI expressed by the national sports federations. This, the circular continues, "also in order to verify the 'sporting character' of the competitions themselves, to which it seems logical to refer all the characteristics that ensure, from the perspective of the type of race, but also of the professionalism of the organizers, the prerequisites for an orderly conduct of the initiatives in accordance with safety standards."</w:t>
        <w:br/>
        <w:t>The Authority emphasizes that this passage appears to be in stark contrast to the previously mentioned regulatory provision from the same circular and risks creating a situation of interpretative uncertainty regarding the provisions contained therein, both for the public security authorities called upon by the legislator to apply the codified regulations and for the subjects affected by it, particularly those wishing to organize non-competitive events. Regarding the former, the seemingly contradictory formulation of the circular could generate uncertainty regarding the applicable regulatory framework (Highway Code or TULPS) for recreational-amateur events; regarding the organizers, they are exposed to the risk of prohibition of the aforementioned events by the competent authorities in case of failure to obtain the federal opinion.</w:t>
        <w:br/>
        <w:t>From a competitive perspective, it is observed that obtaining the federal opinion "regardless of the type of sporting event" appears to constitute an unjustified barrier to access to their economic activity for the organizers of recreational-amateur motor events. In fact, the provision contained in the aforementioned circular is in contrast with the literal wording of Article 9 of the Code (a legislative norm hierarchically superior), which, in paragraph 1, explicitly uses the term "races" to designate the motor events subject to authorization, evidently referring only to competitive events7. Furthermore,</w:t>
        <w:br/>
        <w:t>3 This refers to the Automobile Club d'Italia-ACI for automobile competitions and the Italian Motorcycle Federation for motorcycle competitions.</w:t>
        <w:br/>
        <w:t>4 It is specified that "[t]he discipline in question applies exclusively to events that involve the conduct of a race understood as a competition between two or more competitors or teams engaged in mutual surpassing and in which a ranking is to be determined." It is also clarified that "therefore, events that do not have a competitive character are not included in this discipline."</w:t>
        <w:br/>
        <w:t>5 Royal Decree No. 773 of June 18, 1931.</w:t>
        <w:br/>
        <w:t>6 See Article 141 of the Implementing Regulation of the TULPS.</w:t>
        <w:br/>
        <w:t>7 A similar argument has already been made by the Council of State, which, ruling on the non-competitive nature of historical regularity events under Article 9, paragraph 3, of the Highway Code, stated: "[t]he terminology used by the code, which refers to all 'motor events' of regularity without investigating their exclusively or predominantly recreational or sporting character, is not accidental, allowing for an unambiguous representation (which would be detrimental to the controls aimed at protecting public safety) of all events reserved for vintage cars that allow drivers to test their driving skills by competing in regularity competitions that, not concerning commercial or economic-productive or tourist uses of the vehicles (which are unsuitable for this purpose, being vintage cars), are by definition 'sporting', and may also involve races, rankings (even following time checks, as provided for in the aforementioned circular and as occurred in this case) and prizes, but also 'recreational', as they highlight the relationship of affection or collection with the vehicles, do not originate competitive events in the strict sense and do not fit into national or international sports championships" (see Council of State, ruling No. 7451/2022).</w:t>
        <w:br/>
        <w:t>8 Circular of the Ministry of the Interior - Department of Public Security of May 31, 2022, titled "Motor competitions on the road pursuant to Article 9 of the Highway Code. Authorization regime and opinions of motor federations."</w:t>
        <w:br/>
        <w:t>9 It is, in fact, specified that: "the discipline of the highway code [...] applies exclusively to events that involve the conduct of a race understood as a competition between two or more competitors or teams engaged in mutual surpassing and in which a ranking is to be determined, nor to events that, while providing for the exhibition or a parade of motor vehicles, do not have a competitive character" (emphasis added).</w:t>
        <w:br/>
        <w:t>10 The circular provides that the programs and regulations of the events "may constitute the documents through which to qualify the types of event" for the public security authorities and only "[w]hen from the analysis [which may also be conducted through an institutional comparison with the competent bodies for issuing authorizations or with the ACI and FMI sports federations, as noted in the circular] elements emerge suitable to qualify the event as a competition, the absence of the required authorization will result in the adoption of the consequent measures and the execution of checks aimed at verifying the correct conduct of the event, in compliance with legal provisions and the related technical-sporting regulations."</w:t>
        <w:br/>
        <w:t>11 Such testing may be omitted for regularity events for which an average speed exceeding 50 km/h on sections to be held on roads open to traffic and 80 km/h on sections to be held on roads closed to traffic is not permitted, including those of historical regularity referred to in paragraph 3.</w:t>
      </w:r>
    </w:p>
    <w:p>
      <w:r>
        <w:rPr>
          <w:b/>
        </w:rPr>
        <w:t>[Pages 163–165]</w:t>
      </w:r>
    </w:p>
    <w:p>
      <w:r>
        <w:t>BULLETIN NO. 1 OF JANUARY 7, 2025 165</w:t>
      </w:r>
    </w:p>
    <w:p>
      <w:r>
        <w:t>results of the competition, specifying any non-compliance with the authorization and any occurrence of inconveniences or incidents. Similarly, the TULPS entrusts the protection of the safety of non-competitive events to the aforementioned supervisory Commissions, making no provision for any potential role of the national sports federations.</w:t>
      </w:r>
    </w:p>
    <w:p>
      <w:r>
        <w:t>In conclusion, the Authority hopes that, in order to overcome the competitive criticalities arising from the above-described situation of uncertainty determined by the circular of the Ministry of Infrastructure and Transport of January 19, 2024, No. 1933, it be modified in the manner proposed above or that future annual circulars issued by this Ministry, starting from 2025, provide for the obligation for organizers to obtain the opinion of CONI and, therefore, of the competent sports federations, only for competitive motor events on the road.</w:t>
      </w:r>
    </w:p>
    <w:p>
      <w:r>
        <w:t>This opinion will be published in the Bulletin of the Competition and Market Authority.</w:t>
      </w:r>
    </w:p>
    <w:p>
      <w:r>
        <w:t>THE PRESIDENT</w:t>
        <w:br/>
        <w:t>Roberto Rustichelli</w:t>
      </w:r>
    </w:p>
    <w:p>
      <w:r>
        <w:t>166 BULLETIN NO. 1 OF JANUARY 7, 2025</w:t>
      </w:r>
    </w:p>
    <w:p>
      <w:r>
        <w:t>AS2045 - COMPETITION REFORM PROPOSALS FOR THE ANNUAL LAW ON THE MARKET AND COMPETITION - YEAR 2024</w:t>
      </w:r>
    </w:p>
    <w:p>
      <w:r>
        <w:t>Rome, December 20, 2024</w:t>
      </w:r>
    </w:p>
    <w:p>
      <w:r>
        <w:t>President of the Senate of the Republic</w:t>
        <w:br/>
        <w:t>President of the Chamber of Deputies</w:t>
        <w:br/>
        <w:t>President of the Council of Ministers</w:t>
      </w:r>
    </w:p>
    <w:p>
      <w:r>
        <w:t>The Competition and Market Authority, in its meeting of December 17, 2024, and in compliance with the provisions of Article 47, paragraph 2, of Law No. 99 of July 23, 2009, has resolved to send this report to the Government for the preparation of the annual bill for the market and competition. The approval of this law represents - as is known - also an important moment in the implementation of the National Recovery and Resilience Plan (hereinafter, “PNRR”), which considers the protection and promotion of competition as an essential factor for fostering the efficiency and economic growth of the system.</w:t>
      </w:r>
    </w:p>
    <w:p>
      <w:r>
        <w:t>Premise</w:t>
      </w:r>
    </w:p>
    <w:p>
      <w:r>
        <w:t>The economies of European countries have entered a gradual recovery phase after the pandemic and energy crises, albeit in a context marked by high uncertainty and geopolitical tensions. In the current macroeconomic scenario, growth is increasingly linked to the ability to successfully address common challenges related to the transition to a green and digital economy, demographic changes, and the structural vulnerabilities of the European economy, promoting an increase in productivity.</w:t>
      </w:r>
    </w:p>
    <w:p>
      <w:r>
        <w:t>Thus, the theme of competitiveness assumes centrality in the European debate, to be supported especially by developing the knowledge and skills that allow for value creation through innovation and technological development, implementing the necessary measures to ensure, despite the cyclical criticalities, an increasingly autonomous and resilient economic system.</w:t>
      </w:r>
    </w:p>
    <w:p>
      <w:r>
        <w:t>These are technological and geopolitical challenges that can only be successfully addressed through the consolidation of the European Union's single market, correctly balancing a "new industrial policy" with the functioning of an open, integrated, and competitive market. The existence of a truly integrated single market is, in fact, an indispensable condition for enabling the growth of European enterprises, promoting their efficiency and competitiveness at a global level. At the same time, a modern industrial policy cannot be oriented towards the safeguarding of specific enterprises but must be functional to the organic development of strategic sectors where clear market failures exist or where the safeguarding of specific European interests takes priority.</w:t>
      </w:r>
    </w:p>
    <w:p>
      <w:r>
        <w:t>The processes of integration and strengthening of the single market must also be directed towards enhancing competitive dynamics, which are essential for supporting productivity and economic growth by encouraging efficiency, allowing the reallocation of resources in favor of the most productive enterprises, and fostering innovation.</w:t>
      </w:r>
    </w:p>
    <w:p>
      <w:r>
        <w:t>In this context, revitalizing productivity constitutes a priority that can be achieved by stimulating investments in technology, reducing barriers to entry, improving the efficiency of the public sector and the judicial system, and reducing regulatory complexity, the regulation of goods and services markets, and the labor market.</w:t>
      </w:r>
    </w:p>
    <w:p>
      <w:r>
        <w:t>In particular, in light of the slight growth in labor productivity recorded in the manufacturing sectors most exposed to international trade in the years immediately preceding 2019, productivity in service markets has remained low and constitutes a priority area for intervention, also because it is a sector that employs about 70 percent of the workforce in advanced economies, a share that is expected to grow in the coming years. Available evidence confirms that an improvement in productivity can be achieved by relaxing the regulation of goods and services markets in a pro-competitive direction, reducing barriers to entry, promoting entrepreneurship, and allowing the reallocation of resources to the most productive activities.</w:t>
      </w:r>
    </w:p>
    <w:p>
      <w:r>
        <w:t>The efforts already made in this regard in previous decades have had positive effects: several studies have empirically documented the economic benefits of liberalizing service markets. It has been estimated, in particular, that the liberalizations in service markets that occurred in Italy between 2005 and 2019 led to an increase in labor productivity ranging from 3 to 8 percentage points due to the productivity growth of both existing firms in the market and new entrants. Furthermore, the reduction of entry regulation restrictiveness in service markets has been associated with an estimated decrease in service prices of 6.5 percent. It has also been estimated that, by the end of this decade, the level of Italian GDP could be higher by an amount ranging from 3.5 to 8 percent compared to what it would have been in the absence of structural reforms aimed at liberalizing service markets between 2011 and 2017.</w:t>
      </w:r>
    </w:p>
    <w:p>
      <w:r>
        <w:t>In 2024, the overall level of regulation of the Italian economy has slightly improved in a pro-competitive sense compared to 2018, as suggested by the indicators of the degree of regulation of goods and services markets published by the Organization for Economic Cooperation and Development (OECD).</w:t>
      </w:r>
    </w:p>
    <w:p>
      <w:r>
        <w:rPr>
          <w:b/>
        </w:rPr>
        <w:t>[Pages 166–168]</w:t>
      </w:r>
    </w:p>
    <w:p>
      <w:r>
        <w:t>168 BULLETIN NO. 1 OF JANUARY 7, 2025</w:t>
      </w:r>
    </w:p>
    <w:p>
      <w:r>
        <w:t>Cooperation and Economic Development (OECD) since the late 1990s.9 On the other hand, Italy, while having a performance better than the OECD average, has slightly worsened in the international comparison: while it ranked thirteenth in 2018 out of 38 OECD countries in terms of competition-friendly regulation, it has fallen to seventeenth place in 2024.10</w:t>
      </w:r>
    </w:p>
    <w:p>
      <w:r>
        <w:t>The sectors in which OECD indicators show a good competitive situation for Italy, even in comparison with other countries, are mainly the network sectors.11 Despite the progress made, however, there are still critical issues in some service markets, in which Italy has one of the most restrictive regulations at the international level.12</w:t>
      </w:r>
    </w:p>
    <w:p>
      <w:r>
        <w:t>In this general framework, this report focuses on three priority and strategic areas for the country's economic growth: i) energy and port infrastructures; ii) non-scheduled public transport; iii) local public services.</w:t>
      </w:r>
    </w:p>
    <w:p>
      <w:r>
        <w:t>Firstly, the development, dissemination, and modernization of energy infrastructures are fundamental steps to make the transition to a sustainable economy concrete. In particular, the current electrification of the economy requires not only the modernization of electrical networks to meet the needs of an increasingly interconnected, decentralized, and digitalized system but also the development of electric charging infrastructures.13 Furthermore, the energy transition cannot be realized without accelerating the supply of energy from renewable sources, also through the development of so-called flexible infrastructures, aimed at avoiding the risks of bottlenecks in the production of energy from such sources.14</w:t>
      </w:r>
    </w:p>
    <w:p>
      <w:r>
        <w:t>Ports are also critical infrastructures for the economic development of the country as well as for safeguarding the connectivity of islands and peripheral maritime regions.15 In the Italian context, it is deemed necessary to intervene radically in this area, given the low level of both intra-port and inter-port competition.16</w:t>
      </w:r>
    </w:p>
    <w:p>
      <w:r>
        <w:t>9 See OECD, Product Market Regulation Indicator, https://www.oecd.org/en/topics/sub-issues/product-market-regulation.html.</w:t>
      </w:r>
    </w:p>
    <w:p>
      <w:r>
        <w:t>10 Considering the Member States of the European Union, Italy has dropped from eleventh place in 2018 to fifteenth place in 2024; in particular, Italy has worsened compared to Latvia, Spain, and Germany while improving compared to France. Note that data is available for all European countries except Romania. See OECD Product Market Regulation (PMR) Indicator: how does Italy compare?, https://www.oecd.org/content/dam/oecd/en/topics/policy-sub-issues/product-market-regulation/Italy_PMR%20country%20note.pdf.</w:t>
      </w:r>
    </w:p>
    <w:p>
      <w:r>
        <w:t>11 In particular, OECD assessments take into account the extent and quality of public participation in these sectors. Furthermore, the degree of regulation is evaluated, with particular attention to the presence of barriers to entry and retail prices (for all sectors), barriers to entry for foreign companies (for air and road transport), the degree of vertical integration for energy sectors, and the emergence of new regulatory issues (for energy and telecommunications).</w:t>
      </w:r>
    </w:p>
    <w:p>
      <w:r>
        <w:t>12 See OECD Product Market Regulation (PMR) Indicator: how does Italy compare?, https://www.oecd.org/content/dam/oecd/en/topics/policy-sub-issues/product-market-regulation/Italy_PMR%20country%20note.pdf and the Retail Restrictiveness indicator developed at the European level, https://single-market-economy.ec.europa.eu/single-market/services/retail/retail-restrictiveness-indicator-rri_en.</w:t>
      </w:r>
    </w:p>
    <w:p>
      <w:r>
        <w:t>13 See Draghi M. (2024), The future of European competitiveness Part B - In-depth analysis and recommendations. https://commission.europa.eu/document/download/ec1409c1-d4b4-4882-8bdd-3519f86bbb92_en?filename=The%20future%20of%20European%20competitiveness_%20In-depth%20analysis%20and%20recommendations_0.pdf.</w:t>
      </w:r>
    </w:p>
    <w:p>
      <w:r>
        <w:t>14 Ibidem.</w:t>
      </w:r>
    </w:p>
    <w:p>
      <w:r>
        <w:t>15 See Letta, E. (2024), Much More Than a Market. https://www.consilium.europa.eu/media/ny3j24sm/much-more-than-a-market-report-by-enrico-letta.pdf.</w:t>
      </w:r>
    </w:p>
    <w:p>
      <w:r>
        <w:t>16 See Ferrari, C., Tei, A., &amp; Merk, O. (2015), The governance and regulation of ports: The case of Italy. https://www.itf-oecd.org/sites/default/files/docs/dp201501.pdf.</w:t>
      </w:r>
    </w:p>
    <w:p>
      <w:r>
        <w:t>BULLETIN NO. 1 OF JANUARY 7, 2025 169</w:t>
      </w:r>
    </w:p>
    <w:p>
      <w:r>
        <w:t>Non-scheduled public transport is a sector that has long called for a comprehensive reform of regulation, also in light of the important rulings issued over time, not only by the Court of Justice but also by the Constitutional Court itself, which in 2024 highlighted on several occasions the serious damage caused, in terms of collective well-being and fundamental rights of individuals, by an outdated and now obsolete regulatory framework regarding non-scheduled mobility.17</w:t>
      </w:r>
    </w:p>
    <w:p>
      <w:r>
        <w:t>Finally, there is a need for continuous efforts and new interventions in the sector of local public services. This macro-area represents, in fact, a driver for economic growth as efficient local public services benefit not only consumers but also businesses and the entire economic fabric. In Italy, the market for local public services is highly fragmented and characterized by the coexistence of smaller operators and larger operators that benefit from economies of scale; existing companies are often favored to the detriment of potentially more efficient new entrants. These mechanisms contribute to inefficient and low-quality services.18</w:t>
      </w:r>
    </w:p>
    <w:p>
      <w:r>
        <w:t>In light of the context described above, the Authority considers the adoption of the following interventions desirable, aimed at removing obstacles to competition in the three mentioned macro-areas.</w:t>
      </w:r>
    </w:p>
    <w:p>
      <w:r>
        <w:t>Below is a summary of the proposed interventions.</w:t>
      </w:r>
    </w:p>
    <w:p>
      <w:r>
        <w:t>I. Infrastructure Services</w:t>
        <w:br/>
        <w:t>1. Energy</w:t>
        <w:br/>
        <w:t>a. Concessions for large hydroelectric derivations</w:t>
        <w:br/>
        <w:t>b. Electric mobility</w:t>
        <w:br/>
        <w:t>2. Port Sector</w:t>
        <w:br/>
        <w:t>a. Scope and number of AdSP</w:t>
        <w:br/>
        <w:t>b. Concessions and substitute agreements</w:t>
        <w:br/>
        <w:t>c. Labor and self-production</w:t>
        <w:br/>
        <w:t>d. Obligations of fair treatment and non-discrimination by concessionaires</w:t>
      </w:r>
    </w:p>
    <w:p>
      <w:r>
        <w:t>170 BULLETIN NO. 1 OF JANUARY 7, 2025</w:t>
      </w:r>
    </w:p>
    <w:p>
      <w:r>
        <w:t>II. Non-Infrastructure Services</w:t>
        <w:br/>
        <w:t>1. Non-scheduled public transport</w:t>
        <w:br/>
        <w:t>2. Local and regional public services and public participation</w:t>
        <w:br/>
        <w:t>a. Omitted or incomplete review of the performance of local public services</w:t>
        <w:br/>
        <w:t>i. Corrective measures in case of unsatisfactory management performance</w:t>
        <w:br/>
        <w:t>ii. Sanctions for failure to adopt and publish or incompleteness of the review</w:t>
        <w:br/>
        <w:t>b. Regional public transport by rail and road</w:t>
        <w:br/>
        <w:t>i. Tender procedures for regional public rail transport services</w:t>
        <w:br/>
        <w:t>ii. Reduction of resources from the TPL Fund in case of failure to resort to tender</w:t>
        <w:br/>
        <w:t>iii. Instructional, motivational, and review obligations for regional public transport services</w:t>
        <w:br/>
        <w:t>c. Acquisition of public participation</w:t>
        <w:br/>
        <w:t>3. Commercial Distribution</w:t>
        <w:br/>
        <w:t>a. Discounts on medicines and magistral preparations</w:t>
        <w:br/>
        <w:t>b. Parapharmacies and appointment booking services and report collection</w:t>
      </w:r>
    </w:p>
    <w:p>
      <w:r>
        <w:t>III. Authority's Competences</w:t>
        <w:br/>
        <w:t>1. Standstill obligation</w:t>
      </w:r>
    </w:p>
    <w:p>
      <w:r>
        <w:rPr>
          <w:b/>
        </w:rPr>
        <w:t>[Pages 169–171]</w:t>
      </w:r>
    </w:p>
    <w:p>
      <w:r>
        <w:t>BULLETIN NO. 1 OF JANUARY 7, 2025 171</w:t>
      </w:r>
    </w:p>
    <w:p>
      <w:r>
        <w:t>I. Infrastructure Services</w:t>
        <w:br/>
        <w:t>1. Energy</w:t>
        <w:br/>
        <w:t>a. Concessions for large hydroelectric derivations</w:t>
        <w:br/>
        <w:t>1. Recognizing the necessity that in certain sectors, due to resource scarcity, the tool of concessions appears justified in order to ensure adequate forms of competition in the market - with positive effects in terms of innovation, efficiency, and consumer welfare - it is reiterated that they must be awarded through transparent procedures that ensure the broadest competitive comparison.</w:t>
        <w:br/>
        <w:t>2. The general principles governing the awarding of concessions for large hydroelectric derivations are contained in Article 12 of Legislative Decree No. 79/1999 (so-called Bersani Decree)19. The provision, which has undergone various amendments over the years, currently provides for the alternative between the calling of regional tenders with public evidence procedures, resorting to public-private mixed capital companies, and management through forms of partnership pursuant to Articles 179 and following of the Public Contracts Code (hereinafter also "CCP")20. The detailed regulation regarding methods and procedures for the assignment is then entrusted to regional legislation (see Article 12, paragraph 1-ter)21.</w:t>
        <w:br/>
        <w:t>3. Article 12 of the so-called Bersani Decree was last amended by Article 7 of Law No. 118 of August 5, 2022, that is, the Annual Law for the Market and Competition 2021 (“L. 118/2022”). The newly introduced paragraph 1-ter.1 also provides that the assignment procedures must take place according to competitive, fair, and transparent parameters22. Finally, as far as relevant in this context, “in order to promote technological innovation and the sustainability of large hydroelectric derivation infrastructures,” the assignment can also occur through the particular form of public-private partnership of project financing referred to in Article 183 of the CCP.</w:t>
        <w:br/>
        <w:t>4. In this regard, it should be noted that private initiative project financing is characterized by a peculiar competitive advantage offered to the so-called promoter, that is, the subject who presents to the awarding administration a proposal regarding the realization under concession of works or services, recognizing them a right of pre-emption where they do not result as the successful bidder of the tender concerning the approved feasibility project. While it is true that the first phase of private initiative project financing, aimed at identifying the project to be put to tender, is characterized by a high degree of administrative discretion, it is equally true that such discretion must be exercised in compliance with the principle of reasonableness, which cannot in any case lead to an elimination of competitive comparison23. What has just been stated is even more valid in the case of hydroelectric concessions, which, until now, have been directly awarded or renewed with long or repeated extensions, in the absence of any competitive mechanism.</w:t>
        <w:br/>
        <w:t>5. It is therefore deemed necessary to amend paragraph 1 ter.1 of Article 12 cited in order to put all potential competitors in a position to draft a finance project to be submitted to the administration to acquire the qualification of promoting subject, giving them the opportunity to access the end-of-concession report and the technical documentation on an equal footing with the incumbent subject. It is also deemed necessary to insert in Article 9, paragraph 2, of Legislative Decree No. 79/1999 the provision of sanctioning powers by the granting authority in the event that the outgoing manager fails to provide the requested information or provides inaccurate or misleading information or does not provide the information within the established deadline. It is proposed to replace the last sentence of paragraph 1 ter.1 of Article 12 of Legislative Decree No. 79/1999: “Implementation of Directive 96/92/EC laying down common rules for the internal electricity market” with the following: “In order to promote technological innovation and the sustainability of large hydroelectric derivation infrastructures, the assignment of the related concessions may also occur by resorting to the procedures provided for in Article 193 of the Public Contracts Code, as per Legislative Decree No. 36 of March 1, 2023, ensuring equal conditions for potential competitors from the project finance submission phase.” In Article 9, paragraph 2, of Legislative Decree No. 79/1999, the following sentence is finally added: “If the outgoing manager, without justified reason, fails to provide the requested information or provides inaccurate or misleading information or does not provide the information within the established deadline, the granting authority may impose an administrative pecuniary sanction, the amount of which may reach up to 1 percent of the total turnover achieved during the previous financial year, and evaluate the behavior of the outgoing manager for the purposes of applying Article 98, paragraph 2, letter b) of the Public Contracts Code.</w:t>
        <w:br/>
        <w:t>6. With regard to concessions for small hydroelectric derivations, the Authority has already emphasized on several occasions24 that the Italian regulatory framework (Consolidated Water Act, Royal Decree No. 1775/1933) is not compliant with euro-unitary principles regarding the attribution of titles for the exercise of economic activities. These, in fact, due to the scarcity of resources they use, are by definition limited in number and, for this reason, require the adoption of competitive methods for their assignment, as well as for their renewals.</w:t>
        <w:br/>
        <w:t>7. The Constitutional Court, finding itself in front of such a regulatory framework, has had the opportunity to highlight its contrast with euro-unitary competitive principles25 and has issued an Order of referral to the EU Court of Justice regarding the application of the so-called Services Directive26 to the matter at hand27.</w:t>
        <w:br/>
        <w:t>23 Council of State, Section V, Order 5615/2023. See on this point AS1907 Piedmont Region - Assignment of large hydroelectric derivations, July 26, 2023, in Bulletin No. 31/2023.</w:t>
        <w:br/>
        <w:t>24 See lastly AS2032 - Province of Belluno - Renewal of small hydroelectric concessions, August 6, 2024, in Bulletin No. 34/2024.</w:t>
        <w:br/>
        <w:t>25 See Judgment C. Cost. 265/22.</w:t>
        <w:br/>
        <w:t>26 See Directive 2006/123/EC of the European Parliament and of the Council of December 12, 2006, on services in the internal market.</w:t>
        <w:br/>
        <w:t>27 See Order C. Cost. 161/24.</w:t>
      </w:r>
    </w:p>
    <w:p>
      <w:r>
        <w:t>BULLETIN NO. 1 OF JANUARY 7, 2025 173</w:t>
        <w:br/>
        <w:t>8. It is therefore hoped that the national legislator will also intervene with regard to small hydroelectric derivation concessions in order to modify the current regulatory framework in a pro-competitive sense.</w:t>
        <w:br/>
        <w:t>b. Electric Mobility</w:t>
        <w:br/>
        <w:t>9. The development of electric mobility in Italy and, with it, of publicly accessible charging points is, as is known, a process still largely ongoing. In particular, in the spring of 2024, approximately 55,000 charging points are reported to be installed, against approximately 250,000 vehicles, while forecasts made by the trade association Motus-E estimate at least 115,000 charging points and 3.7 million vehicles by 2030. The growth objectives of the sector are pursued also through intense infrastructure development, facilitated by forms of funding, including those from the EU (through the PNRR and other funds).</w:t>
        <w:br/>
        <w:t>10. However, this infrastructure development presents competitive risks that could compromise the efficiency of the emerging sector, due to the creation of monopoly situations or strong local market power. In particular, reference is made to the possibility that it leads to the concentration of charging infrastructures in the hands of a few or a single subject at the local level. The latter, in this case, would be the dominant operator (also called “Charging Point Operator” or “CPO”) towards customers who need to charge in a specific area. This is true whether the offer to end consumers is intermediated by other operators (the so-called “Mobility Service Providers” or “MSP”, also referred to as “E-Mobility Providers” or “EMP”) who, in turn, resell charging services to motorists, or whether the motorist has the option to pay directly for the energy to the operator of the charging station.</w:t>
        <w:br/>
        <w:t>11. This situation of local market power could generate incentives to increase charging prices (wholesale if charged to MSP intermediaries or retail if charged directly to end consumers), as well as to engage in exclusionary conduct to the detriment of competing operators in the complementary MSP market to favor the company of its own group (most CPOs, in fact, are also active as MSP).</w:t>
        <w:br/>
        <w:t>12. In the context described above, it therefore seems appropriate, in order to ensure better competitive dynamics at the local level, to introduce a regulatory provision that takes into account the desirability of a plurality of operators in each local area.</w:t>
        <w:br/>
        <w:t>13. In this regard, the current regulatory framework provides, in Article 57 of Decree-Law No. 76 of July 16, 2020, (converted with amendments by Law No. 120 of September 11, 2020), that the infrastructure development is managed substantially at the municipal level. In particular, this article, in paragraph 7, provides that municipalities regulate the installation, realization, and management of infrastructures and in the subsequent paragraph 8 that they “may allow, even at no cost, the realization and management of charging infrastructures to public and private subjects, also providing for a possible division into lots, to be awarded through competitive, transparent, and non-discriminatory procedures.”</w:t>
        <w:br/>
        <w:t>14. A measure aimed at encouraging the plurality of operators could therefore be implemented by integrating the provisions contained in paragraph 8. By intervening on the rules governing the discipline of installations and realizations of infrastructures, it would be possible to indirectly influence the assignment of incentives for the realization of such charging stations, as the concessions or authorizations from the competent authorities generally constitute the prerequisite for participation in these tenders.</w:t>
      </w:r>
    </w:p>
    <w:p>
      <w:r>
        <w:rPr>
          <w:b/>
        </w:rPr>
        <w:t>[Pages 172–174]</w:t>
      </w:r>
    </w:p>
    <w:p>
      <w:r>
        <w:t>174 BULLETIN NO. 1 OF JANUARY 7, 2025</w:t>
      </w:r>
    </w:p>
    <w:p>
      <w:r>
        <w:t>It is therefore proposed to make the following amendment:</w:t>
        <w:br/>
        <w:t>Art. 57, D.L. 76/2020</w:t>
        <w:br/>
        <w:t xml:space="preserve">in paragraph 8, after the words “transparent and non-discriminatory.” the following sentence is added: </w:t>
        <w:br/>
        <w:t>“Such procedures will be structured in a way that favors, all other conditions being equal, the presence of a plurality of active subjects in the management of charging infrastructures in the municipal territory.”</w:t>
        <w:br/>
        <w:t>After the last paragraph, the following is inserted: “In the case of authorization requests with comparable characteristics, the Municipality will give priority to applications from subjects holding less than 40% of the total installed or already authorized charging infrastructures in the municipal territory.”</w:t>
      </w:r>
    </w:p>
    <w:p>
      <w:r>
        <w:t>2. Port Sector</w:t>
        <w:br/>
        <w:t>a. Scope and Number of AdSP</w:t>
        <w:br/>
        <w:t>15. The efficiency of the Port System Authorities (hereinafter also “AdSP”) appears to be one of the essential nodes to increase the competitiveness of the Italian port sector. This efficiency must aim, on the one hand, at better coordination of investments in port and logistics infrastructures, and on the other hand, at increasing the operational scale of Italian ports.</w:t>
        <w:br/>
        <w:t>16. The increase in the operational scale of national ports appears constrained by the physical characteristics of the territory, which has favored the development of numerous medium-sized ports. These ports often operate in competition with each other, even when they actually serve largely overlapping demand basins or could do so in the presence of adequate railway and inland port infrastructures. This poses the risk of duplicating investments in relatively close ports and the consequent underutilization of the capacity thus created, especially where the increase in port capacity for receiving goods and passengers is not accompanied by adequate development of infrastructures capable of efficiently moving goods and passengers from the port to their destinations.</w:t>
        <w:br/>
        <w:t>17. In this context, it is therefore essential to identify mechanisms for coordinating the investments of the various neighboring AdSPs, aimed at enabling broader port systems than those managed by a single current AdSP to achieve an operational scale that allows them to compete intra-Mediterranean with the large Spanish ports and those of North Africa in cargo traffic and to effectively manage the expected increase in cruise traffic, while enhancing the different vocations of the ports managed by the different AdSPs. A broader operational scale and greater coordination would allow for the realization of more efficient logistics infrastructures to serve the intermodal management of cargo traffic, while coordination among a larger set of nearby ports would facilitate the distribution of cruise traffic, avoiding congestion at individual ports.</w:t>
        <w:br/>
        <w:t>18. Such coordination could also be achieved through the merging of some AdSPs that are complementary in terms of operational characteristics and positioning along the traffic corridors defined by the TEN-T corridors. It is therefore proposed to initiate, pursuant to paragraphs 14 and 15 of Article 6 of Law 84/1994, a process to evaluate the number and territorial limits of the Port System Authorities (AdSP). Paragraph 14 specifically provides that, “having assessed the interactions between the logistics platforms and the traffic volumes,” the number of AdSPs may be modified “three years after the entry into force of the decree referred to in Article 8, paragraph 1, letter f), of Law No. 124 of August 7, 2015.” This term has largely elapsed, as the decree referred to came into force at the end of August 2016.28</w:t>
      </w:r>
    </w:p>
    <w:p>
      <w:r>
        <w:t>28 Legislative Decree 169 of August 4, 2016, concerning “Reorganization, rationalization, and simplification of the regulations concerning Port Authorities.”</w:t>
      </w:r>
    </w:p>
    <w:p>
      <w:r>
        <w:t>BULLETIN NO. 1 OF JANUARY 7, 2025 175</w:t>
      </w:r>
    </w:p>
    <w:p>
      <w:r>
        <w:t>b. Concessions and Substitute Agreements</w:t>
        <w:br/>
        <w:t>19. The issuance of Ministerial Decree 202/2022 (hereinafter, “Decree”) and the related Guidelines of April 21, 2023, have filled a regulatory gap that has been repeatedly pointed out regarding the failure to issue the criteria for the assignment of concessions referred to in Article 18, paragraph 1, of Law 84/1994 (concerning the execution of port operations related to goods and materials on public areas and docks) and the definition of some salient characteristics thereof, as provided for in Article 18, paragraph 2, of Law 84/1994.</w:t>
        <w:br/>
        <w:t>20. The Decree provides (Article 1, paragraphs 1 and 2) that the criteria established for concessions also apply to substitute concession agreements, referred to in Article 18, paragraph 6, of Law 84/1994, and that public evidence procedures apply both in the case of office activation by the AdSP and in the case of activation following a request from a party.</w:t>
        <w:br/>
        <w:t>21. The Authority preliminarily observes that the AdSP, in exercising its prerogatives for programming and developing port activity, should itself promptly identify the public assets of potential interest to current and potential port operators and grant concessions for such assets to ensure they are used in a manner consistent with port development plans without having to resort to the procedure upon request from a party.</w:t>
        <w:br/>
        <w:t>22. Moreover, the same Decree (Article 4, paragraph 14) provides that the AdSP must act at least 12 months before the expiration of the concession to initiate the procedure for awarding the new concession. In this way, all competitors would be placed on the same level as the incumbent, and the AdSP could guide the future concessionaire in a manner consistent with its own port development plans through the design of the scores assigned to the various criteria provided for in the Decree.</w:t>
        <w:br/>
        <w:t>23. Conversely, the procedures for the renewal or extension of a concession following a request from the incumbent place the latter in a position of competitive advantage, which is not eliminated by the adoption of the same evaluation criteria for the applications received as provided in the case of office activation of a procedure for the concession of public assets. The activation upon request from the incumbent indeed involves the publication of a notice, following which potential competitors – who only become aware of the initiation of the procedure through that act – have a limited time to produce, based on estimates, management and development plans for the public asset and an investment plan that demonstrates the economic viability of the initiative, credible and alternative to those that the incumbent has been able to prepare more easily and based on the actual operational data available to it.</w:t>
        <w:br/>
        <w:t>24. In this context, further elements of criticality arise when, as often happens, the request from a party leads to the conclusion of a substitute concession agreement with the applicant: the lack of transparency in the procedure leading to the conclusion of the substitute agreement and the discretion involved in the case of competing requests (which can be managed through separate negotiations, as provided for by Law 241/1990) do not appear to be overcome by subjecting the conclusion of substitute concession agreements to the same evaluation criteria as those for concession requests. It is therefore proposed to amend Article 18 of Law 84 of 1994 as follows: in paragraph 1 after the words “based on public evidence procedures,” delete the words “also upon request from a party” and insert the following: “initiated by the Port System Authority at least 12 months before the expiration of existing concessions or as soon as a new port area becomes available to the AdSP.” Paragraph 6 is repealed.</w:t>
      </w:r>
    </w:p>
    <w:p>
      <w:r>
        <w:t>176 BULLETIN NO. 1 OF JANUARY 7, 2025</w:t>
      </w:r>
    </w:p>
    <w:p>
      <w:r>
        <w:t>c. Labor and Self-Production</w:t>
        <w:br/>
        <w:t>25. One of the factors limiting the competitiveness of Italian ports is the longer average time required for port operations, which translates into a greater number of days spent in port by ships and therefore higher costs for shipping companies.</w:t>
        <w:br/>
        <w:t>26. Greater flexibility in the use of available labor can help make port operations more efficient and thus reduce the time spent in port by the ship.</w:t>
        <w:br/>
        <w:t>27. Such flexibility is limited, among other things, by the prohibition on the exchange of labor between the different public areas granted to the same company or to subjects otherwise attributable to it (contained in the current formulation of Article 18, paragraph 9, of Law 84/1994) and by the heavy restrictions imposed on the use of self-production by Article 199-bis of D.L. 34/2020, converted, with modifications, by Law No. 77/2020 (already the subject of previous reports29). This latter provision, which introduced paragraphs 4-bis and ter to Article 16 of Law 84/1994, limited the right to self-produce port operations and services, making it possible only where the necessary equipment or personnel are not available at the docking port and subordinating the use of self-production to a series of burdensome requirements, including the requirement for the shipping carrier to have “additional” suitable personnel beyond the crew listed in the safety and operational table of the ship, who must also be “exclusively dedicated” to carrying out such operations. The need for additional personnel imposes supplementary costs on the carrier, which risks translating into a de facto prohibition of self-production.</w:t>
        <w:br/>
        <w:t>28. Such stringent constraints, to the extent that they create a de facto exclusivity in favor of port labor companies, would be contrary to the regulations protecting competition. This appears to be confirmed by the recent Judgment 6523/2024 of the Council of State, in which the Judge stated that “the ambiguity of the regulatory text requires the College to choose the meaning […] that brings the norm into necessary conformity with the relevant European Union regulatory framework, which does not tolerate the existence of dominant positions or exclusive rights for port operations, unless they concern services of general economic interest.”</w:t>
        <w:br/>
        <w:t>29. The Authority therefore suggests modifying this regulation to support the competitiveness of Italian ports, also in relation to neighboring ports of other Member States where self-production can be resorted to with greater freedom, also providing further incentives for the efficiency of port service providers.</w:t>
        <w:br/>
        <w:t>30. This proposal, moreover, does not conflict with the essential needs for protecting working conditions, which appear to be guaranteed by the scrupulous verification of compliance with the provisions of the National Collective Labor Agreement for maritime workers and the relevant safety regulations.</w:t>
      </w:r>
    </w:p>
    <w:p>
      <w:r>
        <w:t>29 See AS1893 - Proposals for competitive reform for the annual law for the market and competition year 2023, June 22, 2023, in Bulletin No. 26/2023; AS1730 - Proposals for competitive reform for the annual law for the market and competition year 2021, March 19, 2021. AS1708 - Relaunch Decree - amendments to Article 16 paragraph 4-bis of Law 84/1994 on port matters, October 27, 2020, in Bulletin No. 45/2020.</w:t>
      </w:r>
    </w:p>
    <w:p>
      <w:r>
        <w:rPr>
          <w:b/>
        </w:rPr>
        <w:t>[Pages 175–177]</w:t>
      </w:r>
    </w:p>
    <w:p>
      <w:r>
        <w:t>BULLETIN NO. 1 OF JANUARY 7, 2025 177</w:t>
      </w:r>
    </w:p>
    <w:p>
      <w:r>
        <w:t>It is therefore proposed to amend paragraph 9 of Article 18, Law 84/1994 as follows: “the phrase: ‘[…] and in such case the exchange of labor between the different areas of public land granted to the same company or to subjects otherwise attributable to it is prohibited’ is eliminated.”</w:t>
      </w:r>
    </w:p>
    <w:p>
      <w:r>
        <w:t>It is proposed to replace paragraph 4-bis of Article 16 of Law No. 84 of 1994 with the following: “4-bis The ship is authorized to carry out operations under self-production provided that: a) it is equipped with adequate mechanical means; b) it is staffed with suitable personnel; c) the fee has been paid and suitable security has been provided.”</w:t>
      </w:r>
    </w:p>
    <w:p>
      <w:r>
        <w:t>d. Obligations of fair treatment and non-discrimination by concessionaires</w:t>
      </w:r>
    </w:p>
    <w:p>
      <w:r>
        <w:t>31. The guarantee of access to port infrastructures (facilities, installations, and port equipment) on fair, reasonable, and non-discriminatory terms represents the first safeguard for all users of the infrastructures against any anti-competitive consequences of vertical integration and horizontal concentration in the port sector and should therefore be an obligation to which all concessionaires of port infrastructures in all ports referred to in Article 4, paragraph 3, of Law 84/1994 should generally be subject.</w:t>
      </w:r>
    </w:p>
    <w:p>
      <w:r>
        <w:t>32. However, the national port legislation lacks the explicit incorporation of the principles of free access to port infrastructures by users identified in Regulation (EU) 2017/352, which states (Article 3, paragraph 3) that “The conditions for access to the facilities, installations, and equipment of the port are fair, reasonable, and non-discriminatory.”</w:t>
      </w:r>
    </w:p>
    <w:p>
      <w:r>
        <w:t>33. There is also a lack of a provision ensuring the transparency of service conditions and applicable tariffs – a prerequisite for the application of fair and non-discriminatory conditions. It is therefore proposed to insert a new article (e.g., 15-ter) into Law 84/1994 stating that: “For all ports referred to in Article 4, paragraph 3, the conditions for access to the facilities, installations, and equipment of the port, including cold ironing infrastructure, practiced by authorized operators and concessionaires are fair, reasonable, and do not discriminate between users. The concessionaire or the operator of the facilities, installations, and equipment and the operator of the cold ironing infrastructure shall publish and promptly update the service conditions and applicable tariffs on their websites, in a section of immediate consultation highlighted on the homepage.”</w:t>
      </w:r>
    </w:p>
    <w:p>
      <w:r>
        <w:t>It is also proposed to provide for appropriate administrative monetary sanctions in case of non-compliance with the above obligations.</w:t>
      </w:r>
    </w:p>
    <w:p>
      <w:r>
        <w:t>II. Non-infrastructural services</w:t>
      </w:r>
    </w:p>
    <w:p>
      <w:r>
        <w:t>1. Non-scheduled public transport</w:t>
      </w:r>
    </w:p>
    <w:p>
      <w:r>
        <w:t>34. The time appears ripe to proceed with a comprehensive review of the regulation on the provision of taxi and chauffeur-driven rental services (“NCC”), while taking into account the specificities of the two services. The current regulation seems to require substantial rethinking that considers the evolution of the sector and the proximity, from the demand side, of the two services, taxi and NCC, as well as the possible expansion of the geographical operational perimeter of taxi and NCC carriers and the fight against illegal practices.</w:t>
      </w:r>
    </w:p>
    <w:p>
      <w:r>
        <w:t>35. Regarding the proximity between the two services, the latest orientations of the Constitutional Court30 seem to recognize that, despite the different configuration from the supply side of non-scheduled public services, the demand for non-scheduled mobility largely considers taxi and NCC services as interchangeable. As noted by the Court, the undersigned Authority31, the Public Transport Regulatory Authority32, and the European Commission33 have long urged a reflection on the sector that takes into account technological evolution and the characteristics of demand.</w:t>
      </w:r>
    </w:p>
    <w:p>
      <w:r>
        <w:t>36. The Constitutional Court highlights how the structural shortage of taxi and NCC services, in addition to harming the rights of the most vulnerable population, hinders the economic development possibilities of the Country, thereby placing non-scheduled mobility services among the strategic sectors of the national economy, considering that it contributes to ensuring the effectiveness of the freedom of movement, a condition for the exercise of other numerous rights, as well as for the development of the tourism sector.</w:t>
      </w:r>
    </w:p>
    <w:p>
      <w:r>
        <w:t>37. Lastly, it is deemed appropriate to highlight here how the current decree No. 203 of 2024 of the Head of the Department for Transport and Navigation of the Ministry of Infrastructure and Transport has defined the activation methods of the electronic register and establishes its full operation starting from one hundred eighty days from its publication. However, since the decree in question expressly refers to the application of Article 10-bis, paragraph 6, of Decree-Law No. 135 of December 14, 2018, i.e., the article declared illegitimate by the Constitutional Court through ruling 137/24, beyond subsequent proposals, a regulatory clarification regarding the validity of the ministerial decree and the related register appears necessary.</w:t>
      </w:r>
    </w:p>
    <w:p>
      <w:r>
        <w:t>In light of the above, a reorganization of the regulation is proposed that provides for: a) standard and transparent mechanisms that allow, taking into account the specificity of the two services, to systematically monitor the supply and demand for taxi and NCC services at the local level, also in qualitative terms, along with adequate regulatory tools that allow, where necessary, to align supply with demand, for example through the issuance of new licenses, including those of limited duration, valid for limited periods of the year, or to provide for efficiency mechanisms and increased flexibility of taxi service shifts based on homogeneous criteria defined at the national level, thus overcoming the current regulatory fragmentation of local administrations; b) in general, a gradual removal of barriers to entry and constraints on the operation of various market players not justified by imperative reasons of general interest: for example, consider the mechanisms for issuing taxi licenses and their duration, the minimum waiting time for NCC carriers provided for in interministerial decree 226/2024 of October 16, 202434.</w:t>
      </w:r>
    </w:p>
    <w:p>
      <w:r>
        <w:t>2. Local and regional public services and public participation</w:t>
      </w:r>
    </w:p>
    <w:p>
      <w:r>
        <w:t>a. Omitted or incomplete recognition of the performance of local public services</w:t>
      </w:r>
    </w:p>
    <w:p>
      <w:r>
        <w:t>38. With Article 30 of Legislative Decree 201/2022, concerning the “Reorganization of the regulation of local public services of economic relevance,” it has been provided that larger entities (Municipalities and their possible associative forms with a population exceeding 5,000 inhabitants, as well as Metropolitan Cities, Provinces, and other competent entities), in relation to their scope or service basin, must carry out, by December 31 of each year, a periodic review of the management situation of local public services of economic relevance35,36. The review must be contained in a specific report, published without delay on the institutional website of the granting entity and simultaneously transmitted to ANAC, which provides for its immediate publication on its online portal37.</w:t>
      </w:r>
    </w:p>
    <w:p>
      <w:r>
        <w:t>39. In the first half of 2024, the Authority carried out extensive monitoring of the aforementioned reports and adopted numerous reports and warning letters concerning the critical issues identified in the reviewed assessments, sending, lastly, to the State-Regions Conference, ANCI, and UPI a general notification aimed at guiding the actions of both the granting entities and the contracting companies, in view of the decisions that will be made regarding future grants38.</w:t>
      </w:r>
    </w:p>
    <w:p>
      <w:r>
        <w:t>40. That said, without prejudice to the exercise of the Authority's intervention powers pursuant to Law 287/1990, some proposals for regulatory amendments in this area are illustrated below, aimed, on the one hand, at increasing the accountability of entities in consciously carrying out the aforementioned review, and on the other hand, at providing for the adoption of appropriate corrective measures in case of unsatisfactory management performance, up to the revocation of the same grant.</w:t>
      </w:r>
    </w:p>
    <w:p>
      <w:r>
        <w:t>i. Corrective measures in case of unsatisfactory management performance</w:t>
      </w:r>
    </w:p>
    <w:p>
      <w:r>
        <w:t>41. Under current legislation, the competent public entity is required to assess, for each entrusted service, the actual management performance in relation to each element provided for by Article 30 of Legislative Decree 201/2022. This provision does not contemplate consequences in the event that the entity fails to provide information regarding one or more of the elements indicated by the regulation, nor does it expressly require the entity to draw conclusive considerations on the management situation (in a positive or negative sense).</w:t>
      </w:r>
    </w:p>
    <w:p>
      <w:r>
        <w:t>42. Also regarding in-house management, although Article 17, paragraph 5, of Legislative Decree 201/2022 establishes that the entity is required to account, within the periodic analysis of the participations referred to in Article 20 of Legislative Decree 175/2016 (also, “TUSPP”), for the reasons that, from an economic and service quality perspective, justify the maintenance of the grant, even in relation to the results achieved in management, no specific measures are provided to be adopted in case the reasons justifying such grant are not found.</w:t>
      </w:r>
    </w:p>
    <w:p>
      <w:r>
        <w:t>43. On the other hand, Legislative Decree 201/2022 contains some provisions regarding the contractual discipline between the entity and the manager precisely with the aim of ensuring the economic-financial balance of the services.</w:t>
      </w:r>
    </w:p>
    <w:p>
      <w:r>
        <w:rPr>
          <w:b/>
        </w:rPr>
        <w:t>[Pages 178–180]</w:t>
      </w:r>
    </w:p>
    <w:p>
      <w:r>
        <w:t>180 BULLETIN NO. 1 OF JANUARY 7, 2025</w:t>
      </w:r>
    </w:p>
    <w:p>
      <w:r>
        <w:t>management and improvement of service quality39. From this regulatory framework, it follows that, in the case of severely inefficient management – and thus in violation of the service obligations set forth by the regulator or the service contract – the contracting authority has the power to terminate the contractual relationship early. However, the choice of criteria by which to weigh the various elements for such evaluation (e.g., negative vs. positive) remains entirely at the discretion of the authority.</w:t>
      </w:r>
    </w:p>
    <w:p>
      <w:r>
        <w:t>44. From the initial experience regarding the analysis of the surveys, there are no cases in which the authority has, as a result of the surveys, concluded for the adoption of corrective measures for the managements (particularly for those in-house), despite the survey having returned an unsatisfactory management performance from an economic, qualitative, or in relation to previous management results.</w:t>
      </w:r>
    </w:p>
    <w:p>
      <w:r>
        <w:t>45. The Authority believes that contracting authorities should promptly take the necessary actions to address the management inefficiencies of the entrusted service, also considering, especially for in-house managements, the possibility of revoking the assignment40, should it no longer be justifiable from an economic and qualitative standpoint and based on the burdens and results pertaining to the authorities themselves.</w:t>
      </w:r>
    </w:p>
    <w:p>
      <w:r>
        <w:t>46. Therefore, in order to ensure that the authority can adopt appropriate actions to address the inefficiencies that emerged from the survey on the performance of the entrusted local public services, the Authority deems it appropriate to provide, in the text of Article 30 of Legislative Decree No. 201/2022, for the adoption by the authority of certain corrective measures41.</w:t>
      </w:r>
    </w:p>
    <w:p>
      <w:r>
        <w:t>It is proposed to introduce, after paragraph 1 of Article 30 of Legislative Decree 201/2022, the following provisions:</w:t>
      </w:r>
    </w:p>
    <w:p>
      <w:r>
        <w:t>“1-bis. In the survey referred to in paragraph 1, the authority, taking into account the conclusive evaluations on the performance of the management of each entrusted service, identifies the possible causes of any negative performance, including the related attributions of responsibility. If these evaluations reveal an unsatisfactory management performance due to causes attributable to the operator's activity, the authority adopts a directive act, attached to the survey, requiring the operator to develop, within a maximum period of three months, a plan to undertake the necessary corrective measures. In the directive act, the authority indicates the deadlines for achieving intermediate and final objectives and provides, based on the severity of the management insufficiency, for the application of progressive penalties, up to the total or partial revocation of the assignment, possibly also through the inclusion of express resolutory clauses.</w:t>
      </w:r>
    </w:p>
    <w:p>
      <w:r>
        <w:t>1-ter. Without prejudice to the attribution of responsibility according to the risk allocation identified in the service contract, the criteria for determining when the management performance is considered unsatisfactory are found at least in the following cases: (i) the operator has recorded significant losses in the last two financial years, such as to cast doubt on the sustainability of its economic-financial equilibrium; or (ii) the management results are significantly insufficient compared to the predetermined contractual objectives; or (iii) the quality indicators of the service provided are significantly lower and/or the operating costs are significantly higher than the benchmarks identified pursuant to Articles 7 and 8.</w:t>
      </w:r>
    </w:p>
    <w:p>
      <w:r>
        <w:t>1-quater. The corrective measures referred to in paragraph 1-bis, attributable to actions ascribable to the operator's responsibility, may consist of: (i) a recovery plan for losses in the following two years, which must necessarily also include specific business improvement interventions aimed at restoring the economic balance of the activities carried out; (ii) a quality recovery plan and/or cost efficiency plan and/or achievement of other contractual objectives, which must necessarily also include specific interventions to improve the structure and/or business operations aimed at removing the causes of suboptimal performance.</w:t>
      </w:r>
    </w:p>
    <w:p>
      <w:r>
        <w:t>1-quinquies. Where, as a result of the negative conclusive evaluation referred to in paragraph 1-bis, it emerges that the insufficiency of the service is decisively due to causes independent of the operator's responsibility, but under the control of the authority, the latter promptly activates to remove the obstacles to the adequate performance of the service, also through the guarantee of suitable infrastructural conditions.”</w:t>
      </w:r>
    </w:p>
    <w:p>
      <w:r>
        <w:t>ii. Sanctions for failure to adopt and publish or incompleteness of the survey</w:t>
      </w:r>
    </w:p>
    <w:p>
      <w:r>
        <w:t>47. In the context of monitoring the reports referred to in Article 30 of Legislative Decree 201/2022 published on the ANAC portal, the Authority has found a high rate of non-compliance with the obligation to adopt and publish the aforementioned reports, equal to 58% of municipalities at the national level, but with peaks of 64% in the southern regions42. In order to overcome this critical issue, the Authority considers it necessary to introduce sanctions analogous to those already established by the TUSPP for the failure to adopt the annual plan for the review of public participations43.</w:t>
      </w:r>
    </w:p>
    <w:p>
      <w:r>
        <w:t>48. In particular, the application of a sanction should be provided both in the case of failure to adopt and/or publish the survey relating to the entrusted services and in cases of deficient reporting, that is, lacking one or more of the elements required by Article 30 and such as to prevent a complete evaluation (a circumstance that is, moreover, very frequent).</w:t>
      </w:r>
    </w:p>
    <w:p>
      <w:r>
        <w:t>49. It should be noted, moreover, that, at least with reference to in-house managements, the Court of Auditors has also considered that the report on the survey of services entrusted to in-house companies, representing an appendix to the report pursuant to Article 20 of the TUSPP, should be subject to scrutiny by the regional control sections, just like the report itself and follow its same fate, also with regard to the application of the sanctions provided in case of failure to adopt, as established by Article 20, paragraph 7, of the TUSPP44.</w:t>
      </w:r>
    </w:p>
    <w:p>
      <w:r>
        <w:t>It is proposed to introduce, after paragraph 3 of Article 30 of Legislative Decree 201/2022, the following provision:</w:t>
      </w:r>
    </w:p>
    <w:p>
      <w:r>
        <w:t>“4. The sanctions referred to in Article 20, paragraph 7, of Legislative Decree 175 of 2016 apply in cases of: failure to adopt or publish the report containing the survey referred to in paragraph 1; adoption of an incomplete report that does not allow for a complete evaluation; failure to adopt the directive act referred to in paragraph 1-bis.”</w:t>
      </w:r>
    </w:p>
    <w:p>
      <w:r>
        <w:t>42 Data updated as of May 15, 2024 (cf. AS1999 - Survey SPL 2023, cited).</w:t>
      </w:r>
    </w:p>
    <w:p>
      <w:r>
        <w:t>43 The survey must be adopted simultaneously with the aforementioned plan and constitutes an appendix in the case of in-house assignments. Article 20, paragraph 7, of the TUSPP indeed provides for an administrative sanction, from €5,000 to €500,000, imposed by the competent regional sections of the Court of Auditors in case of failure to adopt the annual plans for the review of public participations.</w:t>
      </w:r>
    </w:p>
    <w:p>
      <w:r>
        <w:t>44 Cf. Court of Auditors - Section of Autonomies, Report on the entities participated by territorial and health authorities, approved by Resolution No. 10/SEZAUT/2024/FRG; cf. also, Resolution No. 3/SEZAUT/2024/INPR.</w:t>
      </w:r>
    </w:p>
    <w:p>
      <w:r>
        <w:t>182 BULLETIN NO. 1 OF JANUARY 7, 2025</w:t>
      </w:r>
    </w:p>
    <w:p>
      <w:r>
        <w:t>b. Regional public transport by rail and road</w:t>
      </w:r>
    </w:p>
    <w:p>
      <w:r>
        <w:t>50. One of the sectors in which it is deemed necessary to introduce greater competitive comparison is that of public passenger transport services by road and rail under regional competence. As repeatedly pointed out by the Authority, in fact, the difficulties in the liberalization process, especially in the rail transport sector, have resulted in conditions of supply that are poorly competitive and often unsatisfactory regarding service efficiency and management quality.</w:t>
      </w:r>
    </w:p>
    <w:p>
      <w:r>
        <w:t>51. Regulation (EC) 1370/2007, moreover, while inspired by a favor regarding the protection of the principle of free competition, does not obligate the recourse to tendering, but leaves the choice of the methods of service management to national authorities: in Italy, the historical decision of the administrations has been to resort to long-term contracts in the absence of competitive procedures for the assignment of the service.</w:t>
      </w:r>
    </w:p>
    <w:p>
      <w:r>
        <w:t>i. Tender procedures for regional public rail transport service</w:t>
      </w:r>
    </w:p>
    <w:p>
      <w:r>
        <w:t>52. The habitual recourse by the Regions to direct assignments for the choice of the operator of the passenger rail transport service has resulted in a situation where not only is the main operator of the service still represented by the historical monopolist, namely Trenitalia S.p.A. (or by a company of the Ferrovie dello Stato Italiane S.p.A. group), but this framework is not expected to change in the short term, considering that most assignments will expire no earlier than 203245.</w:t>
      </w:r>
    </w:p>
    <w:p>
      <w:r>
        <w:t>53. During 2024, the Authority noted the critical issues arising from the direct assignments made by the Lombardy Region and the Sicilian Region, just before the expiration of the validity period of Article 5, paragraph 6, of Regulation (EC) 1370/200746, indicating that such a choice was not in compliance with the general principles established to protect competition and was aimed at further postponing – well beyond the end of the transitional period – the conduct of tenders for the assignment of the service47.</w:t>
      </w:r>
    </w:p>
    <w:p>
      <w:r>
        <w:t>54. That said, in order to encourage the recourse to competitive selection procedures for the operator48 - also in light of what is provided for in the National Recovery and Resilience Plan (PNRR)49 and the guidelines of the EU Council50 - the Authority considers it necessary to introduce a norm that</w:t>
      </w:r>
    </w:p>
    <w:p>
      <w:r>
        <w:rPr>
          <w:b/>
        </w:rPr>
        <w:t>[Pages 181–183]</w:t>
      </w:r>
    </w:p>
    <w:p>
      <w:r>
        <w:t>BULLETIN NO. 1 OF JANUARY 7, 2025 183</w:t>
      </w:r>
    </w:p>
    <w:p>
      <w:r>
        <w:t>provides that the Regions shall regularly resort to competitive procedures in the selection of the operator of the railway transport service; as well as the repeal of Article 61 of Law 99/2009, according to which the competent authorities for the awarding of contracts for regional and local public transport services, even in derogation of the sector regulations, may avail themselves of the provisions of Article 5, paragraphs 2, 4, 5, and 6, and Article 8, paragraph 2, of Regulation (EC) 1370/2007. It is proposed:</w:t>
        <w:br/>
        <w:t>a) to introduce, after paragraph 1-bis of Article 18 of Legislative Decree 422 of November 19, 1997, the following provision: “1-ter. The Regions shall regularly entrust the railway services under their competence to companies selected through public evidence procedures, in compliance with current regulations and the principles established to protect competition”;</w:t>
        <w:br/>
        <w:t>b) the repeal of Article 61 “Further provisions regarding local public transport” of Law No. 99/2009.</w:t>
      </w:r>
    </w:p>
    <w:p>
      <w:r>
        <w:t>ii. Reduction of resources from the TPL Fund in case of failure to resort to tender</w:t>
      </w:r>
    </w:p>
    <w:p>
      <w:r>
        <w:t>55. Furthermore, in order to encourage the use of tenders, both in regional railway transport services and in road transport services, it is proposed to amend Article 27, paragraph 2, letter c) of Decree-Law 50/2017, converted with amendments by Law 96/2017, in the part where it states the non-applicability of the annual reduction of resources from the National Fund for the State's financial contribution to the TPL costs to be transferred to the Regions for contracts awarded in accordance with the provisions of Regulation (EC) 1370/2007 and current regulatory provisions. This provision, in fact, given the above-described situation, effectively nullifies the legally provided incentive to resort to public evidence procedures. It is proposed to repeal the third sentence of Article 27, paragraph 2, letter c) of Decree-Law 50/2017, converted with amendments by Law No. 96/2017.</w:t>
      </w:r>
    </w:p>
    <w:p>
      <w:r>
        <w:t>iii. Instructional, motivational, and reconnaissance obligations for regional public transport services</w:t>
      </w:r>
    </w:p>
    <w:p>
      <w:r>
        <w:t>56. Notwithstanding the above, considering the need to make the administration's intentions transparent and known and to strengthen the results-oriented approach in the choices made by the Regions, it is deemed appropriate to introduce a rule that provides, also for the public transport service of rail and road under regional competence, compliance with the instructional and motivational obligations and the reconnaissance obligations established for local public services by Articles 14, 17, 30, and 31 of Legislative Decree 201/2022.</w:t>
      </w:r>
    </w:p>
    <w:p>
      <w:r>
        <w:t>57. In this way, the competent authority, at the very moment it makes the choice regarding the management method of the service, and therefore before the start of the awarding procedure, should take into account a series of elements related to the offer of the service in question (such as those indicated in Article 14, paragraph 2) and report the outcomes of its evaluations in a specific report in which it should also highlight the reasons and the existence of the requirements provided by European legislation for the form of the chosen award (Article 14, paragraph 3).</w:t>
      </w:r>
    </w:p>
    <w:p>
      <w:r>
        <w:t>58. Similarly, in the case of in-house management, the authority should adopt the resolution for the awarding of the service based on a qualified motivation that expressly accounts for the reasons for not resorting to the market, taking into account the elements and criteria identified for local public services by Article 17 of Legislative Decree 201/2022.</w:t>
      </w:r>
    </w:p>
    <w:p>
      <w:r>
        <w:t>59. Finally, the provision of reconnaissance obligations regarding the management performance of the entrusted transport service, as established by Article 30 of Legislative Decree No. 201/2022, would strengthen the results-oriented approach in the choices of the competent authorities, also highlighting for such services the actual performance from an economic perspective, efficiency, service quality, and compliance with the obligations indicated in the service contract.</w:t>
      </w:r>
    </w:p>
    <w:p>
      <w:r>
        <w:t>60. For transparency purposes, the acts in question should be published on the ANAC telematic portal, pursuant to the provisions of Article 31 of Legislative Decree 201/2022 for local public services.</w:t>
      </w:r>
    </w:p>
    <w:p>
      <w:r>
        <w:t>61. It is therefore proposed to overcome the asymmetry that has arisen between local public transport services and regional public transport services through the amendment of Article 48 of Decree-Law 50 of April 24, 2017, which contains some provisions regarding local and regional public transport. It is proposed to insert the following paragraph in Article 48 of Decree-Law 50/2017:</w:t>
        <w:br/>
        <w:t>4-bis. The provisions of Articles 14, paragraphs 2 and 3, 17, 30, and 31 of Legislative Decree December 23, 2022 No. 201 apply to the awards of regional public transport services.</w:t>
      </w:r>
    </w:p>
    <w:p>
      <w:r>
        <w:t>c. Acquisition of public participations</w:t>
      </w:r>
    </w:p>
    <w:p>
      <w:r>
        <w:t>62. Article 19 of the Annual Law for the Market and Competition 2022 (Law 214/2023), amending Article 4, paragraph 7, of the TUSPP, has expanded the scope of permitted participations in companies active in the trade fair sector, allowing public administrations to acquire participations (direct or indirect) in companies whose predominant corporate purpose is not only the management of exhibition spaces and the organization of trade fair events but also “in compliance with the principles of competition and market openness, the activities, supplies, and services directly connected and functional to visitors and exhibitors”.</w:t>
      </w:r>
    </w:p>
    <w:p>
      <w:r>
        <w:t>63. This provision appears likely to condition the unfolding of competitive dynamics, determining undue competitive advantages in favor of companies participated by public entities. In fact, allowing public participation in companies active in markets other than the management of fairs, including “activities, supplies, and services connected and functional to visitors and exhibitors,” contradicts the pro-competitive value of the regulations contained in the TUSPP, legitimizing public entities to invest capital in enterprises that operate in numerous sectors downstream of the management of fairs and that are open to free competition.</w:t>
      </w:r>
    </w:p>
    <w:p>
      <w:r>
        <w:t>64. On this issue, the Authority has already intervened with several motivated opinions pursuant to Article 21-bis of Law 287/1990, the observations of which have been fully shared by the Council of State.</w:t>
      </w:r>
    </w:p>
    <w:p>
      <w:r>
        <w:t>65. It is finally noted that the new provision, in addition to excessively and unjustifiably expanding the scope of the exemption regarding fairs, poses several practical application difficulties.</w:t>
      </w:r>
    </w:p>
    <w:p>
      <w:r>
        <w:t>66. In conclusion, the new rule presents an evident anti-competitive scope, as it illegitimately and unjustifiably broadens the scope of application of the exemption provided for in Article 4, paragraph 7, of the TUSPP.</w:t>
      </w:r>
    </w:p>
    <w:p>
      <w:r>
        <w:t>67. On this occasion, it is invited to review, more generally, the exemptions progressively introduced to the prohibition established by Article 4, paragraph 1, of the TUSPP, in order to assess whether such exemptions meet criteria of necessity and proportionality. By way of example, the establishment, acquisition, or maintenance of participations in companies whose predominant corporate purpose is the production, processing, and marketing of milk, however treated, dairy products, and fruit and vegetable products do not seem strictly necessary for the pursuit of the institutional purposes of the entity.</w:t>
      </w:r>
    </w:p>
    <w:p>
      <w:r>
        <w:t>It is proposed to repeal Article 19 of Law No. 214/2023.</w:t>
      </w:r>
    </w:p>
    <w:p>
      <w:r>
        <w:t>3. Commercial distribution</w:t>
      </w:r>
    </w:p>
    <w:p>
      <w:r>
        <w:t>a. Discounts on medicines and magistral preparations</w:t>
      </w:r>
    </w:p>
    <w:p>
      <w:r>
        <w:t>68. Decree-Law 223/2006, converted with amendments into Law August 4, 2006, No. 248 (c.d. Bersani Decree), Article 5, paragraph 3, provided for the possibility of freely determining the discount on the price of Class C SOP and OTC medicines. This faculty was conditioned on two requirements: the discount had to be “displayed in a readable and clear manner to the consumer” and had to be “applied to all purchasers” (Article 5, paragraph 3). This regulation was reiterated by Law 296/2006 (Financial Law 2007).</w:t>
      </w:r>
    </w:p>
    <w:p>
      <w:r>
        <w:t>69. The liberalization process continued in 2011 through Article 32, paragraph 4, of Decree-Law 201/2011, converted with amendments by Law 214/2011 (c.d. Save Italy Decree), which extended the faculty to freely apply discounts on the prices of all Class C medicines, including those requiring a medical prescription. This rule expressly reiterated the two aforementioned conditions, already present in the c.d. Bersani Decree, namely that discounts be “displayed in a readable and clear manner to the consumer” and that they be “applied to all purchasers”.</w:t>
      </w:r>
    </w:p>
    <w:p>
      <w:r>
        <w:t>70. In 2012, through Article 11, paragraph 8, of Decree-Law 1/2012, converted with amendments by Law 27/2012 (c.d. Growth Italy Decree), the legislator established that “pharmacies may apply discounts on the prices of all types of medicines and products sold directly paid by customers, providing adequate information to the clientele,” thus including Class A medicines purchasable against a medical prescription as long as paid for by the consumer.</w:t>
      </w:r>
    </w:p>
    <w:p>
      <w:r>
        <w:t>71. This rule not only expanded the categories of discountable medicines, completing the liberalization process initiated in 2006 with the c.d. Bersani Decree and expanded with the c.d. Save Italy Decree in 2011, but also eliminated the previous obligation to apply discounts “to all purchasers.”</w:t>
      </w:r>
    </w:p>
    <w:p>
      <w:r>
        <w:rPr>
          <w:b/>
        </w:rPr>
        <w:t>[Pages 184–186]</w:t>
      </w:r>
    </w:p>
    <w:p>
      <w:r>
        <w:t>186 BULLETIN NO. 1 OF JANUARY 7, 2025</w:t>
      </w:r>
    </w:p>
    <w:p>
      <w:r>
        <w:t>"all buyers" and replaced the requirement for clarity and readability of discounts with the more general requirement to provide "adequate information to customers."</w:t>
      </w:r>
    </w:p>
    <w:p>
      <w:r>
        <w:t>72. In fact, with the provision of Article 11, paragraph 8, of Decree Law No. 1/2012, the legislator intended to re-regulate the legal regime of discounts on medicines, setting as the only limit the obligation to provide "adequate information to customers," thus not reintroducing the two previous conditions of displaying the discount "in a readable and clear manner to the consumer" and applying it "to all buyers." A different interpretation would limit the objective of market opening and the liberalization of pricing policies, preventing discounts and methods of defining commercial policies in favor of the consumer (such as loyalty cards/cash back/discounts for customer segments or types). Moreover, this objective of liberalizing pricing policies, while relevant from a competitive perspective, does not conflict with health protection as the role of the doctor remains, who, in the case of prescription medicines, ensures control over the correct use and consumption of the product. Also at the community level, it is noted that Directive 2001/83/EC of the European Parliament and of the Council, of November 6, 2001, concerning "a community code relating to medicinal products for human use," has the main purpose of ensuring the free movement of medicines and does not impose constraints on the liberalization of prices by individual Member States.</w:t>
      </w:r>
    </w:p>
    <w:p>
      <w:r>
        <w:t>73. In this perspective, in order to dispel any doubts regarding the interpretative issue at hand, it would be necessary to make explicit that discounts on all medicines and on magistral preparations distributed by pharmacies, para-pharmacies, and authorized sales outlets can be applied freely, even in a differentiated manner (i.e., allowing for loyalty programs, rewards, discounts for categories of patients). It is proposed to amend Article 11, paragraph 8, of Decree Law 1/2012, converted with amendments by Law 27/2012 (so-called Growth-Italy Decree) by adding after the words "providing adequate information to customers." the following clarification: "Discounts can be applied freely, also allowing for loyalty programs, rewards, and discounts for categories of patients." The following words "applied to all buyers" are deleted from paragraph 4 of Article 32 of Decree Law 201/2011, converted with amendments by Law 214/2011.</w:t>
      </w:r>
    </w:p>
    <w:p>
      <w:r>
        <w:t>b. Para-pharmacies and appointment booking services and report collection</w:t>
      </w:r>
    </w:p>
    <w:p>
      <w:r>
        <w:t>74. The Authority, in exercising its reporting powers, has already noted on two occasions that "excluding para-pharmacies from the possibility - granted to pharmacies - of offering services (such as the CUP service or report collection service) suitable for expanding the range of services offered and consequently attracting more customers to their point of sale is detrimental to the rules and principles protecting competition. The exclusion of para-pharmacies from the exercise of such activities represents, in fact, a behavior likely to create an unjustified competitive disadvantage for them compared to pharmacies. This exclusion is likely to have negative repercussions on consumers who are deprived of a potential additional channel for accessing the aforementioned services."56 "In this regard, it is noted that on several occasions the Authority has emphasized the relevance of the para-pharmacy channel in the development of competition in the pharmaceutical distribution sector."57</w:t>
      </w:r>
    </w:p>
    <w:p>
      <w:r>
        <w:t xml:space="preserve">56 Cf. AS1267 - Competitive restrictions in the provision of appointment booking services for specialist medical visits and report collection for para-pharmacies, March 3, 2016, in Bulletin No. 11/2016.  </w:t>
        <w:br/>
        <w:t>57 Cf. AS1141 - ASL of Taranto - denial of the assignment of the free CUP service, June 18, 2014, in Bulletin No. 22/2014; cf. also AS988 - Proposals for competitive reform for the annual law on the market and competition.</w:t>
      </w:r>
    </w:p>
    <w:p>
      <w:r>
        <w:t>BULLETIN NO. 1 OF JANUARY 7, 2025 187</w:t>
      </w:r>
    </w:p>
    <w:p>
      <w:r>
        <w:t>75. The discrimination between pharmacies and para-pharmacies finds no justification in the current regulatory framework. On the contrary, the legislator has promoted para-pharmacies to favor consumer choice and more competitive markets through the provisions of Article 5 of Decree Law 223 of July 4, 2006 (converted by Law August 4, 2006, No. 248), which liberalized the sale to the public at commercial establishments of over-the-counter or self-medication medicines and all medicines or products not subject to medical prescription, as well as those of Article 32 of Decree Law 201 of December 6, 2011 (converted by Law December 22, 2011, No. 214), which provided further measures aimed at promoting competition between pharmacies and para-pharmacies.</w:t>
      </w:r>
    </w:p>
    <w:p>
      <w:r>
        <w:t>76. The possibility for pharmacies to allow citizens to book specialist medical visits through CUP at accredited public and private health facilities, to pay the ticket, and to collect reports is provided for by Legislative Decree 502 of December 30, 1992 ("Reorganization of health regulations"). The aforementioned Decree, as well as, more generally, the regulatory framework regarding services provided by pharmacies, while also providing for referral to national and regional agreements concerning various activities covered by legal reserve, does not exclude that the remaining activities regulated in such agreements and not covered by legal reserve may also be carried out by entities other than pharmacies.</w:t>
      </w:r>
    </w:p>
    <w:p>
      <w:r>
        <w:t>77. The lack of an explicit provision for the possibility of providing such services also through the para-pharmacy channel, which would potentially add to the pharmacy channel, is in contrast with the more general objective of "achieving the widest possible offer of access channels, in order to ensure the highest possible level of usability for the citizen" set by the "National CUP Guidelines."58 Through both of the aforementioned channels, in fact, citizens could receive assistance from pharmacists authorized to practice the profession and registered with the relevant order (whose presence is also mandatory in para-pharmacies).</w:t>
      </w:r>
    </w:p>
    <w:p>
      <w:r>
        <w:t>78. Based on the above, the Authority hopes for a legislative intervention to orient the national and regional regulation on appointment booking services for specialist medical visits via CUP and related services in a pro-competitive direction, expanding their assignment also to para-pharmacies. It is proposed to amend Article 5 of Decree Law 223 of July 4, 2006 (as converted by Law 248 of August 4, 2006 and subsequent amendments) to introduce in the first paragraph, or through a dedicated paragraph, the following principle: "In the aforementioned commercial establishments, beneficiaries can book outpatient specialist care services at accredited public and private health facilities, and pay the related participation fees borne by the citizen, as well as collect reports related to outpatient specialist care services provided at accredited public and private health facilities. The Government and the Regions ensure that competitive and non-discriminatory methods of providing such services by public and private pharmacies and the commercial establishments referred to in the previous period are guaranteed."</w:t>
      </w:r>
    </w:p>
    <w:p>
      <w:r>
        <w:t>III. Authority's Competences</w:t>
      </w:r>
    </w:p>
    <w:p>
      <w:r>
        <w:t>1. Obligation of standstill</w:t>
      </w:r>
    </w:p>
    <w:p>
      <w:r>
        <w:t>79. Under national law, concentrations between independent companies that reach certain turnover thresholds are subject to an obligation of prior notification to the Authority. The obligation of prior notification entails a prohibition for the interested parties to coordinate their behavior in the market, if necessary exercising control over the target company, before the fulfillment of the obligations set forth in Article 16 of Law 287/1990.</w:t>
      </w:r>
    </w:p>
    <w:p>
      <w:r>
        <w:t>80. However, this obligation of abstention does not extend to the time necessary to assess the competitive impact of the operation once it has been notified, so that the interested companies can proceed with its realization without having to wait for the final determinations of the Authority. Conversely, Article 17 of Law 287/1990 provides that "the Authority, in conducting the investigation referred to in Article 16, may order the interested companies to suspend the realization of the concentration until the conclusion of the investigation."</w:t>
      </w:r>
    </w:p>
    <w:p>
      <w:r>
        <w:t>81. In this regard, Italian law markedly diverges from the EU paradigm. According to Article 7, paragraph 1, of Regulation (EC) 139/2004, in fact, a concentration intended to be examined by the European Commission "may not be implemented before it is notified, nor before it has been declared compatible with the common market by a decision adopted pursuant to Article 6, paragraph 1, letter b), or Article 8, paragraph 1 or paragraph 2, or on the basis of the presumption set forth in Article 10, paragraph 6." Similar provisions are in force in all Member States of the European Union and in the European Economic Area countries with a concentration control regime59, making the Italian norm in its current formulation practically a unique case in the European landscape.</w:t>
      </w:r>
    </w:p>
    <w:p>
      <w:r>
        <w:t>82. According to the Authority, it is appropriate to amend the internal norm to harmonize it with the corresponding provision of Union law.</w:t>
      </w:r>
    </w:p>
    <w:p>
      <w:r>
        <w:t>83. In general, the Authority agrees with the European legislator, according to whom "the implementation of the concentration should be suspended until the adoption of a definitive decision" by the authority responsible for the competitive assessment (cf. recital 34, Regulation (EC) 139/2004): this is because - if at the end of the investigation the already implemented operation were found to adversely affect the competitive dynamics of the affected markets and were therefore prohibited - restoring the pre-existing competitive status quo could prove difficult or even impossible in certain respects.</w:t>
      </w:r>
    </w:p>
    <w:p>
      <w:r>
        <w:t>84. In the internal legal system, the Authority - with the measure that concludes the investigation - "if the concentration operation has already been implemented, may prescribe the necessary measures to restore effective competition conditions, eliminating the distorting effects" (Article 18, paragraph 3, Law 287/1990). However, at least with regard to certain categories of operations, such as those involving a merger or an inextricable integration of the interested parties, the concrete application of the deconcentration measures adopted by the Authority, in compliance with the aforementioned provision, may prove fraught with obstacles and entail heavy compliance burdens for companies and monitoring for the Authority.</w:t>
      </w:r>
    </w:p>
    <w:p>
      <w:r>
        <w:t>85. Moreover, where companies compete in the same markets and as a result of the implementation of the operation have already coordinated their commercial policies, including prices - without prejudice to the applicability of Article 2 of Law 287/1990 and Article 101 TFEU - the consequent effects of competition disturbance would likely be irreversible, even if the Authority intervened with the deconcentration tool.</w:t>
      </w:r>
    </w:p>
    <w:p>
      <w:r>
        <w:t>86. For these reasons, the Authority considers a modification of Article 17 of Law 287/1990 necessary, which would also introduce the so-called standstill obligation into our legal system.</w:t>
      </w:r>
    </w:p>
    <w:p>
      <w:r>
        <w:t>59 Only Luxembourg and Liechtenstein do not have rules for the control of concentration operations. In Luxembourg, the adoption of legislation on concentration control is currently under discussion, which provides for a standstill obligation until authorization by the national competition authority.</w:t>
      </w:r>
    </w:p>
    <w:p>
      <w:r>
        <w:rPr>
          <w:b/>
        </w:rPr>
        <w:t>[Pages 187–189]</w:t>
      </w:r>
    </w:p>
    <w:p>
      <w:r>
        <w:t>BULLETIN NO. 1 OF JANUARY 7, 2025 189</w:t>
      </w:r>
    </w:p>
    <w:p>
      <w:r>
        <w:t>87. The Authority specifies that the proposed legislative amendment would not result in any significant tightening of the burdens on businesses regarding the concentration control regime. In fact, even at present, a significant percentage of concentration operations notified to the Authority under Article 16 of Law No. 287/1990 is accompanied by a suspensive clause, which conditions its implementation on the prior positive decision of the Authority regarding compatibility with competition. Furthermore, unlike what occurs at the EU level (where the European Commission systematically requires the so-called pre-notification phase, even for operations of little relevance, a phase that can sometimes last several months), in Italy the pre-notification phase is merely optional, so that it is only resorted to in a limited number of cases. In practice, in the vast majority of operations subject to the notification obligation, the completion of the operation would be delayed by one month.</w:t>
      </w:r>
    </w:p>
    <w:p>
      <w:r>
        <w:t>88. More recently, however, the Authority has noted that in a number of operations potentially subject to in-depth examination, the notifying parties did not provide for such a clause and - in some cases - proceeded to implement the concentration before the Authority completed its assessment.</w:t>
      </w:r>
    </w:p>
    <w:p>
      <w:r>
        <w:t>89. In relation to such cases, the systematic recourse to temporary suspension measures under Article 17 of Law No. 287/1990 - aside from the additional burdens it would impose on the Administration, in the context of an administrative procedure characterized by very tight timelines - would not be conclusive. In fact, the Authority can exercise the power of suspension only "in the course of the investigation," that is, with the measure referred to in Article 16, paragraph 4, of Law No. 287/1990, adopted within thirty days of receipt of the notification: thus, there would still be a time gap during which businesses could legitimately complete the notified operation, as the Authority could not immediately initiate the so-called phase two without even renouncing the pre-investigation phase, intolerably compressing the overall timing of the assessment.</w:t>
      </w:r>
    </w:p>
    <w:p>
      <w:r>
        <w:t>90. On the other hand, the hoped-for regulatory amendment does not seem destined to cause disproportionate rigidity for the conduct of businesses, as - as already occurs in Union law for the European Commission - the internal legal system could also grant the Authority the power to grant an exemption from the suspension obligation, upon a reasoned request from the interested businesses, if necessary subject to conditions and burdens aimed at ensuring effective competition conditions.</w:t>
      </w:r>
    </w:p>
    <w:p>
      <w:r>
        <w:t>91. Following the provisions of Regulation (EC) 139/2004, national law could also provide that in deciding whether to grant an exemption, the Authority takes into account all relevant factors, such as the nature and severity of the harm that may arise from the suspension for the interested businesses or for third parties, as well as the extent of the obstacles that the operation could cause to competition.</w:t>
      </w:r>
    </w:p>
    <w:p>
      <w:r>
        <w:t>92. As provided for in Article 22, paragraph 4, of Regulation (EC) No. 139/2004, it would be appropriate for the standstill obligation to be applied also to the under-threshold operations referred to by the AGCM pursuant to Article 16, paragraph 1-bis, of Law No. 287/1990, provided that the operation has not yet been completed by the date on which the AGCM requests notification.</w:t>
      </w:r>
    </w:p>
    <w:p>
      <w:r>
        <w:t>93. The harmonization of the national legal framework to the euro-unitary paradigm will increase legal certainty for all economic operators, particularly regarding businesses operating in multiple Member States, as the new rules - by virtue of the provision of Article 1, paragraph 4, of Law No. 287/1990 - will be interpreted in accordance with the case law of the Union judges.</w:t>
      </w:r>
    </w:p>
    <w:p>
      <w:r>
        <w:t>94. Finally, it seems necessary, once a standstill obligation is introduced, to provide effective sanctions for its potential violation. As provided at the EU level, it is believed that an adequate deterrent effect can be ensured by sanctions of up to 10% of the turnover of the businesses involved in the concentration operation (the same currently provided for in Article 19, paragraph 1, in the case of the implementation of a prohibited concentration or non-compliance with the Authority's prescriptions to eliminate the distorting effects of an already implemented concentration). At the same time, to provide the Authority with maximum flexibility in calibrating the amount of sanctions, it seems appropriate to eliminate the minimum penalty of 1%, which could be excessive for punishing violations related to operations with a negligible impact on competition.</w:t>
      </w:r>
    </w:p>
    <w:p>
      <w:r>
        <w:t>95. The Authority therefore suggests that Articles 17 and 19 of Law No. 287/1990 be amended as described.</w:t>
      </w:r>
    </w:p>
    <w:p>
      <w:r>
        <w:t>The following legislative intervention is proposed:</w:t>
      </w:r>
    </w:p>
    <w:p>
      <w:r>
        <w:t>1. Replace Article 17 of Law No. 287 of October 10, 1990 with the following:</w:t>
        <w:br/>
        <w:t>“1. A concentration operation that must be previously communicated to the Authority pursuant to Article 16, paragraph 1, or whose notification has been requested by the Authority pursuant to Article 16, paragraph 1-bis, provided that the operation has not already been completed, cannot be carried out before the Authority has adopted the decision not to initiate the investigation pursuant to Article 16, paragraph 4 of Presidential Decree No. 217 of April 30, 1998, or to close the investigation pursuant to Article 18, paragraph 2, of this law.</w:t>
        <w:br/>
        <w:t>2. The prohibition referred to in paragraph 1 does not prevent the execution of a public offer or a series of transactions on securities, including those convertible into other securities admitted to trading on a market, such as a stock exchange, by virtue of which control is acquired, pursuant to Article 7, from multiple sellers, provided that:</w:t>
        <w:br/>
        <w:t>a) the concentration operation has been promptly communicated to the Authority pursuant to Article 16, paragraph 1;</w:t>
        <w:br/>
        <w:t>b) the acquirer does not exercise the voting rights inherent to the securities in question, or exercises them only to maintain the full value of its investments based on an exemption granted by the Authority pursuant to paragraph 3.</w:t>
        <w:br/>
        <w:t>3. The Authority, upon a suitably reasoned request submitted by the interested businesses before or after notification, may grant at any time an exemption from the prohibition referred to in paragraph 1. In deciding whether to accept such a request, the Authority takes into account, among other things, the effects that the suspension may produce on one or more of the businesses affected by the concentration and on third parties and the harm that the concentration may cause to competition. The exemption may be subject to conditions and burdens aimed at ensuring effective competition conditions.”</w:t>
      </w:r>
    </w:p>
    <w:p>
      <w:r>
        <w:t>2. Replace Article 19, paragraph 1 of Law No. 287 of October 10, 1990 with the following:</w:t>
        <w:br/>
        <w:t>“1. If businesses carry out a concentration operation in violation of the prohibitions referred to in Articles 17, paragraph 1, or 18, paragraph 1, or do not comply with the prescriptions referred to in paragraph 3 of Article 18, the Authority imposes administrative monetary sanctions of up to ten percent of the turnover of the businesses involved.”</w:t>
      </w:r>
    </w:p>
    <w:p>
      <w:r>
        <w:t>THE PRESIDENT</w:t>
        <w:br/>
        <w:t>Roberto Rustichelli</w:t>
      </w:r>
    </w:p>
    <w:p>
      <w:r>
        <w:t>BULLETIN NO. 1 OF JANUARY 7, 2025 191</w:t>
      </w:r>
    </w:p>
    <w:p>
      <w:r>
        <w:t>UNFAIR TRADE PRACTICES</w:t>
        <w:br/>
        <w:t>IP376 - MONDO CONVENIENZA - VARIOUS ISSUES</w:t>
        <w:br/>
        <w:t>Measure No. 31432</w:t>
        <w:br/>
        <w:t>THE COMPETITION AND MARKET AUTHORITY</w:t>
        <w:br/>
        <w:t>IN ITS MEETING of December 17, 2024;</w:t>
        <w:br/>
        <w:t>HEARD the Rapporteur, Professor Elisabetta Iossa;</w:t>
        <w:br/>
        <w:t>HAVING REGARD to Part II, Title III of Legislative Decree No. 206 of September 6, 2005, and subsequent amendments (hereinafter, Consumer Code);</w:t>
        <w:br/>
        <w:t>HAVING REGARD in particular to Article 27, paragraph 12, of the Consumer Code, under which, in the event of non-compliance with urgent measures or those prohibiting or removing effects, the Authority applies an administrative monetary sanction from 10,000 to 10,000,000 euros and, in cases of repeated non-compliance, the Authority may order the suspension of business activity for a period not exceeding thirty days;</w:t>
        <w:br/>
        <w:t>HAVING REGARD to Law No. 689 of November 24, 1981;</w:t>
        <w:br/>
        <w:t>HAVING REGARD to the "Regulation on investigative procedures in matters of consumer protection and misleading and comparative advertising" (hereinafter, Regulation), adopted by the Authority with resolution No. 31356 of November 5, 2024;</w:t>
        <w:br/>
        <w:t>HAVING REGARD to its own measure of March 12, 2024, No. 31135, by which it was resolved to prohibit the conduct of the company Iris Mobili s.r.l. consisting of the delivery of incomplete, damaged, or non-compliant products to orders and the lack of assistance from the professional in response to consumer complaints and the obstacles placed to the exercise of contractual rights given the deadline for reporting the aforementioned discrepancies or irregularities in the delivered products and requesting assistance;</w:t>
        <w:br/>
        <w:t>HAVING REGARD to the documentation on file;</w:t>
        <w:br/>
        <w:t>CONSIDERING the following:</w:t>
      </w:r>
    </w:p>
    <w:p>
      <w:r>
        <w:t>I. THE PARTY</w:t>
        <w:br/>
        <w:t>1. Iris Mobili S.r.l., as a professional, pursuant to Article 18, paragraph 1, letter b), of the Consumer Code (hereinafter, "Company" or "Professional"). The company is active in the retail and wholesale sale of furniture, appliances, and other furnishings, under the brand Mondo Convenienza.</w:t>
      </w:r>
    </w:p>
    <w:p>
      <w:r>
        <w:t>II. THE FACT</w:t>
        <w:br/>
        <w:t>2. In the period from April to December 2024, several reports were received from consumers who complain that Mondo Convenienza has engaged in certain conduct consisting of the delivery of defective and/or damaged products and/or products not corresponding to the purchase order or with missing parts (for example, in the case of modular kitchens, wardrobes, etc.) or of incorrect measurements, such as to prevent their use by the purchasers; in the untimely and adequate post-sale assistance, in response to consumer complaints regarding the delivery of defective and/or damaged products or products not corresponding to the order or with missing parts or with incorrect measurements, for the</w:t>
      </w:r>
    </w:p>
    <w:p>
      <w:r>
        <w:rPr>
          <w:b/>
        </w:rPr>
        <w:t>[Pages 190–192]</w:t>
      </w:r>
    </w:p>
    <w:p>
      <w:r>
        <w:t>192 BULLETIN NO. 1 OF JANUARY 7, 2025</w:t>
      </w:r>
    </w:p>
    <w:p>
      <w:r>
        <w:t>resolution of the issues reported by consumers, including in cases where the consumer requested the activation of the warranty.</w:t>
      </w:r>
    </w:p>
    <w:p>
      <w:r>
        <w:t>3. Specifically, some consumers reported the delivery of furniture that had defects at the time of assembly1; other consumers highlighted the failure to recognize the warranty for a sofa that allegedly showed defects after 40 days from the purchase2; still other consumers complained about the seller's refusal to recognize the warranty for not having reported, within the 30-day period set by the Professional, the presence of a defect in the product that was evident at the time of delivery3.</w:t>
      </w:r>
    </w:p>
    <w:p>
      <w:r>
        <w:t>4. Furthermore, on December 6, 2024, the consumer association Altroconsumo sent a communication regarding the complaints filed by consumers against the aforementioned Professional, which were received by the association during the period from April to November 2024. In particular, the association noted that it received over a hundred complaints during the aforementioned period related to the same issues addressed in the measure of March 12, 2024, No. 31135. Specifically, some reports indicate that the Professional continues to engage in the same conduct that was subject to verification and warning in the aforementioned Measure.</w:t>
      </w:r>
    </w:p>
    <w:p>
      <w:r>
        <w:t>5. In particular, several consumers highlighted the occurrence of defects a few months after the purchase of Mondo Convenienza products, and the lack of assistance from the Professional or the failure to recognize the warranty4.</w:t>
      </w:r>
    </w:p>
    <w:p>
      <w:r>
        <w:t>6. It also appears that the Professional continues to impose a reduced deadline (now 30 days) within which the consumer must report the presence of defects and deficiencies that are evident at the time of delivery. Otherwise, the consumer would lose the right to replacement or repair of the product5.</w:t>
      </w:r>
    </w:p>
    <w:p>
      <w:r>
        <w:t>7. Such behaviors highlight the recurrence of the conduct that was subject to verification and warning by the Authority in the measure of March 12, 2024, No. 31135.</w:t>
      </w:r>
    </w:p>
    <w:p>
      <w:r>
        <w:t>III. THE AUTHORITY'S MEASURE NO. 31135 OF MARCH 12, 2024</w:t>
      </w:r>
    </w:p>
    <w:p>
      <w:r>
        <w:t>8. With the resolution of March 12, 2024, No. 31135, notified to the parties involved in the procedure on March 28, 2024, the Authority, in relation to the aforementioned unfair commercial practice – in addition to imposing an administrative monetary fine of €3,200,000 – prohibited its dissemination or continuation, as it was still ongoing.</w:t>
      </w:r>
    </w:p>
    <w:p>
      <w:r>
        <w:t>9. In particular, the Authority found that the frequent and continuous delivery of defective, non-compliant, or non-conforming products with respect to the order placed, with incorrect measurements or missing pieces, accompanied by the provision of reduced times (seven days) for reporting defects or errors in delivery or by the request for payment of the costs for the return of defective or non-compliant goods constitutes an unfair commercial practice in violation of the provisions of the Consumer Code.</w:t>
      </w:r>
    </w:p>
    <w:p>
      <w:r>
        <w:t>10. The failure to provide post-sale assistance by the Professional, the methods and limitations provided in case of defective, incomplete, or non-compliant products, as well as the provision of a reduced deadline for reporting defects and deficiencies found in the delivered products hinder the exercise of the legal warranty of conformity provided for by the Consumer Code, which does not establish any expiration period for reporting. In particular, such behaviors constitute obstacles to the exercise of contractual rights and integrate a case of aggressive commercial practice, pursuant to Articles 24 and 25 of the Consumer Code, as they are capable of configuring undue conditioning by the Professional consisting of the imposition of obstacles to the possibility for consumers to exercise their rights to receive what was ordered, to withdraw, and to warranty.</w:t>
      </w:r>
    </w:p>
    <w:p>
      <w:r>
        <w:t>11. The Authority, in relation to the behaviors described in the aforementioned Measure, noted that they, when considered as a whole, constitute a unitary unfair commercial practice, contrary to professional diligence pursuant to Article 20 of the Consumer Code, as they, although occurring at different stages of the consumer relationship, are functionally connected and capable of creating an obstacle to the exercise of contractual rights.</w:t>
      </w:r>
    </w:p>
    <w:p>
      <w:r>
        <w:t>IV. THE COMPLIANCE REPORT</w:t>
      </w:r>
    </w:p>
    <w:p>
      <w:r>
        <w:t>12. With a note received on June 27, 2024, and supplemented on October 2, 2024, following the hearing held on September 3, 2024, the company Iris Mobili submitted the compliance report referred to in letter c) of the device of the aforementioned measure.</w:t>
      </w:r>
    </w:p>
    <w:p>
      <w:r>
        <w:t>13. Preliminary, the Company represented the results obtained, comparing the period January-September 2023 with the period January-September 2024, which recorded similar sales activity.</w:t>
      </w:r>
    </w:p>
    <w:p>
      <w:r>
        <w:t>14. In particular, the Company noted that compared to the same period in 2023, requests for assistance (or reports) in September 2024 would have decreased, along with a reduction in product revisions.</w:t>
      </w:r>
    </w:p>
    <w:p>
      <w:r>
        <w:t>15. This reduction in terms of revisions would have occurred due to a lower overall defectiveness of the products, despite the provision of a more favorable policy for the customer – resulting in a higher level of acceptance of assistance requests – applied following the Authority's measure.</w:t>
      </w:r>
    </w:p>
    <w:p>
      <w:r>
        <w:t>16. The Company stated that it has set a deadline of 30 days for reports of so-called "evident defects," compared to the previously established deadline of 7 days for reports concerning conformity defects. Even in this case, despite the extension of the deadline, assistance requests would have decreased compared to the same period in 2023.</w:t>
      </w:r>
    </w:p>
    <w:p>
      <w:r>
        <w:t>V. FURTHER ELEMENTS EMERGED</w:t>
      </w:r>
    </w:p>
    <w:p>
      <w:r>
        <w:t>17. From the collection of elements acquired and described above, it emerges that the company Iris Mobili s.r.l. has not complied with the warning contained in the measure of March 12, 2024, No. 31135, notified on March 28, 2024.</w:t>
      </w:r>
    </w:p>
    <w:p>
      <w:r>
        <w:t>18. From the overall picture of the facts described by consumers, as well as from the Company's compliance report, there is a general inadequacy of the measures implemented following the aforementioned measure, despite an improvement compared to previous years.</w:t>
      </w:r>
    </w:p>
    <w:p>
      <w:r>
        <w:t>19. In fact, the data provided by the Company with the compliance report, while demonstrating an improvement in performance in terms of product delivery and complaints, still show the existence of a high number of revisions (about 25,000 revisions from January to September 2024) and assistance requests (about 400,000 assistance requests from January to September 2024).</w:t>
      </w:r>
    </w:p>
    <w:p>
      <w:r>
        <w:t>20. From the reports of consumers that have continued to arrive and, lastly, from the communication from Altroconsumo, it emerges that the conduct identified as an unfair commercial practice in the aforementioned Measure and subject to warning has persisted. In this regard, it is noted that the Professional – even after the notification of the Measure – has continued to deliver products that differ from those purchased or that present defects and deficiencies already at the time of delivery, not offering effective and resolutive post-sale assistance.</w:t>
      </w:r>
    </w:p>
    <w:p>
      <w:r>
        <w:t>21. The persistent delivery of defective, non-compliant, or non-conforming products with respect to the order placed, with incorrect measurements or missing pieces demonstrates the existence of critical issues related to the "delivery of defective and damaged products or missing products" and the lack of adequate checks and controls or effective initiatives aimed at resolving this issue, as evidenced by the complaints that have continued to arrive even after the adoption of the measure.</w:t>
      </w:r>
    </w:p>
    <w:p>
      <w:r>
        <w:t>22. Furthermore, by continuing to impose a reduced deadline (30 days) – albeit longer than the previous one – within which to report the presence of evident defects already at the time of delivery, the Professional creates obstacles to the exercise of rights by consumers. In fact, the regulations of the Consumer Code (Articles 128 and following) do not provide for such an expiration period for the exercise of the legal warranty of conformity, so the provision of such a deadline constitutes a violation of this regulation and an obstacle to the exercise of consumers' rights in violation of Articles 24 and 25 of the Consumer Code. Therefore, providing a shorter deadline than that established for the legal warranty of conformity, thereby limiting the consumer's ability to request the activation of the warranty in case of delivery of products that present defects or non-conformities with respect to what was purchased, creates an obstacle to the exercise of consumers' rights (as indicated in the Measure, for example, in paragraphs 80 and 88).</w:t>
      </w:r>
    </w:p>
    <w:p>
      <w:r>
        <w:t>23. The entirety of these behaviors is consistent with the unlawful conduct identified in the Measure of March 12, 2024, No. 31135. The documentary evidence on file shows that the unlawful conduct carried out by the Professional, after the notification of the aforementioned measure, is still substantially ongoing, presenting the same profiles of unlawfulness as those already identified by the Authority's Measure and subject to the related warning.</w:t>
      </w:r>
    </w:p>
    <w:p>
      <w:r>
        <w:t>24. Therefore, the conditions for initiating the procedure provided for by Article 27, paragraph 12, of the Consumer Code, aimed at imposing an administrative monetary penalty from €10,000 to €10,000,000, are met.</w:t>
      </w:r>
    </w:p>
    <w:p>
      <w:r>
        <w:t>CONSIDERING, therefore, that the facts described above could constitute a case of non-compliance with the Authority's resolution of March 12, 2024, No. 31135, pursuant to Article 27, paragraph 12, of the Consumer Code;</w:t>
      </w:r>
    </w:p>
    <w:p>
      <w:r>
        <w:t>RESOLVES</w:t>
      </w:r>
    </w:p>
    <w:p>
      <w:r>
        <w:t>a) to contest to the company Iris Mobili s.r.l. the violation referred to in Article 27, paragraph 12, of the Consumer Code, for failing to comply with the Authority's resolution of March 12, 2024, No. 31135;</w:t>
      </w:r>
    </w:p>
    <w:p>
      <w:r>
        <w:t>b) to initiate the procedure for the possible imposition of the penalty provided for by Article 27, paragraph 12, of the Consumer Code;</w:t>
      </w:r>
    </w:p>
    <w:p>
      <w:r>
        <w:t>c) that the person responsible for the procedure is Dr. Maria Laura Altavista;</w:t>
      </w:r>
    </w:p>
    <w:p>
      <w:r>
        <w:t>d) that the documents of the procedure can be viewed at the Manufacturing, Agri-food, Pharmaceutical and Commercial Distribution Directorate of the Consumer Protection Department 2 of the Authority, by the legal representatives of the professional, or by persons delegated by them;</w:t>
      </w:r>
    </w:p>
    <w:p>
      <w:r>
        <w:t>e) that, within 30 days from the communication of this measure, interested parties may submit defensive writings and documents to the Authority, as well as request to be heard;</w:t>
      </w:r>
    </w:p>
    <w:p>
      <w:r>
        <w:rPr>
          <w:b/>
        </w:rPr>
        <w:t>[Pages 193–194]</w:t>
      </w:r>
    </w:p>
    <w:p>
      <w:r>
        <w:t>BULLETIN NO. 1 OF JANUARY 7, 2025 195</w:t>
        <w:br/>
        <w:t>f) that the procedure must be concluded within 180 days from the date of communication of this measure.</w:t>
        <w:br/>
        <w:t>This measure will be notified to the interested parties and published in the Bulletin of the Competition and Market Authority.</w:t>
        <w:br/>
        <w:t>THE SECRETARY GENERAL THE PRESIDENT</w:t>
        <w:br/>
        <w:t>Guido Stazi Roberto Rustichelli</w:t>
      </w:r>
    </w:p>
    <w:p>
      <w:r>
        <w:t>Competition Authority Weekly Bulletin</w:t>
        <w:br/>
        <w:t>of competition and market Year XXXV - No. 1 - 2025</w:t>
        <w:br/>
        <w:t>Editorial Coordination Giulia Antenucci</w:t>
        <w:br/>
        <w:t>Editorial Staff Angela D’Auria, Valerio Ruocco, Manuela Villani</w:t>
        <w:br/>
        <w:t>Competition and Market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