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https://www.agcm.it/dotcmsdoc/bollettini/2020/10-20.pdf</w:t>
      </w:r>
    </w:p>
    <w:p>
      <w:r>
        <w:t>Pages translated : 244</w:t>
      </w:r>
    </w:p>
    <w:p/>
    <w:p>
      <w:r>
        <w:rPr>
          <w:b/>
        </w:rPr>
        <w:t>[Pages 1–3]</w:t>
      </w:r>
    </w:p>
    <w:p>
      <w:r>
        <w:t>Bulletin</w:t>
        <w:br/>
        <w:t>Weekly</w:t>
        <w:br/>
        <w:t>Year XXX - No. 10</w:t>
        <w:br/>
        <w:t>Published on the website www.agcm.it</w:t>
        <w:br/>
        <w:t>March 9, 2020</w:t>
      </w:r>
    </w:p>
    <w:p>
      <w:r>
        <w:t>SUMMARY</w:t>
        <w:br/>
        <w:t>AGREEMENTS AND ABUSE OF DOMINANT POSITION 5</w:t>
        <w:br/>
        <w:t>I783C1 - AGREEMENT BETWEEN OPERATORS IN THE VENDING SECTOR - REDETERMINATION OF THE SANCTION GROUP ILLIRIA</w:t>
        <w:br/>
        <w:t>Decision No. 28149 5</w:t>
        <w:br/>
        <w:t>I783C2 - AGREEMENT BETWEEN OPERATORS IN THE VENDING SECTOR - REDETERMINATION OF THE SANCTION GROUP ARGENTA</w:t>
        <w:br/>
        <w:t>Decision No. 28150 11</w:t>
        <w:br/>
        <w:t>I783C3 - AGREEMENT BETWEEN OPERATORS IN THE VENDING SECTOR - REDETERMINATION OF THE SANCTION IVS ITALIA</w:t>
        <w:br/>
        <w:t>Decision No. 28151 17</w:t>
        <w:br/>
        <w:t>I783C4 - AGREEMENT BETWEEN OPERATORS IN THE VENDING SECTOR - REDETERMINATION OF THE SANCTION GESA</w:t>
        <w:br/>
        <w:t>Decision No. 28152 22</w:t>
        <w:br/>
        <w:t>I783C5 - AGREEMENT BETWEEN OPERATORS IN THE VENDING SECTOR - REDETERMINATION OF THE SANCTION SERIM</w:t>
        <w:br/>
        <w:t>Decision No. 28153 27</w:t>
        <w:br/>
        <w:t>I783C6 - AGREEMENT BETWEEN OPERATORS IN THE VENDING SECTOR - REDETERMINATION OF THE SANCTION LIOMATIC</w:t>
        <w:br/>
        <w:t>Decision No. 28154 32</w:t>
        <w:br/>
        <w:t>A514 - CONDUCTS FIBER TELECOM ITALIA</w:t>
        <w:br/>
        <w:t>Decision No. 28162 37</w:t>
        <w:br/>
        <w:t>CONCENTRATION OPERATIONS 187</w:t>
        <w:br/>
        <w:t>C12274 - EMMEEFFE LIBRI/CENTRO LIBRI</w:t>
        <w:br/>
        <w:t>Decision No. 28147 187</w:t>
        <w:br/>
        <w:t>C12282 - ACCIAIERIE DI CALVISANO/CALEOTTO</w:t>
        <w:br/>
        <w:t>Decision No. 28148 189</w:t>
        <w:br/>
        <w:t>C12247B - BDC ITALIA-CONAD/AUCHAN</w:t>
        <w:br/>
        <w:t>Decision No. 28163 193</w:t>
        <w:br/>
        <w:t>VARIOUS 244</w:t>
        <w:br/>
        <w:t>MODIFICATION OF SERVICE VEHICLE ALLOCATION</w:t>
        <w:br/>
        <w:t>Decision No. 28161 244</w:t>
      </w:r>
    </w:p>
    <w:p>
      <w:r>
        <w:t>BULLETIN NO. 10 OF MARCH 9, 2020 5</w:t>
        <w:br/>
        <w:t>AGREEMENTS AND ABUSE OF DOMINANT POSITION</w:t>
        <w:br/>
        <w:t>I783C1 - AGREEMENT BETWEEN OPERATORS IN THE VENDING SECTOR - REDETERMINATION OF THE SANCTION GROUP ILLIRIA</w:t>
        <w:br/>
        <w:t>Decision No. 28149</w:t>
        <w:br/>
        <w:t>THE ANTITRUST AUTHORITY</w:t>
        <w:br/>
        <w:t>IN ITS MEETING of February 18, 2020;</w:t>
        <w:br/>
        <w:t>HEARD the Rapporteur Dr. Gabriella Muscolo;</w:t>
        <w:br/>
        <w:t>HAVING REGARD to Law No. 287 of October 10, 1990;</w:t>
        <w:br/>
        <w:t>HAVING REGARD to its resolution of October 22, 2014, which adopted the Guidelines on the application methods of the criteria for quantifying administrative pecuniary sanctions imposed by the Authority in application of Article 15, paragraph 1, of Law No. 287/90 (hereinafter, briefly, "Guidelines");</w:t>
        <w:br/>
        <w:t>HAVING REGARD to its decision No. 26064 of June 8, 2016, adopted at the conclusion of proceeding No. I783 - Agreement between operators in the Vending sector, with which the Authority established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of competition in violation of Article 101 TFEU, sanctioning the aforementioned companies;</w:t>
        <w:br/>
        <w:t>HAVING REGARD that for the established violation, due to the seriousness and duration of the infringement, an administrative pecuniary sanction of €4,614,306 was imposed on the company Gruppo Illiria S.p.A.;</w:t>
        <w:br/>
        <w:t>HAVING REGARD to the ruling of the Council of State, Section VI, No. 5563 of August 5, 2019, which, in accepting the appeal of Gruppo Illiria S.p.A. for the reform of the ruling of the Lazio TAR, Section I, No. 9049 of July 28, 2017, annulled decision No. 26064 of June 8, 2016, solely in the part relating to the determination of the sanction imposed on the company Gruppo Illiria S.p.A.;</w:t>
        <w:br/>
        <w:t>HAVING REGARD to the reasoning part of the ruling in which the Council of State held that: i) in the case of applying an increase as an entry fee "it is necessary that the application of this amount is adequately justified. In this case, given the marginal role of the appellant company, such specific justification is lacking" and that ii) regarding the "application of the aggravating factor of leadership [...] the Authority, with the contested decision, did not demonstrate with rigorous reasoning the existence of the prerequisites for applying this sanction";</w:t>
      </w:r>
    </w:p>
    <w:p>
      <w:r>
        <w:rPr>
          <w:b/>
        </w:rPr>
        <w:t>[Pages 4–6]</w:t>
      </w:r>
    </w:p>
    <w:p>
      <w:r>
        <w:t>6 BULLETIN NO. 10 OF MARCH 9, 2020</w:t>
      </w:r>
    </w:p>
    <w:p>
      <w:r>
        <w:t>CONSIDERING that the Council of State has entrusted the Authority with the task of redetermining the sanction imposed on Gruppo Illiria S.p.A.;</w:t>
      </w:r>
    </w:p>
    <w:p>
      <w:r>
        <w:t>HAVING REGARD to its own provision no. 27923 of October 1, 2019, with which the Authority initiated a procedure for the redetermination of the sanction to be imposed on Gruppo Illiria S.p.A., in contradiction with the aforementioned company, in application of the cited judgment of the Council of State;</w:t>
      </w:r>
    </w:p>
    <w:p>
      <w:r>
        <w:t>HAVING REGARD AND CONSIDERING what was noted by Gruppo Illiria S.p.A. during the hearing on November 28, 2019;</w:t>
      </w:r>
    </w:p>
    <w:p>
      <w:r>
        <w:t>HAVING REGARD to the letter of January 15, 2020, with which the deadline for the closure of the investigative phase was communicated to Gruppo Illiria S.p.A.;</w:t>
      </w:r>
    </w:p>
    <w:p>
      <w:r>
        <w:t>HAVING REGARD to the note from Gruppo Illiria S.p.A. dated January 24, 2020;</w:t>
      </w:r>
    </w:p>
    <w:p>
      <w:r>
        <w:t>HAVING REGARD to all the acts of the procedure;</w:t>
      </w:r>
    </w:p>
    <w:p>
      <w:r>
        <w:t>CONSIDERING the following:</w:t>
      </w:r>
    </w:p>
    <w:p>
      <w:r>
        <w:t>I. THE PARTY</w:t>
      </w:r>
    </w:p>
    <w:p>
      <w:r>
        <w:t>1. Gruppo Illiria S.p.A. (hereinafter, Illiria) is a company active in Italy in the vending sector. In particular, at the time of the infringement contestation, the Party operated in the management of vending machines for food and beverages, both directly and through 2G S.r.l., of which it held the entire share capital. The total revenue generated worldwide by Illiria, based on the financial data for 2014 and 2015, amounted to €46,143,059.</w:t>
      </w:r>
    </w:p>
    <w:p>
      <w:r>
        <w:t>II. THE PREVIOUS DECISION OF THE AUTHORITY</w:t>
      </w:r>
    </w:p>
    <w:p>
      <w:r>
        <w:t>2. With its resolution no. 26064, adopted during the meeting of June 8, 2016 (hereinafter also the sanctioning provision), the Authority found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engaged in a restrictive agreement of competition pursuant to Article 101 of the Treaty on the Functioning of the European Union,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(hereinafter, the provision).</w:t>
      </w:r>
    </w:p>
    <w:p>
      <w:r>
        <w:t>3. With the provision, the Authority imposed monetary sanctions on all the Parties involved in the procedure; the sanction imposed on Gruppo Illiria amounted to €4,614,306.</w:t>
      </w:r>
    </w:p>
    <w:p>
      <w:r>
        <w:t>4. For the purpose of quantifying the sanction, the criteria and calculation methods set out in the Guidelines were adopted. The Authority then proceeded to quantify the base amount of the sanction, defined as a percentage of 20% of the value of sales made in the relevant market and the duration of the infringement. In particular, the value of sales of the affected services was referenced, and thus, the revenue derived from the management of vending machines and OCS machines, generated by the Party in the last full year of participation in the infringement, net of VAT and other taxes. The value of sales also takes into account sales made in the relevant market through controlled companies, regardless of whether they participated in the infringement. In fact, the share of total revenue coming, directly or indirectly, from the sale of the products subject to the infringement constitutes the most suitable element to reflect the economic importance of the infringement itself and the relative weight of the company involved in the infringement (p. 7 et seq. of the following Guidelines).</w:t>
      </w:r>
    </w:p>
    <w:p>
      <w:r>
        <w:t>5. Due to the seriousness of the infringement and in order to give the sanction the necessary deterrent character, the base amount was increased by an additional amount (so-called entry fee), equal to 15% of the specific revenue (p. 17 of the Guidelines).</w:t>
      </w:r>
    </w:p>
    <w:p>
      <w:r>
        <w:t>6. Specific responsibilities in the infringement of the different companies involved in the procedure were then taken into account, applying reductions and increases to the base amount (p. 19-21 and 23 of the Guidelines); a 15% aggravating factor was applied to Gruppo Illiria for having played a decisive role in the promotion, organization, and monitoring of the contested collusive behaviors.</w:t>
      </w:r>
    </w:p>
    <w:p>
      <w:r>
        <w:t>7. Since the amount of the sanction thus calculated exceeded the maximum limit provided for by Article 15 of Law no. 287/90, it was brought back to that maximum limit of 10% of the total revenue generated by the company worldwide in the last financial year closed prior to the notification of the warning (p. 29 of the Guidelines).</w:t>
      </w:r>
    </w:p>
    <w:p>
      <w:r>
        <w:t>8. Considering the specific circumstances of the case, the Authority deemed it appropriate to apply point 34 of the Guidelines, which allows for justified exceptions to their application, believing it necessary to adjust the final sanction to the different positions of the Parties, with particular regard to the aggravating and mitigating circumstances recognized to them, without prejudice to the need to preserve a sufficient deterrent effect of the sanction. No reduction of the sanction was recognized to Gruppo Illiria, due to its decisive role in the promotion, organization, and monitoring of the contested behaviors.</w:t>
      </w:r>
    </w:p>
    <w:p>
      <w:r>
        <w:t>III. THE PRONOUNCEMENT OF THE COUNCIL OF STATE</w:t>
      </w:r>
    </w:p>
    <w:p>
      <w:r>
        <w:t>9. With judgment no. 5563/2019, the Council of State ordered the Authority to redetermine the sanction previously imposed on Gruppo Illiria, within the limits indicated in the reasoning, without, however, proceeding directly to quantify the extent of the reduction to be applied.</w:t>
      </w:r>
    </w:p>
    <w:p>
      <w:r>
        <w:t>10. In particular, the Council of State held that: i) in the case of application of an increase by way of entry fee "it is necessary that the application of such amount is adequately justified. In this case, given the marginal role of the appellant company, such specific justification is lacking" and that ii) regarding the "application of the aggravating factor of leadership [...] the Authority, with the contested provision, did not demonstrate with rigorous reasoning the occurrence of the prerequisites for applying this sanction."</w:t>
      </w:r>
    </w:p>
    <w:p>
      <w:r>
        <w:t>IV. THE INVESTIGATIVE ACTIVITY</w:t>
      </w:r>
    </w:p>
    <w:p>
      <w:r>
        <w:t>11. With provision no. 27923 of October 1, 2019, the Authority initiated a procedure for the redetermination of the sanction to be imposed on Gruppo Illiria, in contradiction with the aforementioned company, in application of the cited judgment of the Council of State no. 5563/2019.</w:t>
      </w:r>
    </w:p>
    <w:p>
      <w:r>
        <w:t>12. During the procedure, Gruppo Illiria had the opportunity to exercise its right of defense and was heard in a hearing on November 28, 2019.</w:t>
      </w:r>
    </w:p>
    <w:p>
      <w:r>
        <w:t>13. On January 15, 2020, Gruppo Illiria was informed of the deadline for the closure of the investigative phase, set for January 27, 2020.</w:t>
      </w:r>
    </w:p>
    <w:p>
      <w:r>
        <w:t>14. On January 24, 2020, Gruppo Illiria submitted an additional memorandum.</w:t>
      </w:r>
    </w:p>
    <w:p>
      <w:r>
        <w:t>V. THE ARGUMENTS OF THE PARTY</w:t>
      </w:r>
    </w:p>
    <w:p>
      <w:r>
        <w:t>15. Regarding the increase by way of entry fee, Gruppo Illiria further argues that, in compliance with the principle of the effectiveness of judicial protection, the annulment of the entry fee should lead to an actual and concrete reduction of the sanction, having regard to the principles of fairness and proportionality, and that a reduction of the final sanction by 15% meets these requirements.</w:t>
      </w:r>
    </w:p>
    <w:p>
      <w:r>
        <w:t>16. Gruppo Illiria also believes that, considering the application given by the Authority to Article 34 of the Guidelines in the original provision of ascertaining the infringement, the annulment of the aggravating factor for leadership should have an immediate effect of reducing the final sanction by 5%, as the company, following the judgment, is equated to those for which "there are neither aggravating nor mitigating circumstances."</w:t>
      </w:r>
    </w:p>
    <w:p>
      <w:r>
        <w:t>17. The company then observes that the Council of State did not limit itself to merely eliminating the aggravating factor and annulling the entry fee, but also noted that the latter was not adequately justified "given the marginal role of the appellant company." According to Gruppo Illiria, this circumstance would further demonstrate that the Judge believes a concrete reduction of the sanction should be applied with a beneficial effect for the company.</w:t>
      </w:r>
    </w:p>
    <w:p>
      <w:r>
        <w:t>18. Finally, the company believes that the Authority, thanks to a comprehensive view of the outcomes of the various appeals and the redeterminations already occurred as a result of the first and second levels of judgment - which would have significantly altered the balance of the sanctioning framework of the original provision -, also has the task of maintaining a proportion and balance among the sanctions, having regard to the offense and the role of each operator. In particular, the application to Gruppo Illiria of a reduction of the sanction of only 5% would be penalizing for the company, which would be the most heavily sanctioned, without this corresponding to a different role in the offense and a greater severity in its participation.</w:t>
      </w:r>
    </w:p>
    <w:p>
      <w:r>
        <w:t>VI. EVALUATIONS</w:t>
      </w:r>
    </w:p>
    <w:p>
      <w:r>
        <w:t>19. With judgment no. 5563/2020, the Council of State entrusted the Authority with the task of reducing the sanction already imposed on Gruppo Illiria, within the limits set out in the reasoning, consisting of the annulment of the components of the final sanction related to the increase by way of entry fee and the aggravating factor previously applied to Gruppo Illiria for its role in the offense.</w:t>
      </w:r>
    </w:p>
    <w:p>
      <w:r>
        <w:t>20. Therefore, the following proceeds, in compliance with the cited judgment of the Council of State, to the concrete redetermination of the sanction imposed with provision no. 26064 of June 8, 2016, against Gruppo Illiria.</w:t>
      </w:r>
    </w:p>
    <w:p>
      <w:r>
        <w:rPr>
          <w:b/>
        </w:rPr>
        <w:t>[Pages 7–9]</w:t>
      </w:r>
    </w:p>
    <w:p>
      <w:r>
        <w:t>BULLETIN NO. 10 OF MARCH 9, 2020 9</w:t>
      </w:r>
    </w:p>
    <w:p>
      <w:r>
        <w:t>21. As for the annulment of the entry fee component of the originally imposed sanction, it is noted that, in this case, the mere application of the mathematical calculations referred to in the Guidelines1 would not allow for an actual reduction of the final sanction, thereby failing to give useful effect to the judge's ruling. The sanction, in fact, even after the elimination of the entry fee, would continue to exceed the statutory limit of 10% of total revenue, and this should be taken into account. In this specific case, it is therefore deemed appropriate to apply a reduction of 15% to the final sanction originally imposed by provision no. 26064 of June 8, 2016.</w:t>
      </w:r>
    </w:p>
    <w:p>
      <w:r>
        <w:t>22. Regarding the removal of the increase resulting from the recognition of the aggravating factor for leadership, it is deemed appropriate to apply the criteria set forth in Article 34 of the Guidelines, as previously outlined in the aforementioned provision no. 26064. Therefore, since it concerns a company that was not granted any mitigating factors in the original provision and that, following the ruling of the Council of State, finds itself without any aggravating circumstances, it is deemed appropriate to apply to Gruppo Illiria, pursuant to the aforementioned Article 34 of the Guidelines, a reduction of 5% from the originally imposed sanction.</w:t>
      </w:r>
    </w:p>
    <w:p>
      <w:r>
        <w:t>23. The final amount of the sanction thus redetermined is €3,691,445.</w:t>
      </w:r>
    </w:p>
    <w:p>
      <w:r>
        <w:t>All of the above having been stated and considered;</w:t>
      </w:r>
    </w:p>
    <w:p>
      <w:r>
        <w:t>IT IS THEREFORE DEEMED necessary to proceed, in compliance with the aforementioned ruling of the Council of State, to redetermine the sanction to be imposed on Gruppo Illiria S.p.A. for the established violation in the amount of €3,691,445 (three million six hundred ninety-one thousand four hundred forty-five euros);</w:t>
      </w:r>
    </w:p>
    <w:p>
      <w:r>
        <w:t>RESOLVES that the administrative pecuniary sanction to be applied to the company Gruppo Illiria S.p.A. for the behavior attributed to it in the Authority's provision no. 26064 of June 8, 2016, is quantified at €3,691,445 (three million six hundred ninety-one thousand four hundred forty-five euros).</w:t>
      </w:r>
    </w:p>
    <w:p>
      <w:r>
        <w:t>This provision will be notified to the interested party and published in the Bulletin of the Competition and Market Authority.</w:t>
      </w:r>
    </w:p>
    <w:p>
      <w:r>
        <w:t>1 Guidelines on the methods of application of the criteria for quantifying administrative pecuniary sanctions imposed by the Authority in application of Article 15, paragraph 1, of Law no. 287/90.</w:t>
      </w:r>
    </w:p>
    <w:p>
      <w:r>
        <w:t>10 BULLETIN NO. 10 OF MARCH 9, 2020</w:t>
      </w:r>
    </w:p>
    <w:p>
      <w:r>
        <w:t>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 xml:space="preserve">THE SECRETARY GENERAL THE PRESIDENT </w:t>
        <w:br/>
        <w:t>Filippo Arena Roberto Rustichelli</w:t>
      </w:r>
    </w:p>
    <w:p>
      <w:r>
        <w:t>BULLETIN NO. 10 OF MARCH 9, 2020 11</w:t>
      </w:r>
    </w:p>
    <w:p>
      <w:r>
        <w:t>I783C2 - AGREEMENT BETWEEN OPERATORS IN THE VENDING SECTOR - REDETERMINATION OF THE SANCTION GRUPPO ARGENTA</w:t>
      </w:r>
    </w:p>
    <w:p>
      <w:r>
        <w:t>Provision no. 28150</w:t>
      </w:r>
    </w:p>
    <w:p>
      <w:r>
        <w:t>THE COMPETITION AND MARKET AUTHORITY</w:t>
      </w:r>
    </w:p>
    <w:p>
      <w:r>
        <w:t>IN ITS MEETING of February 18, 2020;</w:t>
      </w:r>
    </w:p>
    <w:p>
      <w:r>
        <w:t>HEARD the Rapporteur Dr. Gabriella Muscolo;</w:t>
      </w:r>
    </w:p>
    <w:p>
      <w:r>
        <w:t>VIEWED Law no. 287 of October 10, 1990;</w:t>
      </w:r>
    </w:p>
    <w:p>
      <w:r>
        <w:t>VIEWED its resolution of October 22, 2014, with which the Guidelines on the methods of application of the criteria for quantifying administrative pecuniary sanctions imposed by the Authority in application of Article 15, paragraph 1, of Law no. 287/90 (hereinafter, briefly, "Guidelines") were adopted;</w:t>
      </w:r>
    </w:p>
    <w:p>
      <w:r>
        <w:t>VIEWED its provision no. 26064 of June 8, 2016, adopted at the conclusion of procedure no. I783 - Agreement between operators in the vending sector, with which the Authority established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in violation of Article 101 TFEU, sanctioning the aforementioned companies;</w:t>
      </w:r>
    </w:p>
    <w:p>
      <w:r>
        <w:t>VIEWED that for the established violation, due to the seriousness and duration of the infringement, an administrative pecuniary sanction of €19,576,100 was imposed on Gruppo Argenta S.p.A.;</w:t>
      </w:r>
    </w:p>
    <w:p>
      <w:r>
        <w:t>VIEWED the ruling of the Council of State, Section VI, no. 6025 of September 2, 2019, which, in accepting the appeal of Gruppo Argenta S.p.A. for the reform of the ruling of the TAR Lazio, Section I, no. 9047 of July 28, 2017, annulled provision no. 26064 of June 8, 2016, solely in the part relating to the determination of the sanction imposed on Gruppo Argenta S.p.A.;</w:t>
      </w:r>
    </w:p>
    <w:p>
      <w:r>
        <w:t>VIEWED the reasoning part of the ruling in which the Council of State held that: i) in the case of application of an increase by way of entry fee "the application of such amount must be adequately justified. In this case, considering the evidence material, such specific justification is lacking"; and that ii) regarding the "application of the aggravating circumstance of ringleadership [...] the Authority, in the contested provision, did not provide such proof, as the reference to the list of friendly competitors is not sufficient";</w:t>
      </w:r>
    </w:p>
    <w:p>
      <w:r>
        <w:t>CONSIDERED that the Council of State has entrusted the Authority with the task of redetermining the sanction imposed on Gruppo Argenta S.p.A.;</w:t>
      </w:r>
    </w:p>
    <w:p>
      <w:r>
        <w:rPr>
          <w:b/>
        </w:rPr>
        <w:t>[Pages 10–12]</w:t>
      </w:r>
    </w:p>
    <w:p>
      <w:r>
        <w:t>12 BULLETIN NO. 10 OF MARCH 9, 2020</w:t>
      </w:r>
    </w:p>
    <w:p>
      <w:r>
        <w:t>HAVING REGARD to its provision no. 27924 of October 1, 2019, with which the Authority initiated a procedure for the re-determination of the sanction to be imposed on the company Gruppo Argenta S.p.A., in contradiction with the aforementioned company, in application of the cited judgment of the Council of State;</w:t>
      </w:r>
    </w:p>
    <w:p>
      <w:r>
        <w:t>HAVING REGARD AND CONSIDERING what was stated by Gruppo Argenta S.p.A. during the hearing on November 21, 2019;</w:t>
      </w:r>
    </w:p>
    <w:p>
      <w:r>
        <w:t>HAVING REGARD to the letter of January 15, 2020, with which the deadline for the closure of the investigative phase was communicated to the company Gruppo Argenta S.p.A.;</w:t>
      </w:r>
    </w:p>
    <w:p>
      <w:r>
        <w:t>HAVING REGARD to the note from Gruppo Argenta S.p.A. of January 27, 2020;</w:t>
      </w:r>
    </w:p>
    <w:p>
      <w:r>
        <w:t>HAVING REGARD to all the acts of the procedure;</w:t>
      </w:r>
    </w:p>
    <w:p>
      <w:r>
        <w:t>CONSIDERING the following:</w:t>
      </w:r>
    </w:p>
    <w:p>
      <w:r>
        <w:t>I. THE PARTY</w:t>
      </w:r>
    </w:p>
    <w:p>
      <w:r>
        <w:t>1. Gruppo Argenta S.p.A. (hereinafter, "Gruppo Argenta") is a company active in Italy in the vending sector. In particular, at the time of the infringement contestation, the Party operated in the so-called management of vending machines for food and beverages, both directly and through Cafebon S.r.l., of which it held the entire share capital. The total revenue generated worldwide by Argenta in 2015 amounted to €195,761,000.</w:t>
      </w:r>
    </w:p>
    <w:p>
      <w:r>
        <w:t>II. THE PREVIOUS DECISION OF THE AUTHORITY</w:t>
      </w:r>
    </w:p>
    <w:p>
      <w:r>
        <w:t>2. With its resolution no. 26064, adopted in the meeting of June 8, 2016 (hereinafter also the sanctioning provision), the Authority found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entered into an agreement restricting competition pursuant to Article 101 of the Treaty on the Functioning of the European Union, consisting of the coordination of commercial policies aimed at limiting competitive comparison among the companies involved on prices, operational territorial areas, and respective clientele in the Italian market for services related to the management of automatic and semi-automatic vending machines (hereinafter, the provision).</w:t>
      </w:r>
    </w:p>
    <w:p>
      <w:r>
        <w:t>3. With the provision, the Authority imposed monetary sanctions on all the Parties involved in the procedure; the sanction imposed on Gruppo Argenta amounted to €19,576,100.</w:t>
      </w:r>
    </w:p>
    <w:p>
      <w:r>
        <w:t>4. For the purposes of quantifying the sanction, the criteria and calculation methods set out in the Guidelines were adopted. The Authority then proceeded to quantify the base amount of the sanction, defined as a percentage of 20% of the value of sales made in the relevant market and the duration of the infringement. In particular, the value of sales of the affected services was referenced, and thus, the revenue derived from the management of vending machines and OCS machines, generated by the Party in the last full year of participation in the infringement, net of VAT and other taxes. The value of sales also takes into account sales made in the relevant market through controlled companies, regardless of whether they participated in the infringement. In fact, the share of total revenue coming, directly or indirectly, from the sale of the products subject to the infringement constitutes the most suitable element to reflect the economic importance of the infringement itself and the relative weight of the company involved in the infringement (p. 7 et seq. of the following Guidelines).</w:t>
      </w:r>
    </w:p>
    <w:p>
      <w:r>
        <w:t>5. Due to the seriousness of the infringement and in order to give the sanction the necessary deterrent character, the base amount was increased by a supplementary amount (so-called entry fee), equal to 15% of the specific revenue (p. 17 of the Guidelines).</w:t>
      </w:r>
    </w:p>
    <w:p>
      <w:r>
        <w:t>6. Specific responsibilities in the infringement of the different companies involved in the procedure were then taken into account, applying reductions and increases to the base amount (p. 19-21 and 23 of the Guidelines); to the company Gruppo Argenta, an aggravating factor of 15% was applied for having played a decisive role in the promotion, organization, and monitoring of the contested collusive behaviors, and a mitigating factor of 10% was recognized in relation to the adoption of an adequate compliance program.</w:t>
      </w:r>
    </w:p>
    <w:p>
      <w:r>
        <w:t>7. Since the amount of the sanction thus calculated exceeded the maximum limit provided for by Article 15 of Law no. 287/90, it was brought back to that statutory limit of 10% of the total revenue generated by the company worldwide in the last financial year closed prior to the notification of the warning (p. 29 of the Guidelines).</w:t>
      </w:r>
    </w:p>
    <w:p>
      <w:r>
        <w:t>8. Considering the specific circumstances of the case, the Authority deemed it appropriate to apply point 34 of the Guidelines, which allows for motivated exceptions to the application of the same, believing it necessary to adjust the final sanction to the different positions of the Parties, with particular regard to the aggravating and mitigating circumstances recognized to them, without prejudice to the need to preserve a sufficient deterrent effect of the sanction. No reduction of the sanction was recognized to Gruppo Argenta, due to its decisive role in the promotion, organization, or monitoring of the contested behaviors, a circumstance not compensated by the recognition of a mitigating circumstance.</w:t>
      </w:r>
    </w:p>
    <w:p>
      <w:r>
        <w:t>III. THE PRONOUNCEMENT OF THE COUNCIL OF STATE</w:t>
      </w:r>
    </w:p>
    <w:p>
      <w:r>
        <w:t>9. With judgment no. 6025/2019, the Council of State ordered the Authority to re-determine the sanction previously imposed on Gruppo Argenta, within the limits indicated in the reasoning, without, however, proceeding directly to quantify the extent of the reduction to be applied.</w:t>
      </w:r>
    </w:p>
    <w:p>
      <w:r>
        <w:t>10. In particular, the Council of State held that: i) in the case of application of an increase by way of entry fee "it is necessary that the application of this amount is adequately justified. In this case, considering what emerges from the evidence, such specific justification is lacking"; and that ii) regarding the "application of the aggravating circumstance of ringleadership [...] the Authority, in the contested provision, did not provide such proof, as the reference to the list of friendly competitors is not sufficient."</w:t>
      </w:r>
    </w:p>
    <w:p>
      <w:r>
        <w:t>IV. THE INVESTIGATIVE ACTIVITY</w:t>
      </w:r>
    </w:p>
    <w:p>
      <w:r>
        <w:t>11. With provision no. 27924 of October 1, 2019, the Authority initiated a procedure for the re-determination of the sanction to be imposed on the company Gruppo Argenta, in contradiction with the aforementioned company, in application of the cited judgment of the Council of State no. 6025/2019.</w:t>
      </w:r>
    </w:p>
    <w:p>
      <w:r>
        <w:t>12. During the procedure, Gruppo Argenta had the opportunity to exercise its right of defense and was heard in a hearing on November 21, 2019.</w:t>
      </w:r>
    </w:p>
    <w:p>
      <w:r>
        <w:t>13. On January 15, 2020, the deadline for the closure of the investigative phase was communicated to Gruppo Argenta, set for January 27, 2020.</w:t>
      </w:r>
    </w:p>
    <w:p>
      <w:r>
        <w:t>14. On January 27, 2020, Gruppo Argenta stated that it shared the observations made by the Authority's offices in the communication of January 15, 2020 mentioned above, considering them in line with the conclusions of the aforementioned judgment of the Council of State.</w:t>
      </w:r>
    </w:p>
    <w:p>
      <w:r>
        <w:t>V. THE ARGUMENTS OF THE PARTY</w:t>
      </w:r>
    </w:p>
    <w:p>
      <w:r>
        <w:t>15. Regarding the increase by way of entry fee, Gruppo Argenta argues that the new amount of the fine cannot continue to be set at the maximum statutory limit, but must be reduced in application of the principle of proportionality which "imposes the necessary personalization of the penalty in light of the objective gravity, objective and subjective of the individual fact." Gruppo Argenta then observes that, given the illegitimacy of the application of the entry fee following the judgment of the Council of State, the amount of the sanction imposed on it should first be reduced by an amount equal to the percentage that, in the calculation of the aforementioned sanction, the AGCM had deemed appropriate to apply in order to increase its deterrent effect.</w:t>
      </w:r>
    </w:p>
    <w:p>
      <w:r>
        <w:t>16. Regarding the annulment of the aggravating factor for leadership, Gruppo Argenta argues that the position of the company should be evaluated in light of the application given by the Authority to Article 34 of the Guidelines in the original provision of ascertaining the infringement, in order to take into account the aggravating and mitigating circumstances individually applicable to the different companies. The company believes in particular that, based on the principles established by the judgment and in compliance with the principles of proportionality and equal treatment, the position of Gruppo Argenta should be equated to that of the companies: i) that did not play the role of leader of the agreement and ii) to which a mitigating circumstance was recognized for the adoption of an adequate antitrust compliance program (including Gruppo Argenta). According to Gruppo Argenta, the amount of the sanction should therefore be further reduced by 10%.</w:t>
      </w:r>
    </w:p>
    <w:p>
      <w:r>
        <w:t>VI. EVALUATIONS</w:t>
      </w:r>
    </w:p>
    <w:p>
      <w:r>
        <w:t>17. With judgment no. 6025/2020, the Council of State entrusted the Authority with the task of reducing the sanction already imposed on Gruppo Argenta, within the limits set out in the reasoning, consisting of the annulment of the components of the final sanction related to the increase by way of entry fee and the aggravating factor previously applied to Gruppo Argenta for its role in the illicit conduct.</w:t>
      </w:r>
    </w:p>
    <w:p>
      <w:r>
        <w:t>18. Therefore, the concrete re-determination of the sanction imposed with provision no. 26064 of June 8, 2016 against Gruppo Argenta is carried out in compliance with the cited judgment of the Council of State.</w:t>
      </w:r>
    </w:p>
    <w:p>
      <w:r>
        <w:t>19. Regarding the annulment of the component by way of entry fee of the originally imposed sanction, it is noted that, in this case, the mere application of the mathematical calculations set out in the Guidelines.</w:t>
      </w:r>
    </w:p>
    <w:p>
      <w:r>
        <w:rPr>
          <w:b/>
        </w:rPr>
        <w:t>[Pages 13–15]</w:t>
      </w:r>
    </w:p>
    <w:p>
      <w:r>
        <w:t>BULLETIN NO. 10 OF MARCH 9, 2020 15</w:t>
      </w:r>
    </w:p>
    <w:p>
      <w:r>
        <w:t>The Guidelines2 would not allow for an effective reduction of the final sanction, thereby failing to give useful effect to the judge's ruling. The sanction, in fact, even following the elimination of the entry fee, would continue to exceed the statutory limit of 10% of total revenue, and this should be taken into account. In this specific case, it is therefore deemed appropriate to apply a reduction of 15% to the final sanction originally imposed by provision no. 26064 of June 8, 2016.</w:t>
      </w:r>
    </w:p>
    <w:p>
      <w:r>
        <w:t>20. Regarding the removal of the increase resulting from the recognition of the aggravating factor for leadership, it is deemed appropriate to apply the criteria set forth in Article 34 of the Guidelines, as previously outlined in the aforementioned provision no. 26064. Therefore, since this is a company that was granted a mitigating factor in the original provision and that, following the ruling of the Council of State, finds itself without any aggravating circumstances, it is deemed appropriate to apply to Gruppo Argenta, pursuant to the aforementioned Article 34 of the Guidelines, a reduction of 10% from the sanction originally imposed.</w:t>
      </w:r>
    </w:p>
    <w:p>
      <w:r>
        <w:t>21. The final amount of the sanction thus recalculated is €14,682,075.</w:t>
      </w:r>
    </w:p>
    <w:p>
      <w:r>
        <w:t>All of the above having been stated and considered;</w:t>
      </w:r>
    </w:p>
    <w:p>
      <w:r>
        <w:t>IT IS THEREFORE CONSIDERED necessary to proceed, in compliance with the aforementioned ruling of the Council of State, to recalculate the sanction to be imposed on Gruppo Argenta S.p.A. for the established violation in the amount of €14,682,075 (fourteen million six hundred eighty-two thousand seventy-five euros);</w:t>
      </w:r>
    </w:p>
    <w:p>
      <w:r>
        <w:t>RESOLVES that the administrative pecuniary sanction to be applied to the company Gruppo Argenta S.p.A. for the behavior attributed to it in the Authority's provision no. 26064 of June 8, 2016, is quantified at €14,682,075 (fourteen million six hundred eighty-two thousand seventy-five euros).</w:t>
      </w:r>
    </w:p>
    <w:p>
      <w:r>
        <w:t>This provision will be notified to the interested party and published in the Bulletin of the Competition and Market Authority.</w:t>
      </w:r>
    </w:p>
    <w:p>
      <w:r>
        <w:t>2 Guidelines on the methods of applying the criteria for quantifying the administrative pecuniary sanctions imposed by the Authority in application of Article 15, paragraph 1, of Law no. 287/90.</w:t>
      </w:r>
    </w:p>
    <w:p>
      <w:r>
        <w:t>16 BULLETIN NO. 10 OF MARCH 9, 2020</w:t>
      </w:r>
    </w:p>
    <w:p>
      <w:r>
        <w:t>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r>
    </w:p>
    <w:p>
      <w:r>
        <w:t>THE SECRETARY GENERAL THE PRESIDENT</w:t>
        <w:br/>
        <w:t>Filippo Arena Roberto Rustichelli</w:t>
      </w:r>
    </w:p>
    <w:p>
      <w:r>
        <w:t>BULLETIN NO. 10 OF MARCH 9, 2020 17</w:t>
      </w:r>
    </w:p>
    <w:p>
      <w:r>
        <w:t>I783C3 - AGREEMENT BETWEEN OPERATORS IN THE VENDING SECTOR - REDETERMINATION OF THE SANCTION IVS ITALIA</w:t>
      </w:r>
    </w:p>
    <w:p>
      <w:r>
        <w:t>Provision no. 28151</w:t>
      </w:r>
    </w:p>
    <w:p>
      <w:r>
        <w:t>THE COMPETITION AND MARKET AUTHORITY</w:t>
      </w:r>
    </w:p>
    <w:p>
      <w:r>
        <w:t>IN ITS MEETING of February 18, 2020;</w:t>
      </w:r>
    </w:p>
    <w:p>
      <w:r>
        <w:t>HEARD the Rapporteur Dr. Gabriella Muscolo;</w:t>
      </w:r>
    </w:p>
    <w:p>
      <w:r>
        <w:t>VIEWED Law no. 287 of October 10, 1990;</w:t>
      </w:r>
    </w:p>
    <w:p>
      <w:r>
        <w:t>VIEWED its resolution of October 22, 2014, with which the Guidelines on the methods of applying the criteria for quantifying the administrative pecuniary sanctions imposed by the Authority in application of Article 15, paragraph 1, of Law no. 287/90 (hereinafter, briefly, "Guidelines") were adopted;</w:t>
      </w:r>
    </w:p>
    <w:p>
      <w:r>
        <w:t>VIEWED its provision no. 26064 of June 8, 2016, adopted at the conclusion of procedure no. I783 - Agreement between operators in the vending sector, with which the Authority established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in violation of Article 101 TFEU, sanctioning the aforementioned companies;</w:t>
      </w:r>
    </w:p>
    <w:p>
      <w:r>
        <w:t>VIEWED that for the established violation, due to the seriousness and duration of the infringement, an administrative pecuniary sanction of €31,917,662 was imposed on IVS Italia S.p.A.;</w:t>
      </w:r>
    </w:p>
    <w:p>
      <w:r>
        <w:t>VIEWED the ruling of the Council of State, Section VI, no. 6022 of September 2, 2019, with which, in partial acceptance of the appeal by IVS Italia S.p.A. for the reform of the ruling of TAR Lazio, Section I, no. 9048 of July 28, 2017, the main appeal of the Authority was rejected and the aforementioned provision no. 26064 of June 8, 2016 was annulled only in the part concerning the determination of the sanction imposed on IVS Italia S.p.A.;</w:t>
      </w:r>
    </w:p>
    <w:p>
      <w:r>
        <w:t>VIEWED the reasoning part of the ruling in which the Council of State considered that: i) in the case of application of an increase as an entry fee "the application of such amount must be adequately justified. In this case, considering what emerges from the evidence, such specific justification is lacking"; and that ii) "Regarding the application of the aggravating circumstance of cartel ringleader [...] the Authority, with the contested provision, did not provide such proof, as the references to the company's diffusion in the territory and the circumstance of being consulted by competitors are insufficient due to their generality";</w:t>
      </w:r>
    </w:p>
    <w:p>
      <w:r>
        <w:t>CONSIDERED that the Council of State has entrusted the Authority with the task of redetermining the sanction imposed on IVS Italia S.p.A.;</w:t>
      </w:r>
    </w:p>
    <w:p>
      <w:r>
        <w:rPr>
          <w:b/>
        </w:rPr>
        <w:t>[Pages 16–18]</w:t>
      </w:r>
    </w:p>
    <w:p>
      <w:r>
        <w:t>18 BULLETIN NO. 10 OF MARCH 9, 2020</w:t>
      </w:r>
    </w:p>
    <w:p>
      <w:r>
        <w:t>HAVING REGARD to its provision no. 27925 of October 1, 2019, with which the Authority initiated a procedure for the re-determination of the sanction to be imposed on IVS Italia S.p.A., in contradiction with the aforementioned company, in application of the cited ruling of the Council of State;</w:t>
      </w:r>
    </w:p>
    <w:p>
      <w:r>
        <w:t>HAVING REGARD AND CONSIDERING what was stated by IVS Italia S.p.A. in the communication of November 20, 2019, and in the hearing of November 22, 2019;</w:t>
      </w:r>
    </w:p>
    <w:p>
      <w:r>
        <w:t>HAVING REGARD to the letter of January 15, 2020, with which the deadline for the closure of the investigative phase was communicated to IVS Italia S.p.A.;</w:t>
      </w:r>
    </w:p>
    <w:p>
      <w:r>
        <w:t>HAVING REGARD to the note from IVS Italia S.p.A. of January 24, 2020;</w:t>
      </w:r>
    </w:p>
    <w:p>
      <w:r>
        <w:t>HAVING REGARD to all the acts of the procedure;</w:t>
      </w:r>
    </w:p>
    <w:p>
      <w:r>
        <w:t>CONSIDERING the following:</w:t>
      </w:r>
    </w:p>
    <w:p>
      <w:r>
        <w:t>I. THE PARTY</w:t>
      </w:r>
    </w:p>
    <w:p>
      <w:r>
        <w:t>1. IVS Italia S.p.A. (hereinafter also IVS Italia) is a company active in Italy in the vending sector. In particular, at the time of the infringement contestation, the Party operated, both directly and indirectly, in management. The total revenue generated worldwide by IVS in 2015 amounted to €319,176,615.</w:t>
      </w:r>
    </w:p>
    <w:p>
      <w:r>
        <w:t>II. THE PREVIOUS DECISION OF THE AUTHORITY</w:t>
      </w:r>
    </w:p>
    <w:p>
      <w:r>
        <w:t>2. With its resolution no. 26064, adopted in the meeting of June 8, 2016 (hereinafter also the sanctioning provision), the Authority found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engaged in an anti-competitive agreement pursuant to Article 101 of the Treaty on the Functioning of the European Union, consisting of the coordination of commercial policies aimed at limiting competitive comparison among the companies involved on prices, operational territorial areas, and respective clientele in the Italian market for services related to the management of automatic and semi-automatic vending machines (hereinafter, the provision).</w:t>
      </w:r>
    </w:p>
    <w:p>
      <w:r>
        <w:t>3. With the provision, the Authority imposed monetary sanctions on all the Parties involved in the procedure; the sanction imposed on IVS Italia amounted to €31,917,662.</w:t>
      </w:r>
    </w:p>
    <w:p>
      <w:r>
        <w:t>4. For the purpose of quantifying the sanction, the criteria and calculation methods set out in the Guidelines were adopted. The Authority then proceeded to quantify the base amount of the sanction, defined as a percentage of 20% of the value of sales made in the relevant market and the duration of the infringement. In particular, the value of sales of the affected services was referenced, and thus, the revenue derived from the management of vending machines and OCS machines, generated by the Party in the last full year of participation in the infringement, net of VAT and other taxes. The value of sales also takes into account sales made in the relevant market through controlled companies, regardless of whether they participated in the infringement. In fact, the share of total revenue coming, directly or indirectly, from the sale of the products subject to the infringement constitutes the most suitable element to reflect the economic importance of the infringement itself and the relative weight of the company involved in the infringement (p. 7 et seq. of the following Guidelines).</w:t>
      </w:r>
    </w:p>
    <w:p>
      <w:r>
        <w:t>5. Due to the seriousness of the infringement and in order to give the sanction the necessary deterrent character, the base amount was increased by a supplementary amount (so-called entry fee), equal to 15% of the specific revenue (p. 17 of the Guidelines).</w:t>
      </w:r>
    </w:p>
    <w:p>
      <w:r>
        <w:t>6. Specific responsibilities in the infringement of the different companies involved in the procedure were then taken into account, applying reductions and increases to the base amount; the aggravating factor for leadership was applied to IVS Italia at a rate of 15%, and a mitigating factor of 10% was recognized for having adopted compliance programs (p. 19-21 and 23 of the Guidelines).</w:t>
      </w:r>
    </w:p>
    <w:p>
      <w:r>
        <w:t>7. Since the amount of the sanction thus calculated exceeded the maximum limit provided for by Article 15 of Law no. 287/90, it was brought back to that edictal limit of 10% of the total revenue generated by the company worldwide in the last financial year closed prior to the notification of the warning (p. 29 of the Guidelines).</w:t>
      </w:r>
    </w:p>
    <w:p>
      <w:r>
        <w:t>8. Considering the specific circumstances of the case, the Authority deemed it appropriate to apply point 34 of the Guidelines, which allows for justified derogations from their application, believing it necessary to adjust the final sanction to the different positions of the Parties, with particular regard to the aggravating and mitigating circumstances recognized to them, without prejudice to the need to preserve a sufficient deterrent effect of the sanction. No reduction of the sanction was recognized to IVS Italia, due to its decisive role in promoting, organizing, or monitoring the contested conduct.</w:t>
      </w:r>
    </w:p>
    <w:p>
      <w:r>
        <w:t>III. THE RULING OF THE COUNCIL OF STATE</w:t>
      </w:r>
    </w:p>
    <w:p>
      <w:r>
        <w:t>9. With ruling no. 6022/2019, the Council of State ordered the Authority to re-determine the sanction previously imposed on IVS Italia, within the limits indicated in the motivation, without, however, proceeding directly to quantify the extent of the reduction to be applied.</w:t>
      </w:r>
    </w:p>
    <w:p>
      <w:r>
        <w:t>10. In particular, the Council of State held that: i) in the case of application of an increase as an entry fee, "the application of such an amount must be adequately justified. In this case, considering what emerges from the evidence, such specific justification is lacking," and that ii) "Regarding the application of the aggravating circumstance of cartel ringleader [...] the Authority, with the contested provision, did not provide such proof, as the references to the company's diffusion in the territory and the circumstance of being consulted by competitors are insufficient due to their generality."</w:t>
      </w:r>
    </w:p>
    <w:p>
      <w:r>
        <w:t>IV. THE INVESTIGATIVE ACTIVITY</w:t>
      </w:r>
    </w:p>
    <w:p>
      <w:r>
        <w:t>11. With provision no. 27925 of October 1, 2019, the Authority initiated a procedure for the re-determination of the sanction to be imposed on IVS Italia, in contradiction with the aforementioned company, in application of the cited ruling of the Council of State no. 6022/2019.</w:t>
      </w:r>
    </w:p>
    <w:p>
      <w:r>
        <w:t>12. During the procedure, IVS Italia had the opportunity to exercise its right of defense, submitting a memorandum on November 20, 2019, and during the hearing it requested, which took place on the following November 22.</w:t>
      </w:r>
    </w:p>
    <w:p>
      <w:r>
        <w:t>13. On January 15, 2020, the deadline for the closure of the investigative phase was communicated to IVS Italia, set for January 27, 2020.</w:t>
      </w:r>
    </w:p>
    <w:p>
      <w:r>
        <w:t>14. On January 24, 2020, IVS Italia stated that it had "no observations regarding the approach and methodology used for the re-determination of the imposed sanction," as expressed in the letter communicating the procedural deadline of January 15, 2020.</w:t>
      </w:r>
    </w:p>
    <w:p>
      <w:r>
        <w:t>V. THE ARGUMENTS OF THE PARTY</w:t>
      </w:r>
    </w:p>
    <w:p>
      <w:r>
        <w:t>15. IVS Italia recalled the principle that requires ensuring the useful effect of the rulings of the administrative judge. To this end, the calculation base of the new sanction to be imposed could only consist of the previously imposed amount, reflecting the annulment of the entry fee and the aggravating factor of cartel ringleader, as well as considering that IVS Italia has implemented an antitrust compliance program, deemed suitable to result in a 10% reduction of the sanction. IVS emphasized that it has also rigorously applied the compliance program.</w:t>
      </w:r>
    </w:p>
    <w:p>
      <w:r>
        <w:t>16. IVS Italia also highlighted that the entry fee and the aggravating factor of cartel ringleader are two specific components that directly reflect on the assessment of the severity of the contested behavior. Moreover, in cases where the judge has deemed that the final sanction to be imposed remained unchanged, despite the annulment of some components considered by the Authority, it has expressly stated this in the ruling, which would not have occurred in the present case. Finally, IVS Italia noted that, being a single-product company, a sanction equal to 10% of revenue would have a hardly sustainable impact.</w:t>
      </w:r>
    </w:p>
    <w:p>
      <w:r>
        <w:t>VI. EVALUATIONS</w:t>
      </w:r>
    </w:p>
    <w:p>
      <w:r>
        <w:t>17. With ruling no. 6022/2020, the Council of State mandated the Authority to reduce the sanction already imposed on IVS Italia, within the limits set out in the motivation, consisting of the annulment of the component of the final sanction imposed as an entry fee and that of the aggravating factor previously recognized for IVS Italia's role in the illicit conduct.</w:t>
      </w:r>
    </w:p>
    <w:p>
      <w:r>
        <w:t>18. Therefore, the following proceeds, in compliance with the cited ruling of the Council of State, to the concrete re-determination of the sanction imposed with provision no. 26064 of June 8, 2016, against IVS Italia.</w:t>
      </w:r>
    </w:p>
    <w:p>
      <w:r>
        <w:t>19. Regarding the annulment of the component as an entry fee of the originally imposed sanction, it is noted that, in this case, the mere application of the mathematical calculations set out in the Guidelines would not allow for an actual reduction of the final sanction, thus failing to give useful effect to the ruling of the judge. The sanction, in fact, even following the elimination of the entry fee, would continue to exceed the edictal limit of 10% of total global revenue, and it should be brought back to this. It is therefore deemed appropriate to apply a reduction of 15% to the final sanction originally imposed with provision no. 26064 of June 8, 2016.</w:t>
      </w:r>
    </w:p>
    <w:p>
      <w:r>
        <w:t>20. As for the removal of the increase resulting from the recognition of the aggravating factor for leadership, it is deemed appropriate to apply the criteria set out in Article 34 of the Guidelines, as previously outlined in the cited provision no. 26064. Therefore, since it is a company that was recognized a mitigating factor in the original provision and that, following the ruling of the Council of State, finds itself without any circumstance...</w:t>
      </w:r>
    </w:p>
    <w:p>
      <w:r>
        <w:rPr>
          <w:b/>
        </w:rPr>
        <w:t>[Pages 19–21]</w:t>
      </w:r>
    </w:p>
    <w:p>
      <w:r>
        <w:t>BULLETIN NO. 10 OF MARCH 9, 2020 21</w:t>
      </w:r>
    </w:p>
    <w:p>
      <w:r>
        <w:t>aggravating circumstances, it is deemed appropriate to apply to IVS Italia, pursuant to the aforementioned Article 34 of the Guidelines, a reduction of 10% from the originally imposed sanction.</w:t>
      </w:r>
    </w:p>
    <w:p>
      <w:r>
        <w:t>21. The final amount of the sanction thus recalculated is therefore equal to €23,938,246.</w:t>
      </w:r>
    </w:p>
    <w:p>
      <w:r>
        <w:t>All of the above having been stated and considered;</w:t>
      </w:r>
    </w:p>
    <w:p>
      <w:r>
        <w:t>CONSIDERED, therefore, that it is necessary to proceed, in compliance with the aforementioned ruling of the Council of State, to recalculate the sanction to be imposed on IVS Italia S.p.A. for the established violation in the amount of €23,938,246 (twenty-three million nine hundred thirty-eight thousand two hundred forty-six euros);</w:t>
      </w:r>
    </w:p>
    <w:p>
      <w:r>
        <w:t>RESOLVES</w:t>
      </w:r>
    </w:p>
    <w:p>
      <w:r>
        <w:t>that the administrative pecuniary sanction to be applied to IVS Italia S.p.A. for the behavior attributed to it in the Authority's provision no. 26064 of June 8, 2016, is quantified at €23,938,246 (twenty-three million nine hundred thirty-eight thousand two hundred forty-six euros).</w:t>
      </w:r>
    </w:p>
    <w:p>
      <w:r>
        <w:t>This provision will be notified to the interested party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communication of this Provision,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this Provision.</w:t>
      </w:r>
    </w:p>
    <w:p>
      <w:r>
        <w:t xml:space="preserve">THE SECRETARY GENERAL THE PRESIDENT </w:t>
        <w:br/>
        <w:t>Filippo Arena Roberto Rustichelli</w:t>
      </w:r>
    </w:p>
    <w:p>
      <w:r>
        <w:t>22 BULLETIN NO. 10 OF MARCH 9, 2020</w:t>
      </w:r>
    </w:p>
    <w:p>
      <w:r>
        <w:t>I783C4 - AGREEMENT BETWEEN OPERATORS IN THE VENDING SECTOR - REDETERMINATION OF THE GESA SANCTION</w:t>
      </w:r>
    </w:p>
    <w:p>
      <w:r>
        <w:t>Provision no. 28152</w:t>
      </w:r>
    </w:p>
    <w:p>
      <w:r>
        <w:t>THE COMPETITION AND MARKET AUTHORITY</w:t>
      </w:r>
    </w:p>
    <w:p>
      <w:r>
        <w:t>IN ITS MEETING of February 18, 2020;</w:t>
      </w:r>
    </w:p>
    <w:p>
      <w:r>
        <w:t>HEARD the Rapporteur Dr. Gabriella Muscolo;</w:t>
      </w:r>
    </w:p>
    <w:p>
      <w:r>
        <w:t>VIEWED Law No. 287 of October 10, 1990;</w:t>
      </w:r>
    </w:p>
    <w:p>
      <w:r>
        <w:t>VIEWED its resolution of October 22, 2014, with which the Guidelines on the application methods of the criteria for quantifying administrative pecuniary sanctions imposed by the Authority in application of Article 15, paragraph 1, of Law No. 287/90 (hereinafter, briefly, "Guidelines") were adopted;</w:t>
      </w:r>
    </w:p>
    <w:p>
      <w:r>
        <w:t>VIEWED its provision no. 26064 of June 8, 2016, adopted at the conclusion of procedure no. I/783 - Agreement between operators in the vending sector, with which the Authority established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coordinating commercial policies aimed at limiting competitive comparison among the companies involved on prices, operational territorial areas, and respective clientele in the Italian market for services related to the management of automatic and semi-automatic vending machines, constituted a restrictive agreement of competition in violation of Article 101 of the TFEU, sanctioning the aforementioned companies;</w:t>
      </w:r>
    </w:p>
    <w:p>
      <w:r>
        <w:t>VIEWED that for the established violation, due to the seriousness and duration of the infringement, an administrative pecuniary sanction of €6,579,942 was imposed on GE.SA S.p.A.;</w:t>
      </w:r>
    </w:p>
    <w:p>
      <w:r>
        <w:t>VIEWED the ruling of the Council of State, Section VI, no. 6027 of September 2, 2019, which, accepting the appeal of GE.SA. S.p.A. for the reform of the ruling of the TAR Lazio, Section I, no. 9051 of July 28, 2017, annulled provision no. 26064 of June 8, 2016, solely in the part relating to the determination of the sanction imposed on GE.SA. S.p.A.;</w:t>
      </w:r>
    </w:p>
    <w:p>
      <w:r>
        <w:t>VIEWED the reasoning part of the ruling in which the Council of State held that: i) in the case of applying an increase as an entry fee "the application of such an amount must be adequately justified. In this case, considering what emerges from the evidence, such specific justification is lacking"; and that ii) regarding the "application of the aggravating circumstance of ringleadership [...] the Authority, in the contested provision, did not provide such proof, as the reference to some emails in which there is a generic reference to meetings held is not sufficient";</w:t>
      </w:r>
    </w:p>
    <w:p>
      <w:r>
        <w:t>CONSIDERED that the Council of State has entrusted the Authority with recalculating the sanction to be imposed on GE.SA. S.p.A.;</w:t>
      </w:r>
    </w:p>
    <w:p>
      <w:r>
        <w:t>BULLETIN NO. 10 OF MARCH 9, 2020 23</w:t>
      </w:r>
    </w:p>
    <w:p>
      <w:r>
        <w:t>VIEWED its provision no. 27926 of October 1, 2019, with which the Authority initiated a procedure for the recalculation of the sanction to be imposed on GE.SA. S.p.A., in contradiction with the aforementioned company, in application of the cited ruling of the Council of State;</w:t>
      </w:r>
    </w:p>
    <w:p>
      <w:r>
        <w:t>VIEWED AND CONSIDERED what was noted by GE.SA S.p.A. in the hearing of December 3, 2019;</w:t>
      </w:r>
    </w:p>
    <w:p>
      <w:r>
        <w:t>VIEWED the letter of January 15, 2020, with which the deadline for the closure of the investigative phase was communicated to GE.SA S.p.A.;</w:t>
      </w:r>
    </w:p>
    <w:p>
      <w:r>
        <w:t>VIEWED all the acts of the procedure;</w:t>
      </w:r>
    </w:p>
    <w:p>
      <w:r>
        <w:t>CONSIDERED the following:</w:t>
      </w:r>
    </w:p>
    <w:p>
      <w:r>
        <w:t>I. THE PARTY</w:t>
      </w:r>
    </w:p>
    <w:p>
      <w:r>
        <w:t>1. GE.SA S.p.A. (hereinafter also GE.SA) is a company active in Italy in the vending sector, which, at the time of the infringement contestation, operated particularly in management. The total revenue generated worldwide by GE.SA in 2015 was €65,799,418.</w:t>
      </w:r>
    </w:p>
    <w:p>
      <w:r>
        <w:t>II. THE PREVIOUS DECISION OF THE AUTHORITY</w:t>
      </w:r>
    </w:p>
    <w:p>
      <w:r>
        <w:t>2. By its resolution no. 26064, adopted in the meeting of June 8, 2016 (hereinafter also the sanctioning provision), the Authority established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engaged in a restrictive agreement of competition pursuant to Article 101 of the Treaty on the Functioning of the European Union, consisting of coordinating commercial policies aimed at limiting competitive comparison among the companies involved on prices, operational territorial areas, and respective clientele in the Italian market for services related to the management of automatic and semi-automatic vending machines (hereinafter, the provision).</w:t>
      </w:r>
    </w:p>
    <w:p>
      <w:r>
        <w:t>3. By the provision, the Authority imposed pecuniary sanctions on all parties involved in the procedure; the sanction imposed on GE.SA was €6,579,942.</w:t>
      </w:r>
    </w:p>
    <w:p>
      <w:r>
        <w:t>4. For the purposes of quantifying the sanction, the criteria and calculation methods set out in the Guidelines were adopted. The Authority then proceeded to quantify the base amount of the sanction, defined based on a percentage of 20% of the value of sales made in the relevant market and the duration of the infringement. In particular, the value of sales of the affected services was referenced, and thus the revenue derived from the management of vending machines and OCS machines, generated by the Party in the last full year of participation in the infringement, net of VAT and other taxes. The value of sales also takes into account sales made in the relevant market through controlled companies, regardless of whether they participated in the infringement. In fact, the share of total revenue derived, directly or indirectly, from the sale of the products subject to the infringement constitutes the most suitable element to reflect the economic importance of the infringement itself and the relative weight of the company involved in the infringement (p. 7 et seq. of the following Guidelines).</w:t>
      </w:r>
    </w:p>
    <w:p>
      <w:r>
        <w:rPr>
          <w:b/>
        </w:rPr>
        <w:t>[Pages 22–24]</w:t>
      </w:r>
    </w:p>
    <w:p>
      <w:r>
        <w:t>24 BULLETIN NO. 10 OF MARCH 9, 2020</w:t>
      </w:r>
    </w:p>
    <w:p>
      <w:r>
        <w:t>5. Due to the seriousness of the infringement and in order to give the sanction the necessary deterrent character, the base amount has been increased by an additional amount (so-called entry fee), equal to 15% of the specific turnover (p. 17 of the Guidelines).</w:t>
      </w:r>
    </w:p>
    <w:p>
      <w:r>
        <w:t>6. Specific responsibilities in the infringement of the various companies involved in the proceedings have been taken into account, applying reductions and increases to the base amount; the company GE.SA has been subjected to an aggravating factor for leadership in the amount of 15% and has been granted a mitigating factor of 10% for having adopted compliance programs (p. 19-21 and 23 of the Guidelines).</w:t>
      </w:r>
    </w:p>
    <w:p>
      <w:r>
        <w:t>7. Since the amount of the sanction thus calculated exceeded the maximum limit set by Article 15 of Law No. 287/90, it has been brought back to that statutory limit of 10% of the total turnover achieved by the company worldwide in the last financial year closed prior to the notification of the warning (p. 29 of the Guidelines).</w:t>
      </w:r>
    </w:p>
    <w:p>
      <w:r>
        <w:t>8. Considering the specific circumstances of the case, the Authority deemed it appropriate to apply point 34 of the Guidelines, which allows for justified exceptions to their application, believing it necessary to adjust the final sanction to the different positions of the Parties, with particular regard to the aggravating and mitigating circumstances recognized to them, while preserving the need to maintain a sufficient deterrent effect of the sanction. No reduction of the sanction has been recognized to GE.SA, due to its decisive role in promoting, organizing, or monitoring the contested behaviors, a circumstance not compensated by the recognition of a mitigating circumstance.</w:t>
      </w:r>
    </w:p>
    <w:p>
      <w:r>
        <w:t>III. THE RULING OF THE COUNCIL OF STATE</w:t>
      </w:r>
    </w:p>
    <w:p>
      <w:r>
        <w:t>9. With judgment No. 6027/2019, the Council of State ordered the Authority to redetermine the sanction previously imposed on GE.SA, within the limits indicated in the reasoning, without, however, proceeding directly to quantify the extent of the reduction to be applied.</w:t>
      </w:r>
    </w:p>
    <w:p>
      <w:r>
        <w:t>10. In particular, the Council of State held that: i) in the case of applying an increase as an entry fee "it is necessary that the application of this amount is adequately justified. In this case, considering what emerges from the evidence, such specific justification is lacking"; and that ii) "Regarding the application of the aggravating circumstance of cartel ring leadership [...] the Authority, in the contested provision, did not provide such proof, as the reference to some emails in which there is a generic reference to meetings held is not sufficient."</w:t>
      </w:r>
    </w:p>
    <w:p>
      <w:r>
        <w:t>IV. THE INVESTIGATIVE ACTIVITY</w:t>
      </w:r>
    </w:p>
    <w:p>
      <w:r>
        <w:t>11. With provision No. 27926 of October 1, 2019, the Authority initiated a procedure for the redetermination of the sanction to be imposed on the company GE.SA, in contradiction with the aforementioned company, in application of the aforementioned judgment of the Council of State No. 6027/2019.</w:t>
      </w:r>
    </w:p>
    <w:p>
      <w:r>
        <w:t>12. During the proceedings, GE.SA had the opportunity to exercise its right of defense, submitting a memorandum during the hearing it requested, which took place on December 3, 2019.</w:t>
      </w:r>
    </w:p>
    <w:p>
      <w:r>
        <w:t>13. On January 15, 2020, the deadline for closing the investigative phase was communicated to GE.SA, set for January 27, 2020.</w:t>
      </w:r>
    </w:p>
    <w:p>
      <w:r>
        <w:t>14. GE.SA did not submit any further memoranda by that deadline.</w:t>
      </w:r>
    </w:p>
    <w:p>
      <w:r>
        <w:t>BULLETIN NO. 10 OF MARCH 9, 2020 25</w:t>
      </w:r>
    </w:p>
    <w:p>
      <w:r>
        <w:t>V. THE ARGUMENTS OF THE PARTY</w:t>
      </w:r>
    </w:p>
    <w:p>
      <w:r>
        <w:t>15. GE.SA represented that, as a result of the judgment of the Council of State which recognized a lack of motivation in the Authority's resolution, both regarding the application of the entry fee and that of the organizational aggravating factor (ring leadership), the company would be entitled to a reduction of the final amount of the sanction, equal to 15% for each of these components, corresponding to the percentage of the aggravating factor for ring leadership and for the entry fee that have been eliminated.</w:t>
      </w:r>
    </w:p>
    <w:p>
      <w:r>
        <w:t>16. The first reduction would also be imposed in analogy with other parties in the original proceedings (Supermatic – DAI, Confida, Sellmat, Sogeda, and Ovdamatic), for which the Authority has already reduced the amount of the sanction by that measure. The second, as the entry fee operates like any other mitigating/aggravating circumstance and must deserve a corresponding weight in the final amount, from which it must be deducted, as it relates to a sanctioning component annulled by the judge.</w:t>
      </w:r>
    </w:p>
    <w:p>
      <w:r>
        <w:t>17. Finally, GE.SA emphasized that, even following this overall reduction of 30%, the final sanction would still retain its deterrent effect and reflect the principle of proportionality compared to other parties in the proceedings that have benefited from significant reductions.</w:t>
      </w:r>
    </w:p>
    <w:p>
      <w:r>
        <w:t>VI. EVALUATIONS</w:t>
      </w:r>
    </w:p>
    <w:p>
      <w:r>
        <w:t>18. With judgment No. 6027/2020, the Council of State entrusted the Authority with the task of reducing the sanction already imposed on GE.SA, within the limits set out in the reasoning, consisting of the annulment of the component of the final sanction imposed as an entry fee and that of the aggravating factor previously recognized for GE.SA's role in the infringement.</w:t>
      </w:r>
    </w:p>
    <w:p>
      <w:r>
        <w:t>19. Therefore, the concrete redetermination of the sanction imposed by provision No. 26064 of June 8, 2016, against GE.SA is carried out in compliance with the aforementioned judgment of the Council of State.</w:t>
      </w:r>
    </w:p>
    <w:p>
      <w:r>
        <w:t>20. Regarding the annulment of the component as an entry fee of the originally imposed sanction, it is noted that, in this case, the mere application of the mathematical calculations provided in the Guidelines would not allow for an effective reduction of the final sanction, thus failing to give useful effect to the judge's ruling. The sanction, in fact, even after the elimination of the entry fee, would continue to exceed the statutory limit of 10% of the global turnover, and it should be brought back to this. It is therefore deemed appropriate to apply a reduction of 15% to the originally imposed final sanction with provision No. 26064 of June 8, 2016.</w:t>
      </w:r>
    </w:p>
    <w:p>
      <w:r>
        <w:t>21. As for the removal of the increase resulting from the recognition of the leadership aggravating factor, it is deemed appropriate to apply the criteria set out in Article 34 of the Guidelines, as previously outlined in the aforementioned provision No. 26064. Therefore, since it is a company that was granted a mitigating factor in the original provision and that, following the ruling of the Council of State, finds itself without any aggravating circumstance, it is deemed appropriate to apply to GE.SA, pursuant to the aforementioned Article 34 of the Guidelines, a reduction compared to the originally imposed sanction of 10%.</w:t>
      </w:r>
    </w:p>
    <w:p>
      <w:r>
        <w:t>22. The final amount of the sanction thus redetermined, which applies the same percentages of increases already identified in the original provision, is therefore equal to €4,934,956.</w:t>
      </w:r>
    </w:p>
    <w:p>
      <w:r>
        <w:t>All of the above having been stated and considered;</w:t>
      </w:r>
    </w:p>
    <w:p>
      <w:r>
        <w:t>26 BULLETIN NO. 10 OF MARCH 9, 2020</w:t>
      </w:r>
    </w:p>
    <w:p>
      <w:r>
        <w:t>CONSIDERED, therefore, that it is necessary to proceed, in compliance with the aforementioned judgment of the Council of State, to redetermine the sanction to be imposed on GE.SA S.p.A. for the established violation in the amount of €4,934,956 (four million nine hundred thirty-four thousand nine hundred fifty-six euros);</w:t>
      </w:r>
    </w:p>
    <w:p>
      <w:r>
        <w:t>RESOLVES</w:t>
      </w:r>
    </w:p>
    <w:p>
      <w:r>
        <w:t>that the administrative pecuniary sanction to be applied to the company GE.SA S.p.A., for the behavior attributed to it in the Authority's provision No. 26064 of June 8, 2016, is quantified in the amount of €4,934,956 (four million nine hundred thirty-four thousand nine hundred fifty-six euros).</w:t>
      </w:r>
    </w:p>
    <w:p>
      <w:r>
        <w:t>This provision will be notified to the interested party and published in the Bulletin of the Competition and Market Authority.</w:t>
      </w:r>
    </w:p>
    <w:p>
      <w:r>
        <w:t>Against this Provision, an appeal may be filed with the TAR of Lazio, pursuant to Article 135, paragraph 1, letter b), of the Code of Administrative Procedure (Legislative Decree of July 2, 2010, No. 104), within sixty days from the date of communication of this Provision,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twenty days from the date of notification of this Provision.</w:t>
      </w:r>
    </w:p>
    <w:p>
      <w:r>
        <w:t>THE SECRETARY GENERAL THE PRESIDENT</w:t>
      </w:r>
    </w:p>
    <w:p>
      <w:r>
        <w:t>Filippo Arena Roberto Rustichelli</w:t>
      </w:r>
    </w:p>
    <w:p>
      <w:r>
        <w:rPr>
          <w:b/>
        </w:rPr>
        <w:t>[Pages 25–27]</w:t>
      </w:r>
    </w:p>
    <w:p>
      <w:r>
        <w:t>BULLETIN NO. 10 OF MARCH 9, 2020 27</w:t>
      </w:r>
    </w:p>
    <w:p>
      <w:r>
        <w:t>I783C5 - AGREEMENT AMONG OPERATORS IN THE VENDING SECTOR - REDETERMINATION OF THE SANCTION SERIM</w:t>
      </w:r>
    </w:p>
    <w:p>
      <w:r>
        <w:t>Provision No. 28153</w:t>
      </w:r>
    </w:p>
    <w:p>
      <w:r>
        <w:t>THE ANTITRUST AUTHORITY</w:t>
      </w:r>
    </w:p>
    <w:p>
      <w:r>
        <w:t>IN ITS MEETING of February 18, 2020;</w:t>
      </w:r>
    </w:p>
    <w:p>
      <w:r>
        <w:t>HEARD the Rapporteur Dr. Gabriella Muscolo;</w:t>
      </w:r>
    </w:p>
    <w:p>
      <w:r>
        <w:t>HAVING REGARD to Law No. 287 of October 10, 1990;</w:t>
      </w:r>
    </w:p>
    <w:p>
      <w:r>
        <w:t>HAVING REGARD to its resolution of October 22, 2014, which adopted the Guidelines on the methods of application of the criteria for quantifying administrative monetary sanctions imposed by the Authority in application of Article 15, paragraph 1, of Law No. 287/90 (hereinafter, briefly, "Guidelines");</w:t>
      </w:r>
    </w:p>
    <w:p>
      <w:r>
        <w:t>HAVING REGARD to its provision No. 26064 of June 8, 2016, adopted at the conclusion of proceeding No. I783 - Agreement among operators in the vending sector, with which the Authority found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constituted a restrictive agreement in violation of Article 101 TFEU, sanctioning the aforementioned companies;</w:t>
      </w:r>
    </w:p>
    <w:p>
      <w:r>
        <w:t>HAVING REGARD that for the established violation, due to the seriousness and duration of the infringement, an administrative monetary sanction of €4,116,696 was imposed on Serim S.r.l.;</w:t>
      </w:r>
    </w:p>
    <w:p>
      <w:r>
        <w:t>HAVING REGARD to the ruling of the Council of State, Section VI, No. 5564 of August 5, 2019, which, in accepting the appeal of Serim S.r.l. for the reform of the ruling of the Lazio TAR, Section I, No. 9068 of July 28, 2017, annulled provision No. 26064 of June 8, 2016, only in the part relating to the determination of the sanction imposed on Serim S.r.l.;</w:t>
      </w:r>
    </w:p>
    <w:p>
      <w:r>
        <w:t>HAVING REGARD to the reasoning part of the ruling in which the Council of State held that: i) in the case of applying an increase as an entry fee "the application of such amount must be adequately justified. In this case, considering the marginal role of the appellant company, such specific justification was lacking"; and that ii) "the elements that emerged during the proceeding 'should have led, due to the role of the appellant company, the Authority to apply a mitigating circumstance, reducing the imposed sanction by 15%";</w:t>
      </w:r>
    </w:p>
    <w:p>
      <w:r>
        <w:t>CONSIDERING that the Council of State has entrusted the Authority with recalculating the sanction to be imposed on Serim S.r.l.;</w:t>
      </w:r>
    </w:p>
    <w:p>
      <w:r>
        <w:t>28 BULLETIN NO. 10 OF MARCH 9, 2020</w:t>
      </w:r>
    </w:p>
    <w:p>
      <w:r>
        <w:t>HAVING REGARD to provision No. 27927 of October 1, 2019, with which the Authority initiated a proceeding for the redetermination of the sanction to be imposed on Serim S.r.l., in contradiction with the aforementioned company, in application of the cited ruling of the Council of State;</w:t>
      </w:r>
    </w:p>
    <w:p>
      <w:r>
        <w:t>HAVING REGARD AND CONSIDERED what was noted by Serim S.r.l. in the memorandum of November 27, 2019, and in the hearing of December 5;</w:t>
      </w:r>
    </w:p>
    <w:p>
      <w:r>
        <w:t>HAVING REGARD to the letter of January 15, 2020, with which the deadline for the closure of the investigative phase was communicated to Serim S.r.l.;</w:t>
      </w:r>
    </w:p>
    <w:p>
      <w:r>
        <w:t>HAVING REGARD to all the acts of the proceeding;</w:t>
      </w:r>
    </w:p>
    <w:p>
      <w:r>
        <w:t>CONSIDERING the following:</w:t>
      </w:r>
    </w:p>
    <w:p>
      <w:r>
        <w:t>I. THE PARTY</w:t>
      </w:r>
    </w:p>
    <w:p>
      <w:r>
        <w:t>1. Serim S.r.l. (hereinafter also Serim) is a company active in Italy in the vending sector, which, at the time of the infringement contestation, operated, both directly and indirectly, particularly in management. The total revenue generated worldwide by Serim in 2015 was €43,333,637.</w:t>
      </w:r>
    </w:p>
    <w:p>
      <w:r>
        <w:t>II. THE PREVIOUS DECISION OF THE AUTHORITY</w:t>
      </w:r>
    </w:p>
    <w:p>
      <w:r>
        <w:t>2. With its resolution No. 26064, adopted in the meeting of June 8, 2016 (hereinafter also the sanctioning provision), the Authority found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engaged in a restrictive agreement under Article 101 of the Treaty on the Functioning of the European Union, consisting of the coordination of commercial policies aimed at limiting competitive comparison among the companies involved on prices, territorial areas of operation, and respective clientele in the Italian market for services related to the management of automatic and semi-automatic vending machines (hereinafter, the provision).</w:t>
      </w:r>
    </w:p>
    <w:p>
      <w:r>
        <w:t>3. With the provision, the Authority imposed monetary sanctions on all parties involved in the proceeding; the sanction imposed on Serim was €4,116,696.</w:t>
      </w:r>
    </w:p>
    <w:p>
      <w:r>
        <w:t>4. For the purposes of quantifying the sanction, the criteria and calculation methods set out in the Guidelines were adopted. The Authority then proceeded to quantify the base amount of the sanction, defined as a percentage of 20% of the value of sales made in the relevant market by the party company both directly and through controlled companies (hereinafter, specific revenue) and the duration of the infringement. The specific revenue was quantified, applying the notion of company in an antitrust sense, as a single economic entity, regardless of whether the subsidiaries of the party participated in the infringement (p. 7 and following of the Guidelines).</w:t>
      </w:r>
    </w:p>
    <w:p>
      <w:r>
        <w:t>1 Guidelines on the methods of application of the criteria for quantifying administrative monetary sanctions imposed by the Authority in application of Article 15, paragraph 1, of Law No. 287/90.</w:t>
      </w:r>
    </w:p>
    <w:p>
      <w:r>
        <w:t>BULLETIN NO. 10 OF MARCH 9, 2020 29</w:t>
      </w:r>
    </w:p>
    <w:p>
      <w:r>
        <w:t>5. Due to the seriousness of the infringement and in order to give the sanction the necessary deterrent character, the base amount was increased by an additional amount (so-called entry fee), equal to 15% of the specific revenue (p. 17 of the Guidelines).</w:t>
      </w:r>
    </w:p>
    <w:p>
      <w:r>
        <w:t>6. Since the amount of the sanction thus calculated exceeded the maximum limit provided for by Article 15 of Law No. 287/90, it was brought back to that maximum limit of 10% of the total revenue generated by the company worldwide in the last financial year closed prior to the notification of the warning (p. 29 of the Guidelines).</w:t>
      </w:r>
    </w:p>
    <w:p>
      <w:r>
        <w:t>7. Considering the specific circumstances of the case, the Authority deemed it appropriate to apply point 34 of the Guidelines, which allows for justified exceptions to their application, believing it appropriate to adjust the final sanction to the different positions of the parties, with particular regard to the aggravating and mitigating circumstances recognized to them, while preserving the need to maintain a sufficient deterrent effect of the sanction. A reduction of 5% was then granted to Serim, as no aggravating or mitigating circumstances were found in relation to that company.</w:t>
      </w:r>
    </w:p>
    <w:p>
      <w:r>
        <w:t>III. THE RULING OF THE COUNCIL OF STATE</w:t>
      </w:r>
    </w:p>
    <w:p>
      <w:r>
        <w:t>8. With ruling No. 5564/2019, the Council of State ordered the Authority to redetermine the sanction previously imposed on Serim, within the limits indicated in the reasoning, without, however, proceeding directly to quantify the amount of the reduction to be applied as an entry fee, and directly recognizing instead a reduction as a mitigating circumstance of 15%.</w:t>
      </w:r>
    </w:p>
    <w:p>
      <w:r>
        <w:t>9. In particular, the Council of State held that: i) in the case of applying an increase as an entry fee "the application of such amount must be adequately justified. In this case, considering the marginal role of the appellant company, such specific justification was lacking"; and that ii) "the elements that emerged during the proceeding 'should have led, due to the role of the appellant company, the Authority to apply a mitigating circumstance, reducing the imposed sanction by 15%."</w:t>
      </w:r>
    </w:p>
    <w:p>
      <w:r>
        <w:t>IV. THE INVESTIGATIVE ACTIVITY</w:t>
      </w:r>
    </w:p>
    <w:p>
      <w:r>
        <w:t>10. With provision No. 27927 of October 1, 2019, the Authority initiated a proceeding for the redetermination of the sanction to be imposed on Serim, in contradiction with the aforementioned company, in application of the cited ruling of the Council of State No. 5564/2019.</w:t>
      </w:r>
    </w:p>
    <w:p>
      <w:r>
        <w:t>11. During the proceeding, Serim had the opportunity to exercise its right of defense, submitting a memorandum on November 27, 2019, and during the hearing it requested, held on December 5, 2019.</w:t>
      </w:r>
    </w:p>
    <w:p>
      <w:r>
        <w:t>12. On January 15, 2020, Serim was informed of the deadline for the closure of the investigative phase, set for January 27, 2020.</w:t>
      </w:r>
    </w:p>
    <w:p>
      <w:r>
        <w:t>13. Serim did not submit any further memoranda by that deadline.</w:t>
      </w:r>
    </w:p>
    <w:p>
      <w:r>
        <w:t>V. THE ARGUMENTS OF THE PARTY</w:t>
      </w:r>
    </w:p>
    <w:p>
      <w:r>
        <w:t>14. Serim represented that, compared to the other parties in the proceeding equally engaged in the redetermination of the sanction in contradiction, it would be the only one for which the annulment</w:t>
      </w:r>
    </w:p>
    <w:p>
      <w:r>
        <w:rPr>
          <w:b/>
        </w:rPr>
        <w:t>[Pages 28–30]</w:t>
      </w:r>
    </w:p>
    <w:p>
      <w:r>
        <w:t>30 BULLETIN NO. 10 OF MARCH 9, 2020</w:t>
      </w:r>
    </w:p>
    <w:p>
      <w:r>
        <w:t>dismissing the sanction component that expresses the entry fee was ordered not due to a lack of motivation from the Authority, but because of the marginal role of the company in the offense.</w:t>
      </w:r>
    </w:p>
    <w:p>
      <w:r>
        <w:t>15. Serim highlighted that the reduction of an additional 15% as a result of the recognition of the mitigating factor related to its marginal role would directly derive from the judge's ruling.</w:t>
      </w:r>
    </w:p>
    <w:p>
      <w:r>
        <w:t>16. Ultimately, the overall reduction of 30% that would result would reflect the principles of effectiveness of the judge's ruling, proportionality between the positions of the parties, and would still maintain its deterrent effect.</w:t>
      </w:r>
    </w:p>
    <w:p>
      <w:r>
        <w:t>VI. EVALUATIONS</w:t>
      </w:r>
    </w:p>
    <w:p>
      <w:r>
        <w:t>17. With judgment no. 5564/2019, the Council of State mandated the Authority to reduce the sanction already imposed on Serim, within the limits outlined in the reasoning, consisting of the annulment of the component of the final sanction imposed as an entry fee and to recognize the mitigating factor due to the marginal role of the offense, directly quantified by it at 15%.</w:t>
      </w:r>
    </w:p>
    <w:p>
      <w:r>
        <w:t>18. Therefore, we proceed, in compliance with the aforementioned judgment of the Council of State, to the concrete recalculation of the sanction imposed by provision no. 26064 of June 8, 2016 against Serim.</w:t>
      </w:r>
    </w:p>
    <w:p>
      <w:r>
        <w:t>19. Regarding the annulment of the component as an entry fee of the originally imposed sanction, it is noted that, in this case, the mere application of the mathematical calculations set out in the Guidelines would not allow for an actual reduction of the final sanction, thereby failing to give useful effect to the judge's ruling. The sanction, in fact, even following the elimination of the entry fee, would continue to exceed the statutory limit of 10% of the total turnover, and this should be brought back to that. It is therefore deemed appropriate to apply a reduction of 15% to the final sanction originally imposed by provision no. 26064 of June 8, 2016.</w:t>
      </w:r>
    </w:p>
    <w:p>
      <w:r>
        <w:t>20. As for the recognition of a mitigating factor for Serim's marginal role in the offense, the reduction of the originally imposed sanction has been expressly quantified by the judge at 15%.</w:t>
      </w:r>
    </w:p>
    <w:p>
      <w:r>
        <w:t>21. The final amount of the sanction thus recalculated is therefore equal to €2,881,687.</w:t>
      </w:r>
    </w:p>
    <w:p>
      <w:r>
        <w:t>All of the above having been stated and considered;</w:t>
      </w:r>
    </w:p>
    <w:p>
      <w:r>
        <w:t>CONSIDERED, therefore, that it is necessary to proceed, in compliance with the aforementioned judgment of the Council of State, to recalculate the sanction to be imposed on Serim S.r.l. for the established violation in the amount of €2,881,687 (two million eight hundred eighty-one thousand six hundred eighty-seven euros);</w:t>
      </w:r>
    </w:p>
    <w:p>
      <w:r>
        <w:t>RESOLVES</w:t>
      </w:r>
    </w:p>
    <w:p>
      <w:r>
        <w:t>that the administrative pecuniary sanction to be applied to the company Serim S.r.l. for the behavior attributed to it in the Authority's provision no. 26064 of June 8, 2016, is quantified at €2,881,687 (two million eight hundred eighty-one thousand six hundred eighty-seven euros).</w:t>
      </w:r>
    </w:p>
    <w:p>
      <w:r>
        <w:t>This provision will be notified to the interested party and published in the Bulletin of the Competition and Market Authority.</w:t>
      </w:r>
    </w:p>
    <w:p>
      <w:r>
        <w:t>BULLETIN NO. 10 OF MARCH 9, 2020</w:t>
      </w:r>
    </w:p>
    <w:p>
      <w:r>
        <w:t>Against this Provision, an appeal may be submitted to the TAR of Lazio, pursuant to Article 135, paragraph 1, letter b), of the Code of Administrative Procedure (Legislative Decree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the term of one hundred twenty days from the date of notification of the Provision itself.</w:t>
      </w:r>
    </w:p>
    <w:p>
      <w:r>
        <w:t>THE SECRETARY GENERAL THE PRESIDENT</w:t>
        <w:br/>
        <w:t>Filippo Arena Roberto Rustichelli</w:t>
      </w:r>
    </w:p>
    <w:p>
      <w:r>
        <w:t>BULLETIN NO. 10 OF MARCH 9, 2020</w:t>
      </w:r>
    </w:p>
    <w:p>
      <w:r>
        <w:t>I783C6 - AGREEMENT BETWEEN OPERATORS IN THE VENDING SECTOR - REDETERMINATION OF THE SANCTION LIOMATIC</w:t>
      </w:r>
    </w:p>
    <w:p>
      <w:r>
        <w:t>Provision no. 28154</w:t>
      </w:r>
    </w:p>
    <w:p>
      <w:r>
        <w:t>THE COMPETITION AND MARKET AUTHORITY</w:t>
      </w:r>
    </w:p>
    <w:p>
      <w:r>
        <w:t>IN ITS MEETING of February 18, 2020;</w:t>
      </w:r>
    </w:p>
    <w:p>
      <w:r>
        <w:t>HEARD the Rapporteur Dr. Gabriella Muscolo;</w:t>
      </w:r>
    </w:p>
    <w:p>
      <w:r>
        <w:t>VIEWED the law of October 10, 1990, no. 287;</w:t>
      </w:r>
    </w:p>
    <w:p>
      <w:r>
        <w:t>VIEWED its resolution of October 22, 2014, with which the Guidelines on the methods of application of the criteria for quantifying administrative pecuniary sanctions imposed by the Authority in application of Article 15, paragraph 1, of law no. 287/90 (hereinafter, briefly, "Guidelines") were adopted;</w:t>
      </w:r>
    </w:p>
    <w:p>
      <w:r>
        <w:t>VIEWED its provision no. 26064 of June 8, 2016, adopted at the conclusion of procedure no. I783 - Agreement between operators in the vending sector, with which the Authority established that the behaviors carried out by Gruppo Argenta S.p.A.; D.A.E.M. S.p.A. and its subsidiaries Molinari S.p.A., Dist.Illy S.r.l., Aromi S.r.l., Dolomatic S.r.l. and Govi S.r.l. (all belonging to the Buonristoro group headed by D.A.E.M. S.p.A.); GE.SA. S.p.A.; Gruppo Illiria S.p.A.; IVS Italia S.p.A.; Liomatic S.p.A.; Ovdamatic S.r.l.; Sellmat S.r.l.; Serim S.r.l.; Sogeda S.r.l.; Supermatic S.p.A. and CONFIDA (Italian Association of Automatic Distribution), consisting of the coordination of commercial policies aimed at limiting competitive comparison between the companies involved on prices, operational territorial areas, and respective clientele in the Italian market for services related to the management of automatic and semi-automatic vending machines, constituted a restrictive agreement of competition in violation of Article 101 TFEU, sanctioning the aforementioned companies;</w:t>
      </w:r>
    </w:p>
    <w:p>
      <w:r>
        <w:t>VIEWED that for the established violation, due to the seriousness and duration of the infringement, an administrative pecuniary sanction of €10,496,431 was imposed on Liomatic S.p.A.;</w:t>
      </w:r>
    </w:p>
    <w:p>
      <w:r>
        <w:t>VIEWED the judgment of the Council of State, Section VI, no. 6030 of September 2, 2019, with which, in acceptance of the appeal of Liomatic S.p.A. for the reform of the judgment of the TAR Lazio, Section I, no. 9055 of July 28, 2017, provision no. 26064 of June 8, 2016 was annulled only in the part relating to the determination of the sanction imposed on Liomatic S.p.A.;</w:t>
      </w:r>
    </w:p>
    <w:p>
      <w:r>
        <w:t>VIEWED the reasoning part of the judgment in which the Council of State considered that: i) in the case of application of an increase as an entry fee "it is necessary that the application of this amount is adequately motivated. In this case, considering what emerges from the evidence, such specific motivation is lacking"; and that ii) "Regarding the failure to apply the mitigating circumstance for the role played, the related criticism, in light of what emerged from the investigation, is well-founded, with a consequent reduction of the sanction by 15%";</w:t>
      </w:r>
    </w:p>
    <w:p>
      <w:r>
        <w:t>CONSIDERED that the Council of State has mandated the Authority to recalculate the sanction to be imposed on Liomatic S.p.A.;</w:t>
      </w:r>
    </w:p>
    <w:p>
      <w:r>
        <w:rPr>
          <w:b/>
        </w:rPr>
        <w:t>[Pages 31–33]</w:t>
      </w:r>
    </w:p>
    <w:p>
      <w:r>
        <w:t>BULLETIN NO. 10 OF MARCH 9, 2020 33</w:t>
      </w:r>
    </w:p>
    <w:p>
      <w:r>
        <w:t>HAVING REGARD to its provision no. 27928 of October 1, 2019, with which the Authority initiated a procedure for the recalculation of the sanction to be imposed on the company Liomatic S.p.A., in contradiction with the aforementioned company, in application of the cited judgment of the Council of State;</w:t>
      </w:r>
    </w:p>
    <w:p>
      <w:r>
        <w:t>HAVING REGARD AND CONSIDERING what was noted by Liomatic S.p.A. during the hearing on December 3, 2019;</w:t>
      </w:r>
    </w:p>
    <w:p>
      <w:r>
        <w:t>HAVING REGARD to the letter of January 15, 2020, with which the deadline for the closure of the investigative phase was communicated to the company Liomatic S.p.A.;</w:t>
      </w:r>
    </w:p>
    <w:p>
      <w:r>
        <w:t>HAVING REGARD to all the acts of the procedure;</w:t>
      </w:r>
    </w:p>
    <w:p>
      <w:r>
        <w:t>CONSIDERING the following:</w:t>
      </w:r>
    </w:p>
    <w:p>
      <w:r>
        <w:t>I. THE PARTY</w:t>
      </w:r>
    </w:p>
    <w:p>
      <w:r>
        <w:t>1. Liomatic S.p.A. (hereinafter also Liomatic) is a company active in Italy in the vending sector, which, at the time of the infringement contestation, operated, both directly and indirectly, particularly in management. The total revenue generated worldwide by Liomatic in 2015 amounted to €116,627,014.</w:t>
      </w:r>
    </w:p>
    <w:p>
      <w:r>
        <w:t>II. THE PREVIOUS DECISION OF THE AUTHORITY</w:t>
      </w:r>
    </w:p>
    <w:p>
      <w:r>
        <w:t>2. With its resolution no. 26064, adopted in the meeting of June 8, 2016 (hereinafter also the sanctioning provision), the Authority found that Gruppo Argenta S.p.A.; D.A.EM. S.p.A. and its subsidiaries Molinari S.p.A., Dist.Illy S.r.l., Aromi S.r.l., Dolomatic S.r.l. and Govi S.r.l. (all belonging to the Buonristoro group); GE.SA. S.p.A.; Gruppo Illiria S.p.A.; IVS Italia S.p.A.; Liomatic S.p.A.; Ovdamatic S.r.l.; Sellmat S.r.l.; Serim S.r.l.; Sogeda S.r.l.; Supermatic S.p.A. and CONFIDA (Italian Association of Automatic Distribution) had engaged in an anti-competitive agreement pursuant to Article 101 of the Treaty on the Functioning of the European Union, consisting of the coordination of commercial policies aimed at limiting competitive comparison among the companies involved on prices, operational territorial areas, and respective clientele in the Italian market for services related to the management of automatic and semi-automatic vending machines (hereinafter, the provision).</w:t>
      </w:r>
    </w:p>
    <w:p>
      <w:r>
        <w:t>3. With the provision, the Authority imposed monetary sanctions on all the Parties involved in the procedure; the sanction imposed on Liomatic amounted to €10,496,431.</w:t>
      </w:r>
    </w:p>
    <w:p>
      <w:r>
        <w:t>4. For the purposes of quantifying the sanction, the criteria and calculation methods set out in the Guidelines were adopted. The Authority then proceeded to quantify the base amount of the sanction, defined as a percentage of 20% of the value of sales made in the relevant market by the company Party to the procedure both directly and through controlled companies (hereinafter, specific revenue) and the duration of the infringement. The specific revenue was quantified, applying the notion of company in an antitrust sense, as a single economic entity, regardless of whether the subsidiaries of the Party had or had not participated in the infringement (p. 7 and following of the Guidelines).</w:t>
      </w:r>
    </w:p>
    <w:p>
      <w:r>
        <w:t>5. Due to the seriousness of the infringement and in order to give the sanction the necessary deterrent character, the base amount was increased by an additional amount (so-called entry fee), equal to 15% of the specific revenue (p. 17 of the Guidelines).</w:t>
      </w:r>
    </w:p>
    <w:p>
      <w:r>
        <w:t>6. Having adopted an antitrust compliance program prior to the sending of the Communication of Investigative Results, the company was granted, as a mitigating circumstance, a reduction of the base amount of the sanction equal to 10% (p. 23 of the Guidelines).</w:t>
      </w:r>
    </w:p>
    <w:p>
      <w:r>
        <w:t>7. Since the amount of the sanction thus calculated was found to exceed the maximum limit set by Article 15 of Law no. 287/90, it was brought back to that edictal limit of 10% of the total revenue generated by the company worldwide in the last financial year closed prior to the notification of the warning (p. 29 of the Guidelines).</w:t>
      </w:r>
    </w:p>
    <w:p>
      <w:r>
        <w:t>8. Considering the specific circumstances of the case, the Authority deemed it appropriate to apply point 34 of the Guidelines, which allows for motivated exceptions to the application of the same, believing it necessary to adjust the final sanction to the different positions of the Parties, with particular regard to the aggravating and mitigating circumstances recognized to them, without prejudice to the need to preserve a sufficient deterrent effect of the sanction. A 10% reduction was then granted to Serim, as that company was found not to have played a decisive role in the infringement and was found to have adopted an antitrust compliance program.</w:t>
      </w:r>
    </w:p>
    <w:p>
      <w:r>
        <w:t>III. THE PRONOUNCEMENT OF THE COUNCIL OF STATE</w:t>
      </w:r>
    </w:p>
    <w:p>
      <w:r>
        <w:t>9. With judgment no. 6030/2019, the Council of State ordered the Authority to recalculate the sanction previously imposed on Liomatic, within the limits indicated in the reasoning, without, however, proceeding directly to quantify the extent of the reduction to be applied.</w:t>
      </w:r>
    </w:p>
    <w:p>
      <w:r>
        <w:t>10. In particular, the Council of State considered that: i) in the case of application of an increase as an entry fee "it is necessary that the application of this amount be adequately justified. In this case, considering what emerges from the evidence, this specific justification is lacking"; and that ii) "Regarding the failure to apply the mitigating circumstance for the role played, the related criticism, in light of what emerged from the investigation, is well-founded, with a consequent reduction of the sanction by 15 percent."</w:t>
      </w:r>
    </w:p>
    <w:p>
      <w:r>
        <w:t>IV. THE INVESTIGATIVE ACTIVITY</w:t>
      </w:r>
    </w:p>
    <w:p>
      <w:r>
        <w:t>11. With provision no. 27928 of October 1, 2019, the Authority initiated a procedure for the recalculation of the sanction to be imposed on the company Liomatic, in contradiction with the aforementioned company, in application of the cited judgment of the Council of State no. 6030/2019.</w:t>
      </w:r>
    </w:p>
    <w:p>
      <w:r>
        <w:t>12. During the procedure, Liomatic had the opportunity to exercise its right of defense, submitting a memorandum during the hearing it requested, held on December 3, 2019.</w:t>
      </w:r>
    </w:p>
    <w:p>
      <w:r>
        <w:t>13. On January 15, 2020, the deadline for the closure of the investigative phase was communicated to Liomatic, set for January 27, 2020.</w:t>
      </w:r>
    </w:p>
    <w:p>
      <w:r>
        <w:t>14. Liomatic did not submit any further memoranda by that deadline.</w:t>
      </w:r>
    </w:p>
    <w:p>
      <w:r>
        <w:t>V. THE ARGUMENTS OF THE PARTY</w:t>
      </w:r>
    </w:p>
    <w:p>
      <w:r>
        <w:t>15. Liomatic represented that, as a result of the judgment of the Council of State which recognized a lack of motivation in the Authority's resolution, the company would be entitled to a reduction of the final amount of the sanction, equal to 15%, corresponding to the percentage of the component of the sanction originally imposed as an entry fee. This is because the entry fee would operate like any other mitigating/aggravating circumstance and should merit a corresponding weight in the final amount, from which it should be deducted, expressing a sanctioning component annulled by the judge.</w:t>
      </w:r>
    </w:p>
    <w:p>
      <w:r>
        <w:t>16. To this reduction, an additional reduction of 15% should be added, as a mitigating circumstance, clearly and directly ordered by the judge.</w:t>
      </w:r>
    </w:p>
    <w:p>
      <w:r>
        <w:t>17. Liomatic highlighted that, even after this overall reduction of 30%, the final sanction would still retain its deterrent effect and reflect the principle of proportionality compared to other parties in the procedure that benefited from significant reductions.</w:t>
      </w:r>
    </w:p>
    <w:p>
      <w:r>
        <w:t>VI. EVALUATIONS</w:t>
      </w:r>
    </w:p>
    <w:p>
      <w:r>
        <w:t>18. With judgment no. 6030/2019, the Council of State entrusted the Authority with the task of reducing the sanction already imposed on Liomatic, within the limits set out in the reasoning, consisting of the annulment of the component of the final sanction imposed as an entry fee and recognizing the company the mitigating circumstance due to the marginal role of the offense, directly quantified by it at 15%.</w:t>
      </w:r>
    </w:p>
    <w:p>
      <w:r>
        <w:t>19. Therefore, the Authority proceeds, in compliance with the cited judgment of the Council of State, to the concrete recalculation of the sanction imposed with provision no. 26064 of June 8, 2016, against Liomatic.</w:t>
      </w:r>
    </w:p>
    <w:p>
      <w:r>
        <w:t>20. Regarding the annulment of the component as an entry fee of the originally imposed sanction, it is noted that, in this case, the mere application of the mathematical calculations set out in the Guidelines would not allow for an effective reduction of the final sanction, thus failing to give useful effect to the judge's pronouncement. The sanction, in fact, even after the elimination of the entry fee, would continue to exceed the edictal limit of 10% of the global revenue, and it should be brought back to this. It is therefore deemed appropriate to apply a reduction of 15% to the final sanction originally imposed with provision no. 26064 of June 8, 2016.</w:t>
      </w:r>
    </w:p>
    <w:p>
      <w:r>
        <w:t>21. As for the recognition of a mitigating circumstance for the marginal role of Liomatic in the offense, the reduction of the originally imposed sanction was expressly quantified by the judge at 15%.</w:t>
      </w:r>
    </w:p>
    <w:p>
      <w:r>
        <w:t>22. The final amount of the sanction thus recalculated is therefore equal to €7,347,502.</w:t>
      </w:r>
    </w:p>
    <w:p>
      <w:r>
        <w:t>All of the above having been stated and considered;</w:t>
      </w:r>
    </w:p>
    <w:p>
      <w:r>
        <w:t>THEREFORE, IT IS DEEMED necessary to proceed, in compliance with the cited judgment of the Council of State, to recalculate the sanction to be imposed on Liomatic S.p.A. for the established violation in the amount of €7,347,502 (seven million three hundred forty-seven thousand five hundred two euros);</w:t>
      </w:r>
    </w:p>
    <w:p>
      <w:r>
        <w:t>RESOLVES that the administrative monetary sanction to be applied to the company Liomatic S.p.A. for the behavior attributed to it in the Authority's provision no. 26064 of June 8, 2016, is</w:t>
      </w:r>
    </w:p>
    <w:p>
      <w:r>
        <w:rPr>
          <w:b/>
        </w:rPr>
        <w:t>[Pages 34–36]</w:t>
      </w:r>
    </w:p>
    <w:p>
      <w:r>
        <w:t>36 BULLETIN NO. 10 OF MARCH 9, 2020</w:t>
      </w:r>
    </w:p>
    <w:p>
      <w:r>
        <w:t>quantified at the amount of €7,347,502 (seven million three hundred forty-seven thousand five hundred two euros). This provision will be notified to the interested party and published in the Bulletin of the Authority for the Guarantee of Competition and the Market. Against this Provision, an appeal may be submitted to the TAR of Lazio, pursuant to Article 135, paragraph 1, letter b), of the Code of Administrative Procedure (Legislative Decree No. 104 of July 2, 2010),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the term of one hundred twenty days from the date of notification of the Provision itself.</w:t>
      </w:r>
    </w:p>
    <w:p>
      <w:r>
        <w:t>THE SECRETARY GENERAL THE PRESIDENT</w:t>
        <w:br/>
        <w:t>Filippo Arena Roberto Rustichelli</w:t>
      </w:r>
    </w:p>
    <w:p>
      <w:r>
        <w:t>BULLETIN NO. 10 OF MARCH 9, 2020 37</w:t>
      </w:r>
    </w:p>
    <w:p>
      <w:r>
        <w:t>A514 - FIBER CONDUCTS TELECOM ITALIA</w:t>
        <w:br/>
        <w:t>Provision No. 28162</w:t>
        <w:br/>
        <w:t>THE AUTHORITY FOR THE GUARANTEE OF COMPETITION AND THE MARKET</w:t>
        <w:br/>
        <w:t>IN ITS MEETING of February 25, 2020;</w:t>
        <w:br/>
        <w:t>HEARD the Rapporteurs Professor Michele Ainis and Dr. Gabriella Muscolo;</w:t>
        <w:br/>
        <w:t>HAVING REGARD to Article 102 of the Treaty on the Functioning of the European Union (TFEU);</w:t>
        <w:br/>
        <w:t>HAVING REGARD to Regulation (EC) No. 1/2003 of the Council of December 16, 2002, concerning the application of the competition rules referred to in Articles 81 and 82 of the EC Treaty (now 101 and 102 TFEU);</w:t>
        <w:br/>
        <w:t>HAVING REGARD to Law No. 287 of October 10, 1990;</w:t>
        <w:br/>
        <w:t>HAVING REGARD to the D.P.R. No. 217 of April 30, 1998;</w:t>
        <w:br/>
        <w:t>HAVING REGARD to its provision No. 26656 of June 28, 2017, with which an investigation was initiated, pursuant to Article 14 of Law No. 287/90, against the company Telecom Italia S.p.A. to ascertain the existence of violations of the legislation protecting competition pursuant to Article 102 of the TFEU;</w:t>
        <w:br/>
        <w:t>HAVING REGARD to its provision No. 27034 of February 14, 2018, with which an extension of the subject of the investigation was decided, pursuant to Article 14 of Law No. 287/90, against the company Telecom Italia S.p.A. to ascertain the existence of further violations of the legislation protecting competition pursuant to Article 102 of the TFEU;</w:t>
        <w:br/>
        <w:t>HAVING REGARD to its provision No. 27264 of July 26, 2018, with which the publication of the commitment proposal submitted by the company Telecom Italia S.p.A. pursuant to Article 14-ter of Law No. 287/90 was ordered;</w:t>
        <w:br/>
        <w:t>HAVING REGARD to its provision No. 27291 of August 8, 2018, with which, accepting the requests for extension received from Open Fiber S.p.A., Fastweb S.p.A. (on July 31, 2018) and Vodafone Italia S.p.A. (on August 1, 2018), it set September 30, 2018, as the deadline for submitting observations on the commitments presented by Telecom Italia S.p.A.;</w:t>
        <w:br/>
        <w:t>HAVING REGARD to its provision No. 27382 of October 17, 2018, with which the Authority decided to postpone the closing date of the procedure to May 31, 2019;</w:t>
        <w:br/>
        <w:t>HAVING REGARD to its provision No. 27418 of November 20, 2018, with which the Authority, following the market test, rejected the commitment proposal submitted by Telecom Italia S.p.A. pursuant to Article 14-ter, Law No. 287/90;</w:t>
        <w:br/>
        <w:t>HAVING REGARD to its provision No. 27634 of April 10, 2019, with which the Authority, accepting the requests received from Telecom Italia S.p.A., respectively on February 14, 2019, and March 4, 2019, with which the Party requested an extension of the closing date of the procedure, decided to postpone said deadline to September 30, 2019;</w:t>
        <w:br/>
        <w:t>HAVING REGARD to the Communication of the Investigation Results, sent to the Parties on May 17, 2019;</w:t>
        <w:br/>
        <w:t>HAVING REGARD to the request received from Telecom Italia S.p.A. on June 7, 2019, with which the Party requested the postponement of the deadline for the submission of briefs and the date of the final hearing before the Authority, accepted by decision of June 12, 2019, and communicated to the Parties of the procedure on June 20, 2019;</w:t>
        <w:br/>
        <w:t>HAVING REGARD to its provision No. 27898 of September 18, 2019, with which the Authority ordered the postponement of the closing date of the procedure to February 28, 2020;</w:t>
        <w:br/>
        <w:t>HAVING REGARD to the briefs submitted by the company Wind Tre S.p.A. on September 19, 2019, and by the companies Telecom Italia S.p.A., Open Fiber S.p.A., Enel S.p.A., Vodafone Italia S.p.A., Fastweb S.p.A., Enter S.r.l., Irideos S.p.A. and Mnet S.r.l. and the AIIP Association on September 20, 2019;</w:t>
        <w:br/>
        <w:t>HEARD in the final hearing, on September 25, 2019, the representatives of the companies Telecom Italia S.p.A., Open Fiber S.p.A., Enel S.p.A., Vodafone Italia S.p.A., Wind Tre S.p.A., Fastweb S.p.A., Enter S.r.l., Irideos S.p.A. and Mnet S.r.l. and the AIIP Association, who had requested it;</w:t>
        <w:br/>
        <w:t>HAVING REGARD to the opinion of the Authority for Guarantees in Communications, issued pursuant to Article 1, paragraph 6, letter c), no. 11, of Law No. 249 of July 31, 1997, received on January 30, 2020;</w:t>
        <w:br/>
        <w:t>HAVING REGARD to the acts of the procedure and the documentation acquired during the investigation;</w:t>
        <w:br/>
        <w:t>CONSIDERED the following:</w:t>
      </w:r>
    </w:p>
    <w:p>
      <w:r>
        <w:t>I. THE PARTIES</w:t>
        <w:br/>
        <w:t>a) The reported</w:t>
        <w:br/>
        <w:t>1. Telecom Italia S.p.A. (hereinafter, "TI", "Telecom Italia" or "TIM") is a company active in the construction and provision of telecommunications infrastructures, as well as in the offering of related services. In particular, TI is the owner of the fixed telephone network on which it provides wholesale access services to other operators who do not own an access network and retail telecommunications services to end consumers. It is also active in the mobile telecommunications services market. In 2017, the total revenue generated worldwide by the Telecom Group was approximately €20 billion, of which approximately €15 billion derived from sales made in Italy.</w:t>
        <w:br/>
        <w:t>b) The reporting party and third parties intervening</w:t>
        <w:br/>
        <w:t>2. Infratel Italia S.p.A. (hereinafter, Infratel) is a company established at the initiative of the Ministry of Economic Development and the national agency for the attraction of investments and business development S.p.A. (Invitalia) as the implementing body of the broadband and ultra-broadband plans prepared by the Government within the framework of the European Digital Agenda. Infratel is 100% controlled by Invitalia S.p.A., which, in turn, is 100% controlled by the Ministry of Economy and Finance. Among the objectives of the company is the reduction of the digital divide in areas of the territory not covered by private investment plans.</w:t>
        <w:br/>
        <w:t>3. Enel S.p.A. (hereinafter, Enel) is the holding company at the head of the Enel Group, active worldwide in the sectors of electricity and natural gas. Enel owns 50% of the capital of Open Fiber S.p.A., through which it also operates in the electronic communications markets. The consolidated revenue of Enel S.p.A. for the year 2017 was €74.6 billion, of which nearly €38.8 billion was generated in Italy.</w:t>
      </w:r>
    </w:p>
    <w:p>
      <w:r>
        <w:rPr>
          <w:b/>
        </w:rPr>
        <w:t>[Pages 37–39]</w:t>
      </w:r>
    </w:p>
    <w:p>
      <w:r>
        <w:t>BULLETIN NO. 10 OF MARCH 9, 2020 39</w:t>
      </w:r>
    </w:p>
    <w:p>
      <w:r>
        <w:t>4. Open Fiber S.p.A. (hereinafter, "OF" or "Open Fiber") is a company established by the Enel Group for entry into the electronic communications market, active in the installation, provision, and operation of high-speed electronic communication networks in optical fiber and ultra-broadband. The company is under joint control, with 50% of the capital, by Cassa Depositi e Prestiti Equity S.p.A. and Enel S.p.A. As of December 31, 2016, OF achieved revenues of 89.4 million euros.</w:t>
      </w:r>
    </w:p>
    <w:p>
      <w:r>
        <w:t>5. Vodafone Italia S.p.A. (hereinafter, "Vodafone" or "VD") is a telecommunications company of the Vodafone Group PLC and is active in offering telecommunications services, voice and data on fixed line, both in the residential segment and in the non-residential segment. Furthermore, VD owns a mobile telecommunications network. VD is wholly controlled by Vodafone Europe BV, a Dutch company, which in turn is controlled by Vodafone Group PLC, a British group operating globally in the electronic communications markets. As of March 31, 2018, Vodafone Group PLC reported annual revenues of 41 billion euros, while on the same date, VD reported annual revenues in Italy of approximately 5.3 billion euros, of which 992 million euros attributable to services sold on the fixed network.</w:t>
      </w:r>
    </w:p>
    <w:p>
      <w:r>
        <w:t>6. Wind Tre S.p.A. (hereinafter, "Wind Tre" or "WT") is a telecommunications company controlled by the international group CK Hutchison Holdings Limited through the company Wind Tre Italia S.p.A. WT is active in providing telecommunications services on fixed network and owns a mobile telecommunications network. In 2017, CK Hutchison Holdings Limited generated approximately 45 billion euros in revenue. In 2017, WT generated approximately 6.18 billion euros in revenue in Italy, of which 1.13 billion euros attributable to sales of fixed network services.</w:t>
      </w:r>
    </w:p>
    <w:p>
      <w:r>
        <w:t>7. Fastweb S.p.A. (hereinafter, "Fastweb" or "FW") provides broadband and ultra-broadband telecommunications services, targeting both residential and business customers. It is also active in the mobile telecommunications services market as a virtual operator. Fastweb is controlled by Swisscom AG, a company based in Switzerland that provides telecommunications services for residential and business customers and represents the incumbent operator in the Swiss market. In 2017, FW generated revenues of 1.94 billion euros.</w:t>
      </w:r>
    </w:p>
    <w:p>
      <w:r>
        <w:t>8. The Italian Internet Provider Association (hereinafter, "AIIP"), established in June 1995, is an association of telecommunications operators that adheres to Confindustria digitale. The association has, as its main objectives, the promotion and dissemination in Italy of access to the market of networks and/or electronic communications services, including access to the Internet, according to criteria of objectivity, transparency, non-discrimination, proportionality, and non-distortion of competition, as well as the development in a competitive environment of networks and/or electronic communication services.</w:t>
      </w:r>
    </w:p>
    <w:p>
      <w:r>
        <w:t>9. KPNQwest Italia S.p.A. (hereinafter, KPNQwest Italia), whose capital is controlled by the Irideos Group, is a company active in Italy in both the electronic and digital telecommunications sector, where it provides data services, broadband and ultra-broadband Internet access, and in the information and communication technologies sector. In 2017, it generated 16.5 million euros in revenue.</w:t>
      </w:r>
    </w:p>
    <w:p>
      <w:r>
        <w:t>40 BULLETIN NO. 10 OF MARCH 9, 2020</w:t>
      </w:r>
    </w:p>
    <w:p>
      <w:r>
        <w:t>10. Enter S.r.l., whose capital is controlled by the Irideos Group, is a company active in the electronic telecommunications sector that provides data services, broadband and ultra-broadband Internet access. In 2017, it generated 12.2 million euros in revenue.</w:t>
      </w:r>
    </w:p>
    <w:p>
      <w:r>
        <w:t>11. MC-link S.p.A., whose capital is controlled by the Irideos Group, is a company active in the electronic and digital telecommunications sector that provides data services, broadband and ultra-broadband Internet access. The revenue generated in 2016 in the Italian territory was 43 million euros.</w:t>
      </w:r>
    </w:p>
    <w:p>
      <w:r>
        <w:t>12. Mnet S.r.l. is a company active in the electronic and digital telecommunications sector that provides data services, broadband and ultra-broadband Internet access. The revenue generated in 2017 in the Italian territory was 9.5 million euros.</w:t>
      </w:r>
    </w:p>
    <w:p>
      <w:r>
        <w:t>13. Acea S.p.A. is a company active in the management and development of networks and services in the water, electricity, and waste management sectors. In 2017, it generated revenue of 2.8 billion euros.</w:t>
      </w:r>
    </w:p>
    <w:p>
      <w:r>
        <w:t>14. Sky Italia S.r.l. (hereinafter, Sky) is a company active in offering paid and free television services across multiple broadcasting platforms. As of June 30, 2018, on an annual basis, it generated revenue of approximately 3 billion euros.</w:t>
      </w:r>
    </w:p>
    <w:p>
      <w:r>
        <w:t>II. THE INVESTIGATIVE ACTIVITY</w:t>
      </w:r>
    </w:p>
    <w:p>
      <w:r>
        <w:t>15. The procedure originated from several reports submitted by multiple parties.</w:t>
      </w:r>
    </w:p>
    <w:p>
      <w:r>
        <w:t>16. On May 12, 2017, a report was received from Infratel regarding alleged anti-competitive conduct by TIM. The reported behaviors were aimed at hindering competition in the tenders held by Infratel during 2016 for the coverage of market failure areas in the national territory as part of the Italian Strategy for Ultra-Broadband.</w:t>
      </w:r>
    </w:p>
    <w:p>
      <w:r>
        <w:t>17. Infratel reported that TIM would have altered the outcome of the tenders:</w:t>
        <w:br/>
        <w:t>a) by requesting a modification, during the tender process, of its investment plans compared to those declared to Infratel during the public consultation. In particular, TI requested a revision of the mapping of the areas of the territory carried out in 2015-16, involving the transformation of some white areas into gray/black areas and vice versa, which could again call into question the necessity of public intervention in such territories;</w:t>
        <w:br/>
        <w:t>1 In the communication adopted by the European Commission (2013/C 25/01) for the application of state aid rules concerning the development of broadband networks, a relevant territorial division was defined for the assessment of the compatibility of public support programs for the development of next-generation networks with Article 107 TFEU. In particular, three types of territorial areas were identified:</w:t>
        <w:br/>
        <w:t>Area Characteristics Eligible public intervention</w:t>
        <w:br/>
        <w:t>Geographical area where at least two different NO</w:t>
        <w:br/>
        <w:t>broadband network service providers operate (or will operate in the near future)1.</w:t>
      </w:r>
    </w:p>
    <w:p>
      <w:r>
        <w:t>BULLETIN NO. 10 OF MARCH 9, 2020 41</w:t>
      </w:r>
    </w:p>
    <w:p>
      <w:r>
        <w:t>b) publicly communicating, during the ongoing tender, that it did not wish to participate in the second tender called, after having been regularly pre-qualified, and that it would invest anyway in the white market failure areas with an independent coverage plan;</w:t>
        <w:br/>
        <w:t>c) filing numerous appeals to various national and European judicial and administrative authorities to instrumentally contest the structure of the tender notices and delay the award procedures.</w:t>
      </w:r>
    </w:p>
    <w:p>
      <w:r>
        <w:t>18. On June 6, 2017, Infratel supplemented the report with further elements, also requesting the adoption of precautionary measures, pursuant to Article 14-bis, Law No. 287/90. According to the in-house company of the Ministry of Economic Development, even after the aforementioned first report, TI would have:</w:t>
        <w:br/>
        <w:t>i. continued to instrumentally request the revision of the map of white areas concerning the territories where the tenders were already underway;</w:t>
        <w:br/>
        <w:t>ii. entered into agreements with local administrations for the construction of fiber to the cabinet networks (so-called FTTC2) in some territories included in the white areas where the tenders were already underway.</w:t>
      </w:r>
    </w:p>
    <w:p>
      <w:r>
        <w:t>19. On June 12, 2017, Enel and OF submitted two reports stating that TIM would have implemented a complex and unique anti-competitive strategy aimed at obstructing the success of OF's investment plan throughout the national territory, both in the white areas and outside of them. These reports, received within the I7993 procedure, were acquired into the records of the A514 initiation phase.</w:t>
      </w:r>
    </w:p>
    <w:p>
      <w:r>
        <w:t>20. On June 5, 2017, VD submitted a report concerning abusive conduct of TI's dominant position, involving anti-competitive effects both in the white areas and outside of them, also requesting the adoption of precautionary measures pursuant to Article 14-bis, Law No. 287/90. Such conduct would concern the retail broadband and ultra-broadband telecommunications services market and would essentially consist of:</w:t>
        <w:br/>
        <w:t>i. the preparation of commercial offers incorporating conditions not replicable by competing operators;</w:t>
        <w:br/>
        <w:t>ii. the transfer of privileged information from the Wholesale Division to the Retail Division of TI (so-called malpractice);</w:t>
        <w:br/>
        <w:t>iii. the inclusion of binding mechanisms in offers directed to the final clientele (lock-in);</w:t>
        <w:br/>
        <w:t>iv. the imposition of barriers to additional infrastructure by competing operators in areas where TI does not have active offers of wholesale passive access services.</w:t>
        <w:br/>
        <w:t>Geographical area where a single NGA network is present or will be developed by a single private operator in the near future1.</w:t>
        <w:br/>
        <w:t>Areas lacking NGA networks and where it is unlikely that private operators will invest.</w:t>
        <w:br/>
        <w:t>White YES</w:t>
        <w:br/>
        <w:t>2 Fiber to the cabinet. It is a broadband access network consisting partly of fiber optic carriers (from the telephone exchange to the distribution cabinet – primary access network) and partly of copper pairs from the traditional telephone network (from the cabinet to the end user's premises – secondary access network).</w:t>
        <w:br/>
        <w:t>3 I799 - TIM-FASTWEB/FIBER NETWORK IMPLEMENTATION. Procedure initiated by the Authority to assess possible violations of Article 101 TFEU in relation to the partnership signed by TIM and FW for the implementation of joint investments in fiber optic networks. The Authority concluded the procedure with resolution No. 27102 of March 28, 2018, accepting the commitment proposal presented by the Parties pursuant to Article 14-ter, Law No. 287/90.</w:t>
      </w:r>
    </w:p>
    <w:p>
      <w:r>
        <w:rPr>
          <w:b/>
        </w:rPr>
        <w:t>[Pages 40–42]</w:t>
      </w:r>
    </w:p>
    <w:p>
      <w:r>
        <w:t>42 BULLETIN NO. 10 OF MARCH 9, 2020</w:t>
      </w:r>
    </w:p>
    <w:p>
      <w:r>
        <w:t>21. On June 15, 2017, a report was received from WT containing elements regarding an alleged abuse of dominant position by TIM. WT claimed that TIM had engaged in conduct in violation of competition law, specifically consisting of:</w:t>
        <w:br/>
        <w:t>i. the undue compression of margins in formulating retail ultra-broadband service offers;</w:t>
        <w:br/>
        <w:t>ii. the lock-in of ultra-broadband customers by imposing onerous exit conditions from the supply contract with TIM;</w:t>
        <w:br/>
        <w:t>iii. the raising of costs for alternative operators.</w:t>
      </w:r>
    </w:p>
    <w:p>
      <w:r>
        <w:t>22. On June 28, 2017, the Authority decided to initiate proceedings against TI pursuant to Article 102 TFEU. The Authority considered that the elements emerging from the reports were relevant for identifying possible anti-competitive strategies implemented by TI in a dominant position in the wholesale telecommunications access services market and in the retail telecommunications services market, capable of hindering the competitive development of the wholesale and retail markets for broadband and ultra-broadband services in Italy.</w:t>
      </w:r>
    </w:p>
    <w:p>
      <w:r>
        <w:t>23. Such strategies would be implemented through a multitude of conducts. Particularly significant were the actions aimed at slowing down investments for the development of forms of infrastructural competition, downstream of OF's entry into the market and the conduct of the tenders called by Infratel. TI's conduct appeared capable of hindering the development of infrastructural competition, presenting particular severity especially considering that the Italian market, until OF's entry, had only experienced limited competitive confrontation among wholesale operators in a few local contexts. Furthermore, the conduct hindering the realization of FTTH networks, attributable to the aim of preserving the value of the existing copper network and safeguarding investments made in FTTC networks, appeared restrictive of current and potential competition and capable of allowing inferior technological solutions compared to the FTTH network to be unduly preserved in the market.</w:t>
      </w:r>
    </w:p>
    <w:p>
      <w:r>
        <w:t>24. The Authority, at the outset, hypothesized that the conduct of TI subject to the aforementioned reports was aimed at achieving two strategic objectives, both of which had a serious anti-competitive nature:</w:t>
        <w:br/>
        <w:t>i. to hinder the conduct of the tender procedures called by Infratel for the coverage with FTTH networks of white areas, in order to unduly preserve the historically held monopolistic position in such territories and avoid the entry of a new operator (Open Fiber, the successful bidder in the tenders);</w:t>
        <w:br/>
        <w:t>ii. to preemptively capture customers in the new segment of ultra-broadband retail telecommunications services, also through anti-competitive commercial policies (non-replicable prices, lock-in).</w:t>
      </w:r>
    </w:p>
    <w:p>
      <w:r>
        <w:t>25. In this way, TI would have pursued a dual purpose: in the wholesale access services market, to discourage and make investments in new FTTH networks by other operators less profitable; in the retail telecommunications services market, to make the customer base less contestable at a crucial phase of competitive confrontation, namely during the migration process to ultra-broadband offers.</w:t>
      </w:r>
    </w:p>
    <w:p>
      <w:r>
        <w:t>26. On July 4, 2017, inspections were carried out at several corporate offices of Telecom Italia located in Rome.</w:t>
      </w:r>
    </w:p>
    <w:p>
      <w:r>
        <w:t>27. On August 7, 2017, Telecom Italia submitted a request for a sixty-day extension of the procedural deadline for the submission of commitments pursuant to Article 14-ter of Law No. 287/1990. In the meeting of September 6, 2017, the Authority decided to grant the extension and postponed the deadline for the submission of commitments to December 3, 2017.</w:t>
      </w:r>
    </w:p>
    <w:p>
      <w:r>
        <w:t>28. Following the initiation of the investigation, further reports were received concerning additional elements related to the conduct subject to the initiation order.</w:t>
      </w:r>
    </w:p>
    <w:p>
      <w:r>
        <w:t>29. Furthermore, on August 9, 2017, Sky submitted its request to participate in the proceedings, also highlighting elements of potential competitive concern regarding the Internet platform for the transmission of audiovisual content, particularly concerning access to Content Delivery Networks (CDN).</w:t>
      </w:r>
    </w:p>
    <w:p>
      <w:r>
        <w:t>30. On October 6 and 24, 2017, WT presented further supporting elements regarding the conduct already reported during the pre-investigation phase (undue margin compression aimed at preempting the ultra-broadband retail services market segment and lock-in mechanisms for end customers) and new evidence related to a conduct of instrumental use of information held by TIM in a privileged manner as the dominant access network provider (technical boycott actions in the provision of access services necessary to activate end customers who chose WT's commercial offer).</w:t>
      </w:r>
    </w:p>
    <w:p>
      <w:r>
        <w:t>31. On November 3, 2017, TI submitted its first defense memorandum.</w:t>
      </w:r>
    </w:p>
    <w:p>
      <w:r>
        <w:t>32. On November 10, 2017, a hearing was held with representatives of OF. The wholesale operator argued that the abusive strategy implemented by TI following OF's entry into the market would also have been realized through the use of certain mechanisms for determining the prices of wholesale access services developed by TI and the structure of certain offers. The changes to the pricing conditions made by TI to some wholesale services, in fact, would have generated a barrier to entry for OF. The prices charged by TI would have become particularly aggressive precisely in conjunction with OF's entry into the wholesale market.</w:t>
      </w:r>
    </w:p>
    <w:p>
      <w:r>
        <w:t>33. On November 13, 2017, an integration of the reports previously submitted by VD was received. VD reaffirmed that TI was implementing an abusive strategy with various exclusionary conducts, both in the wholesale and retail markets, marketing offers that were non-replicable by competitors and practicing conditions suitable for locking in customers. In addition to such conducts, already included in the initiation order, according to VD, TI was also engaging in the abusive exploitation for commercial purposes of privileged information held as a dominant wholesale service provider, in order to unlawfully divert customers from its competitors.</w:t>
      </w:r>
    </w:p>
    <w:p>
      <w:r>
        <w:t>34. On November 27, 2017, TI submitted a second request for an extension concerning the deadline for the submission of commitments pursuant to Article 14-ter, Law No. 287/90. In the meeting of November 29, 2017, the Authority decided to postpone the deadline to January 17, 2018.</w:t>
      </w:r>
    </w:p>
    <w:p>
      <w:r>
        <w:t>35. On January 17, 2018, TI submitted a proposal for remedies pursuant to Article 14-ter, Law No. 287/90.</w:t>
      </w:r>
    </w:p>
    <w:p>
      <w:r>
        <w:t>36. After examining the further elements that emerged during the investigation, on February 14, 2018, the Authority decided to objectively extend the proceedings to additional conducts concerning TIM's wholesale pricing strategy in the wholesale access services market for broadband and ultra-broadband and the use of privileged information regarding the customers of alternative operators to TIM in the retail broadband and ultra-broadband telecommunications services market.</w:t>
      </w:r>
    </w:p>
    <w:p>
      <w:r>
        <w:t>37. Also in its meeting of February 14, 2018, the Authority decided not to proceed with the evaluation of the commitments submitted by TI on January 17, 2018, due to the subsequent necessity to objectively extend the proceedings. As a consequence of the objective expansion, the deadline for the submission of commitments by TI restarted anew.</w:t>
      </w:r>
    </w:p>
    <w:p>
      <w:r>
        <w:t>38. On February 21, 2018, inspection activities were carried out at several corporate offices of TIM located in Rome.</w:t>
      </w:r>
    </w:p>
    <w:p>
      <w:r>
        <w:t>39. On May 11, 2018, TI submitted a request for a sixty-day extension of the deadline pursuant to Article 14-ter, Law No. 287/90. In the meeting of May 15, 2018, the Authority decided to postpone the deadline for the submission of commitments to July 5, 2018.</w:t>
      </w:r>
    </w:p>
    <w:p>
      <w:r>
        <w:t>40. On June 12, 2018, WT submitted a new report regarding alleged anti-competitive conduct carried out by Telecom Italia in relation to the promotional offer called TIM Connect. WT requested urgent intervention pursuant to Article 14-bis, Law No. 287/90.</w:t>
      </w:r>
    </w:p>
    <w:p>
      <w:r>
        <w:t>41. Subsequently, on July 4 and 11, 2018, WT submitted further integrations to the report of June 12, 2018. With the first of these integrations, WT reported that the promotional offer TIM Connect had been extended until July 29, 2018, thereby prolonging the alleged undue compression of margins. Furthermore, WT denounced that the malpractice adopted by TIM during the activation of customers was still being implemented, even with the proceedings ongoing. Lastly, WT identified elements attributable to TI's abusive strategy also in relation to the wholesale offer Easy Fiber.</w:t>
      </w:r>
    </w:p>
    <w:p>
      <w:r>
        <w:t>42. Similar complaints were made to the Authority by VD regarding TI's promotional offer called TIM Connect, with a report dated July 3, 2018.</w:t>
      </w:r>
    </w:p>
    <w:p>
      <w:r>
        <w:t>43. On July 6, 2018, a proposal for commitments pursuant to Article 14-ter, Law No. 287/90 was received by the Authority from TI, articulated in 5 points and containing behavioral and structural measures.</w:t>
      </w:r>
    </w:p>
    <w:p>
      <w:r>
        <w:t>44. In the meeting of July 26, 2018, the Authority decided to publish the commitments submitted by TI, not finding elements of manifest unfoundedness, and set the deadline of 15.</w:t>
      </w:r>
    </w:p>
    <w:p>
      <w:r>
        <w:rPr>
          <w:b/>
        </w:rPr>
        <w:t>[Pages 43–45]</w:t>
      </w:r>
    </w:p>
    <w:p>
      <w:r>
        <w:t>BULLETIN NO. 10 OF MARCH 9, 2020 45</w:t>
      </w:r>
    </w:p>
    <w:p>
      <w:r>
        <w:t>September 2018 for the conclusion of the market test. In the same meeting, considering the ongoing investigative assessment, the Authority decided not to accept the request for intervention pursuant to Article 14-bis, Law No. 287/90 submitted by WT on July 4, 2018.</w:t>
      </w:r>
    </w:p>
    <w:p>
      <w:r>
        <w:t>45. On July 31, 2018, OF and FW submitted requests for an extension of the deadline for submitting comments within the market test. On August 1, 2018, a similar request for an extension was also received from VD.</w:t>
      </w:r>
    </w:p>
    <w:p>
      <w:r>
        <w:t>46. On August 2, 2018, VD also sent a request for a separate investigation in order to treat solely the conduct of retail margin compression separately. According to VD, the harm to competitive dynamics was such as to require a specifically dedicated investigative examination. On the same date, WT also submitted a new report concerning the observations made to Agcom regarding TIM's wholesale service offer called Easy Fiber.</w:t>
      </w:r>
    </w:p>
    <w:p>
      <w:r>
        <w:t>47. In the meeting of August 8, 2018, the Authority examined the aforementioned request for separation of VD's investigation and decided to reject it, considering the interest in continuing the unified treatment of all the conduct under examination in a single proceeding to be persistent. On the same occasion, the Authority decided to accept the extension requests from OF, FW, and VD, postponing the deadline for submitting comments on the published commitment proposal to September 30, 2018.</w:t>
      </w:r>
    </w:p>
    <w:p>
      <w:r>
        <w:t>48. During the market test, comments were received on the published commitments from Enel S.p.A., Wind Tre S.p.A., Infratel Italia S.p.A., Sirti S.p.A., Open Fiber S.p.A., Tiscali Italia S.p.A., Fastweb S.p.A., Italian Internet Provider Association, and Vodafone Italia S.p.A.</w:t>
      </w:r>
    </w:p>
    <w:p>
      <w:r>
        <w:t>49. On October 17, 2018, TI submitted a request to extend the deadline for submitting reply briefs to the third-party observations received during the market test, requesting an additional thirty days (until November 29, 2018) to submit its reply observations and to evaluate the introduction of any ancillary modifications to the commitment proposal. In the meeting of October 24, 2018, the Authority examined the aforementioned request and, considering the deadline granted for formulating reply briefs to the market test observations to be adequate, decided to reject it.</w:t>
      </w:r>
    </w:p>
    <w:p>
      <w:r>
        <w:t>50. In the meeting of October 17, 2018, the Authority decided to extend the deadline for concluding the proceeding to May 31, 2019. The extension of the deadline was necessary for the conclusion of the sub-proceeding for the evaluation of the commitments and the possible continuation of the investigative assessment.</w:t>
      </w:r>
    </w:p>
    <w:p>
      <w:r>
        <w:t>51. On October 31, 2018, TI's reply brief to the observations received during the market test regarding the commitment proposal was submitted. On that occasion, TI also deemed it appropriate to submit a new form containing ancillary modifications to the commitment proposal.</w:t>
      </w:r>
    </w:p>
    <w:p>
      <w:r>
        <w:t>52. In the meeting of November 20, 2018, the Authority decided to reject the commitment proposal, considering that the set of commitments proposed by Telecom Italia was not suitable to remove the anti-competitive profiles under investigation, as described in the initiation order adopted on June 28, 2018, as well as in the objective extension order of February 14, 2018. The Authority also recognized the interest in continuing the investigative activity until the possible ascertainment of the infringement.</w:t>
      </w:r>
    </w:p>
    <w:p>
      <w:r>
        <w:t>46 BULLETIN NO. 10 OF MARCH 9, 2020</w:t>
      </w:r>
    </w:p>
    <w:p>
      <w:r>
        <w:t>53. On April 10, 2019, in light of the defensive requests received from TIM on February 14, 2019, and March 4, 2019, the Authority decided to extend the deadline for closing the proceeding to September 30, 2019.</w:t>
      </w:r>
    </w:p>
    <w:p>
      <w:r>
        <w:t>54. On May 17, 2019, the Communication of Investigative Findings was notified to the Parties. On June 7, 2019, TIM submitted a request to extend the deadline for the submission of defensive briefs and the date of the final hearing. This request was accepted by the Authority with a decision on June 12, 2019, communicated to the Parties on June 20, 2019. As a result of the aforementioned request for an extension of the deadline for the submission of defensive briefs, the Authority set the date of the final hearing for September 25 and, with a decision on September 18, 2019, postponed the deadline for concluding the proceeding to February 28, 2020.</w:t>
      </w:r>
    </w:p>
    <w:p>
      <w:r>
        <w:t>III. THE INVESTIGATIVE FINDINGS</w:t>
      </w:r>
    </w:p>
    <w:p>
      <w:r>
        <w:t>a) The relevant markets</w:t>
      </w:r>
    </w:p>
    <w:p>
      <w:r>
        <w:t>55. The definition of the relevant market aims to identify the scope within which companies compete, that is, the context in which the assessment of the business conduct subject to antitrust proceedings takes place. It constitutes a tool for identifying and defining the boundaries of the market context, both in terms of product and geographical scope, within which companies are in competition with each other, and within which to apply the competition protection regulations. The main purpose of defining the market is to identify the competitive pressures to which the companies concerned are subjected. The market must be defined both from the product perspective and from the geographical perspective, in order to identify the actual competitors of the companies concerned who are able to influence their behavior and prevent them from operating independently of actual competitive pressures.</w:t>
      </w:r>
    </w:p>
    <w:p>
      <w:r>
        <w:t>56. In this case, for the purposes of evaluating the conduct under detailed investigation, the following relevant markets are identified:</w:t>
        <w:br/>
        <w:t>i. the market for wholesale access services to the fixed broadband and ultra-broadband network, of national size, also referred to as the wholesale market;</w:t>
        <w:br/>
        <w:t>ii. the market for retail telecommunications services on the fixed broadband and ultra-broadband network, of national size, also referred to as the retail market.</w:t>
      </w:r>
    </w:p>
    <w:p>
      <w:r>
        <w:t>57. The market for wholesale access services to the fixed broadband and ultra-broadband network includes the demand and supply of access services to the local fixed network for broadband and ultra-broadband. Access to the local network that connects the end customer is a necessary production factor for operating in the downstream market for retail telecommunications services. For operators intending to prepare an offer of telecommunications services aimed at the end customer, the procurement of local network access services is essential, as it is not possible to serve the end customer without access to the local network. The local access network also has the characteristic of the shareability of the use of production capacity among multiple operators and the non-duplicability in reasonable time and costs. In this perspective, it can be considered that the local access network in fixed position largely integrates the peculiar elements of essential infrastructure.</w:t>
      </w:r>
    </w:p>
    <w:p>
      <w:r>
        <w:t>7 See Commission Communication on the definition of the relevant market for the application of Community law on competition (97/C 372/03).</w:t>
      </w:r>
    </w:p>
    <w:p>
      <w:r>
        <w:t>BULLETIN NO. 10 OF MARCH 9, 2020 47</w:t>
      </w:r>
    </w:p>
    <w:p>
      <w:r>
        <w:t>58. Therefore, due to the prevailing economic characteristics, especially in terms of cost structure, the wholesale access services market presents a high degree of concentration on the supply side. These characteristics are accentuated in less densely populated areas, where the breadth of demand is relatively small and the supply of wholesale access services tends to be structured in practically monopolistic forms. Indeed, in such contexts, it is usually necessary to impose supply obligations by the regulator to ensure at least one offer of wholesale access services.</w:t>
      </w:r>
    </w:p>
    <w:p>
      <w:r>
        <w:t>59. Traditionally, the wholesale access services market is characterized by persistent phenomena over time, of concentration of market power, usually in the hands of a single operator. In Italy, in particular, this market has historically recorded a substantial absence of competition among companies with proprietary infrastructures, unlike how the mobile telephony services market has developed, for example. The fixed local access network owned by TIM still represents the only infrastructure widely distributed throughout the national territory capable of providing telecommunications services on fixed network, broadband, and ultra-broadband. As of December 2017, 99.3% of real estate units were covered by access to the fixed broadband network.</w:t>
      </w:r>
    </w:p>
    <w:p>
      <w:r>
        <w:t>8 Finally, see Agcom resolution 348/19/CONS of July 18, 2019, which, as a result of the market analysis procedure for wholesale access services, confirmed regulatory obligations on TIM as provided for by the Electronic Communications Code, namely the obligations of: i) access; ii) transparency; iii) non-discrimination; iv) accounting separation; v) price control; and vi) cost accounting.</w:t>
      </w:r>
    </w:p>
    <w:p>
      <w:r>
        <w:t>9 Source: European Commission.</w:t>
      </w:r>
    </w:p>
    <w:p>
      <w:r>
        <w:rPr>
          <w:b/>
        </w:rPr>
        <w:t>[Pages 46–48]</w:t>
      </w:r>
    </w:p>
    <w:p>
      <w:r>
        <w:t>48 BULLETIN NO. 10 OF MARCH 9, 2020</w:t>
      </w:r>
    </w:p>
    <w:p>
      <w:r>
        <w:t>Figure 1. DSL accesses as a percentage of total active broadband and ultra-broadband accesses on fixed network (%)</w:t>
      </w:r>
    </w:p>
    <w:p>
      <w:r>
        <w:t>Source: European Commission.</w:t>
      </w:r>
    </w:p>
    <w:p>
      <w:r>
        <w:t>61. In recent years, the gap between the two historical series shown in Figure 1 has even widened. In some countries, in fact, the role of cable network technologies has been quite significant in supporting the spread of ultra-broadband Internet accesses, especially in the initial phase.</w:t>
      </w:r>
    </w:p>
    <w:p>
      <w:r>
        <w:t>62. However, starting at least from 2016, the Italian wholesale access services market began to experience the first forms of infrastructure competition, especially following the entry of the new operator Open Fiber into the market. OF adopted a business model characterized by exclusive presence in the wholesale access services market (so-called pure wholesale model) and announced and then initiated a coverage plan for the territory with FTTH networks that involves approximately 270 cities.</w:t>
      </w:r>
    </w:p>
    <w:p>
      <w:r>
        <w:t>63. In terms of investments already made and commercialization initiated, according to currently available data, by May 2018, OF had activated an alternative wholesale access services offer to that of TIM in the cities of Bari, Bologna, Bresso, Buccinasco, Cagliari, Catania, Genoa, Milan, Naples, Opera, Padua, Palermo, Perugia, Rozzano, Sesto San Giovanni, Settimo Torinese, Turin, and Venice10.</w:t>
      </w:r>
    </w:p>
    <w:p>
      <w:r>
        <w:t>64. In just a few years, with a marked acceleration following the market entry of Open Fiber, there has been a progression in the coverage of the population with ultra-broadband fixed networks. By the end of 2017, approximately 87% of housing units were reached by access to an ultra-broadband network, mainly due to the increase in coverage with TIM's FTTC networks, compared to 43.9% in June 201511. About 22% of housing units, by the end of 2017, had access to an FTTH network12.</w:t>
      </w:r>
    </w:p>
    <w:p>
      <w:r>
        <w:t>65. The increase in coverage values with UBB (ultra-broadband) networks has also favored an initial phase of development of the take-up of related services among consumers, although with certain specificities, during the two-year period 2015-17. In particular, active UBB fixed accesses became one-third of the total active broadband and ultra-broadband lines, compared to 14-15% two years earlier13. The growth of ultra-broadband connections is largely attributed to the spread of accesses on TIM's hybrid fiber/copper FTTC network. By the end of 2017, approximately 70% of ultra-broadband lines were active on FTTC networks14.</w:t>
      </w:r>
    </w:p>
    <w:p>
      <w:r>
        <w:t>66. The second of the identified relevant markets, the market for retail telecommunications services on fixed ultra-broadband and broadband networks, structurally presents an oligopolistic nature, although there is a more sustained competitive comparison compared to the upstream related wholesale market.</w:t>
      </w:r>
    </w:p>
    <w:p>
      <w:r>
        <w:t>67. In reality, the strongly asymmetric distribution of market power along the value chain, with TIM's dominant position in the wholesale services market, constitutes a significant element of weakness in competitiveness even in the downstream retail telecommunications services market. In this latter market, in fact, TIM, as the only vertically integrated operator, possessing an access network covering the entire national geographic market, finds itself in a structurally advantageous competitive position. The effect of the disparity in infrastructure resource endowments among operators active in the wholesale market is a market structure that presents a significant degree of concentration, both in absolute terms and in relation to the mobile telecommunications services market. The retail fixed telecommunications services market, broadband and ultra-broadband, in fact, presents a structurally higher degree of concentration than the mobile telecommunications services market. The concentration differential between the two markets tends to remain stable over time.</w:t>
      </w:r>
    </w:p>
    <w:p>
      <w:r>
        <w:t xml:space="preserve">11 Source: European Commission.  </w:t>
        <w:br/>
        <w:t xml:space="preserve">12 Source: European Commission.  </w:t>
        <w:br/>
        <w:t xml:space="preserve">13 Source: elaborations on data from Agcom resolution 613/18/CONS.  </w:t>
        <w:br/>
        <w:t>14 Source: elaborations on data from Agcom resolution 613/18/CONS.</w:t>
      </w:r>
    </w:p>
    <w:p>
      <w:r>
        <w:t>50 BULLETIN NO. 10 OF MARCH 9, 2020</w:t>
      </w:r>
    </w:p>
    <w:p>
      <w:r>
        <w:t>Figure 2</w:t>
      </w:r>
    </w:p>
    <w:p>
      <w:r>
        <w:t>Source: Authority elaborations on Agcom Observatory data</w:t>
      </w:r>
    </w:p>
    <w:p>
      <w:r>
        <w:t>68. Accordingly, the average revenue per active line (ARPU) is much higher in the retail fixed telecommunications services market. The differential is of such an order of magnitude that it can only be partially attributed to the different underlying cost structures.</w:t>
      </w:r>
    </w:p>
    <w:p>
      <w:r>
        <w:rPr>
          <w:b/>
        </w:rPr>
        <w:t>[Pages 49–51]</w:t>
      </w:r>
    </w:p>
    <w:p>
      <w:r>
        <w:t>BULLETIN NO. 10 OF MARCH 9, 2020 51</w:t>
      </w:r>
    </w:p>
    <w:p>
      <w:r>
        <w:t xml:space="preserve">Figure 3  </w:t>
        <w:br/>
        <w:t>Source: Authority elaborations on data from the Annual Reports and the Agcom Observatory</w:t>
      </w:r>
    </w:p>
    <w:p>
      <w:r>
        <w:t>69. From a regulatory perspective, it is noted that the Recommendation of the Commission (2014/710/EU) of October 9, 2014, regarding the relevant markets for products and services in the electronic communications sector that may be subject to ex ante regulation pursuant to Directive 2002/21/EC identifies market 3) of wholesale access services to the fixed network, distinguishing it into two "sub-markets," market 3a and market 3b.</w:t>
      </w:r>
    </w:p>
    <w:p>
      <w:r>
        <w:t>70. Market 3a is defined as the market for wholesale local access at fixed locations. This market includes some of the most widely used wholesale access services. In the Commission's definition, market 3a includes, first and foremost, physical access services (for example, ULL15 and SLU16), which: i) are provided at a local level, that is, at a level closer to the end user compared to the regional and national levels at which bitstream services are traditionally provided17; ii) ensure dedicated network capacity and guaranteed bandwidth to meet the needs of operators requesting access; iii) allow for sufficient control of the transmission network and differentiation of final products.</w:t>
      </w:r>
    </w:p>
    <w:p>
      <w:r>
        <w:t>71. Market 3b consists of so-called wholesale broadband central access services, primarily of the "bitstream" type, which involve the provision of the local access network segment and a segment of backhauling network upstream of the central office, up to the nearest traffic delivery node where the purchasing operator is located. These are mainly active access services, requested by operators who generally have a less extensive proprietary infrastructure compared to those operators purchasing services in sub-market 3a.</w:t>
      </w:r>
    </w:p>
    <w:p>
      <w:r>
        <w:t>72. Market 3a is the result of the expansion of the market related to physical access services (formerly market 4) from the previous Recommendation of 200718, to virtual access services (formerly market 5). The Commission has indeed considered that the development of access technologies that occurred in the years following the 2007 Recommendation has blurred the distinction between physical services (ULL / SLU) and some virtual access services (VULA)19. The new criteria used for the commodity definition of wholesale access service markets are: i) the location of the network point where the service is provided; ii) the level of service quality (guaranteed bandwidth); iii) the degree of control over the non-proprietary portion of the network for which wholesale access is requested. Essentially, according to the Explanatory note from the Commission, the realization of new fiber optic access networks beyond the central office (FTTC/H) makes the distinction between physical and virtual services less relevant, especially in the eyes of consumers, and gives greater importance to the traffic aggregation point: local level (market 3a - Wholesale Local Access) or central level (market 3b - Wholesale Central Access). What would therefore be relevant for the new market distinction is the ability to replicate the offering conditions enjoyed by those who possess an NGA (Next Generation Access)20 network infrastructure.</w:t>
      </w:r>
    </w:p>
    <w:p>
      <w:r>
        <w:t>73. At the end of the last market analysis procedure for access services to the network, Agcom, in light of the performance provided and in line with the new interpretative line of the commodity profile of access markets, deemed that the active access service VULA could be included in market 3a21. It can therefore be considered that the main distinction between market 3a and 3b essentially lies in the different distance of the traffic delivery point from the end user's location. This is a "geographical" criterion, as the traditional division between active and physical services is considered, in part, outdated. Market 3a thus includes wholesale access services to the network primarily purchased by operators who have managed to establish their own network infrastructure, at least up to TIM's central office.</w:t>
      </w:r>
    </w:p>
    <w:p>
      <w:r>
        <w:t>74. In any case, it must be considered that, from the regulator's perspective, the distinction between services in market 3a and 3b is relevant as, in the context of imposing price control obligations and other regulatory obligations, the difference between the services of the two "sub-markets" is appropriately valued, given that the price of access included in market 3a (e.g., ULL) is on average significantly lower than the price of a service included in market 3b (e.g., "copper bitstream"). The price gap, of course, arises from the length of the physical bearer segment required and the equipment necessary to guarantee a certain standard of performance to the end customer, to which different levels of costs incurred by the network operator in preparing the supply are attributable.</w:t>
      </w:r>
    </w:p>
    <w:p>
      <w:r>
        <w:t>75. For the purposes of the market analysis for antitrust purposes, this distinction between market 3a and 3b does not appear to be relevant. In fact, access services in both markets imply, in any case, the preliminary procurement of a network input from TIM. In this sense, it should be highlighted that TIM's local access network remains the only essential infrastructure in the fixed telecommunications industry. Operators who purchase physical access services (ULL, unlit fiber) from TIM can self-produce active services (VULA, bitstream) to serve their own end customers and have the possibility to resell such services to third-party operators, in competition with TIM. However, even this partial competitive comparison is only possible due to the imposition of a cost-oriented price control obligation by the regulator for the offer of access services included in market 3a. In any case, considering that TIM's monopolistic power ultimately originates from the ownership of the only local access network infrastructure, price control obligations are still imposed for access services included in market 3b.</w:t>
      </w:r>
    </w:p>
    <w:p>
      <w:r>
        <w:t>76. From this perspective, it should also be taken into account that the "virtual" access networks assembled by operators who purchase physical access services from TIM, in addition to being unable to generate sufficient competitive pressure, do not have coverage comparable to TIM's network. According to available data, in fact, the ULL service was available, at the end of 2017, in approximately 2,472 TIM central offices out of a total of more than 10,200 central offices nationwide22. Only in these central offices can alternative operators offer virtual access services in competition with TIM, while TIM has an active offer of virtual access services in all areas where retail services with DSL technology, that is, broadband, are provided. In practice, TIM's offer of virtual access services does not exclusively cover areas that have not yet been reached by ADSL.</w:t>
      </w:r>
    </w:p>
    <w:p>
      <w:r>
        <w:t>77. Competitive pressure in sub-market 3b, moreover, is weak as alternative operators who purchase physical access services (in sub-market 3a) largely use these network resources for self-production of access services aimed solely at serving their own customer base, without allocating them, except marginally, to the preparation of access service offers aimed at third-party operators.</w:t>
      </w:r>
    </w:p>
    <w:p>
      <w:r>
        <w:t>78. Given the ownership of the only local access network with maximum coverage, TIM is able to exert significant market power over the offer of all wholesale broadband and ultra-broadband access services, whether physical or virtual. In fact, TIM could increase the prices of virtual access services, distorting the competitive process. An increase in the prices of bitstream services, for example, would be profitable for TIM to the extent that alternative operators purchasing such service could not, in the short term, replace it with a physical access service that provides comparable performance. These operators would indeed need to invest in additional proprietary infrastructure, at least up to TIM's central office, and this, evidently, cannot happen in relatively quick times compared to the time to market.</w:t>
      </w:r>
    </w:p>
    <w:p>
      <w:r>
        <w:t>79. Conversely, if TIM were to increase the price of physical access services, operators purchasing them might find it convenient to replace them with virtual access services. In fact, in light of the data derived from Agcom resolution no. 613/18/CONS.</w:t>
      </w:r>
    </w:p>
    <w:p>
      <w:r>
        <w:rPr>
          <w:b/>
        </w:rPr>
        <w:t>[Pages 52–54]</w:t>
      </w:r>
    </w:p>
    <w:p>
      <w:r>
        <w:t>54 BULLETIN NO. 10 OF MARCH 9, 2020</w:t>
      </w:r>
    </w:p>
    <w:p>
      <w:r>
        <w:t>79. If, on the other hand, TIM were to increase the price of physical access services, the operators purchasing them might find it advantageous to replace them with virtual access services. In fact, in light of the significant loss due to (partial) failure to recover certain investments in fixed costs (related, for example, to the network equipment necessary to "activate" the physical lines leased with the purchase of physical access services), alternative operators could continue to serve the installed final clientele in a short time by switching to virtual access services, albeit at the cost of suffering a distorting effect on their current and future infrastructure investment choices23.</w:t>
      </w:r>
    </w:p>
    <w:p>
      <w:r>
        <w:t>80. In this sense, it is highlighted that from the perspective of national demand, represented by alternative telecommunications operators to TIM, wholesale access services to both physical and virtual networks have a relationship of complementarity rather than substitutability. Considering the entire national territory, in fact, an alternative operator may need to purchase virtual services in certain areas (for example, outside urban areas) where it has not invested in building its own network while it may choose to request a physical access service in areas where it is infrastructured.</w:t>
      </w:r>
    </w:p>
    <w:p>
      <w:r>
        <w:t>81. In light of these elements, for the purposes of the analysis regarding the dominant position and conduct of TIM, it is believed that the access services of regulatory markets 3a and 3b are part of a single relevant market of wholesale access services to broadband and ultra-broadband networks.</w:t>
      </w:r>
    </w:p>
    <w:p>
      <w:r>
        <w:t>82. The second of the identified relevant markets, the market for retail telecommunications services on fixed broadband and ultra-broadband networks, structurally presents an oligopolistic nature, although there is a more intense competitive comparison compared to the upstream related market of wholesale access services. In reality, the strongly asymmetric distribution of market power along the vertical value chain, with TIM's dominant position in the wholesale services market, constitutes a significant element of weakness in competitiveness even in the downstream market of retail telecommunications services. In this latter market, in fact, TIM, as the only vertically integrated operator possessing an access network covering the entire national geographic market, finds itself in a position of structural competitive advantage.</w:t>
      </w:r>
    </w:p>
    <w:p>
      <w:r>
        <w:t>83. Both identified relevant markets, for the considerations outlined below, present a geographical scope of national dimension.</w:t>
      </w:r>
    </w:p>
    <w:p>
      <w:r>
        <w:t>84. The wholesale access services market is characterized, across the generality of the national territory, by a position of almost monopoly held by TIM, with the exception of limited areas in some metropolitan regions where, following the market entry of Open Fiber, more competitive market structures are beginning to emerge. This is essentially the case in the city of Milan, where TIM, as of June 30, 2018, has an active fixed line market share, in broadband and ultra-broadband, of approximately 34%, comparable to the similar share of Open Fiber24.</w:t>
      </w:r>
    </w:p>
    <w:p>
      <w:r>
        <w:t>85. On this point, however, it must be noted that the specificity of the Milan case cannot be extended to other Italian cities, arising from the fact that the FTTH network in the Milan area was built by the company Metroweb, later acquired by Open Fiber, before TIM established its coverage with FTTC network. In practice, the technological evolution of the fixed network has skipped a phase of the development cycle as has occurred so far in the rest of the national territory25.</w:t>
      </w:r>
    </w:p>
    <w:p>
      <w:r>
        <w:t>86. In any case, even in this area, TIM's competitive strength remains incomparable to that of other operators active in the retail market. Unlike Fastweb, Vodafone, or Wind Tre, in fact, TIM has its own fixed network, in broadband and ultra-broadband, that covers the Municipality of Milan in the same percentages as Open Fiber's fiber optic network. It can therefore be concluded that the peculiar competitive situation of the Municipality of Milan is irrelevant for the purposes of the antitrust analysis of market power.</w:t>
      </w:r>
    </w:p>
    <w:p>
      <w:r>
        <w:t>87. In other cities where Open Fiber has initiated the implementation of its FTTH coverage plan, there are no inherited infrastructures, as in the case of Milan, from Metroweb, or at least there are no networks with a coverage degree comparable to that present in Milan. The coverage percentages achieved are still largely not comparable to the coverage levels of TIM's UBB network.</w:t>
      </w:r>
    </w:p>
    <w:p>
      <w:r>
        <w:t>88. Furthermore, in this specific case, it is believed that the conduct under examination in this investigation is not irrelevant to the analysis of the market structure, both in static and dynamic terms. It should be noted, in fact, that the opportunistic strategy adopted by TIM in the white areas in the context of the Infratel tenders, as emerged from the investigative findings to which this document refers, and the almost simultaneous maneuver of reconfiguring the wholesale access service offer throughout the national territory, precisely in exercising abusive competitive pressure against the new entrant Open Fiber across the national territory, support the persistence of the geographical delimitation of the market in national terms. In fact, the conduct of TIM examined here is aimed at hindering the development of the market in a competitive sense, even where OF has planned the realization of an alternative network infrastructure to TIM. In this sense, it should also be noted that the suitability of TIM's conduct to pursue exclusionary purposes also involves the Municipality of Milan.</w:t>
      </w:r>
    </w:p>
    <w:p>
      <w:r>
        <w:t>89. The retail telecommunications services market for broadband and ultra-broadband also presents a national geographical dimension. The range of wholesale access services that make up TIM's wholesale access service offering is such as to allow the presence in the retail services market of numerous alternative operators, as it is possible to flexibly modulate their degree of proprietary infrastructure. The wholesale access services, whose technical and economic offer conditions are subject to regulatory obligations, vary from bitstream, purchased by less infrastructured operators who have traffic delivery points located upstream of the exchange, to SLU, purchased by operators with proprietary networks up to the street cabinet, to the rental of the vertical section that delivers traffic from the base of the building to the end user’s premises.</w:t>
      </w:r>
    </w:p>
    <w:p>
      <w:r>
        <w:t>90. In this way, operators capable of providing a service offering to the final clientele can be numerous and have the ability to adapt their degree of proprietary infrastructure according to their preferences, also maximizing the coverage of the territory with alternative offers to those of TIM. The variety of wholesale access services, in fact, allows the economic sustainability of differentiated business infrastructure models. Operators, therefore,</w:t>
      </w:r>
    </w:p>
    <w:p>
      <w:r>
        <w:t>25 For the specific elements of the Milan case, in its resolution 348/19/CONS, Agcom identified the Municipality of Milan, for regulatory purposes, as a market distinct from the rest of the national territory.</w:t>
      </w:r>
    </w:p>
    <w:p>
      <w:r>
        <w:t>56 BULLETIN NO. 10 OF MARCH 9, 2020</w:t>
      </w:r>
    </w:p>
    <w:p>
      <w:r>
        <w:t>have the need to be able to offer their services across the entire market, for the entire national territory, in order to exercise the maximum degree of competitiveness.</w:t>
      </w:r>
    </w:p>
    <w:p>
      <w:r>
        <w:t>b) The dominant position</w:t>
      </w:r>
    </w:p>
    <w:p>
      <w:r>
        <w:t>91. Article 102 TFEU prohibits the abusive exploitation by one or more enterprises of a dominant position in the internal market or in a substantial part of it, to the extent that it may be detrimental to trade between Member States. The application prerequisite of the provision is the existence of a dominant position held by the enterprise that has engaged in the conduct deemed abusive.</w:t>
      </w:r>
    </w:p>
    <w:p>
      <w:r>
        <w:t>92. From the dominant position arises a "special responsibility," whereby the enterprise holding it cannot reduce or eliminate the degree of competition still existing in the market, with exclusionary behaviors26. Therefore, acts to protect the commercial interests of the dominant enterprise are permitted but not conduct aimed at strengthening the dominant position and abusing it27.</w:t>
      </w:r>
    </w:p>
    <w:p>
      <w:r>
        <w:t>93. In the case at hand, it is believed that this prerequisite can be found without any doubt in TIM. The entry of OF into the market, in fact, while representing an event of undeniable significance regarding the competitive dynamics that have historically prevailed in the Italian wholesale fixed access services market, does not seem to have immediately changed the degree of independence enjoyed by TIM as a dominant operator. According to available data, in the market for wholesale broadband and ultra-broadband access services, TIM continues to hold a dominant position across the entire national territory. It is particularly noteworthy that at the time of Open Fiber's entry into the market, TIM had a market share of services included in submarket 3a exceeding 90%.</w:t>
      </w:r>
    </w:p>
    <w:p>
      <w:r>
        <w:t>Table 1. Market shares - submarket of wholesale access services to the fixed network 3a in active lines</w:t>
      </w:r>
    </w:p>
    <w:p>
      <w:r>
        <w:t>2014 2015 2016</w:t>
        <w:br/>
        <w:t>Telecom Italia 95.35% 93.74% 92.56%</w:t>
        <w:br/>
        <w:t>Other operators 4.65% 6.26% 7.44%</w:t>
        <w:br/>
        <w:t>Source: Agcom Resolution No. 613/18/CONS.</w:t>
      </w:r>
    </w:p>
    <w:p>
      <w:r>
        <w:t>94. The data refers exclusively to the so-called market 3a, as identified by the Commission Recommendation (2014/710/EU) of October 9, 2014, regarding the relevant markets for products and services in the electronic communications sector that may be subject to ex ante regulation pursuant to Directive 2002/21/EC.</w:t>
      </w:r>
    </w:p>
    <w:p>
      <w:r>
        <w:t>26 See, inter alia, judgments of the Court of Justice of the EU of February 21, 1973 (case C-6/72 – Europemballage); November 9, 1983 (case C-322/81 - N. V. Nederlandsche Banden-Industrie Michelin v. Commission of the European Communities); July 3, 1991 (case C-62/86 - Akzo Chemie); March 16, 2000 (case C-395/96 - Compagnie Maritime Belge) and judgment of the Council of State, section VI, of March 10, 2006 No. 1271.</w:t>
      </w:r>
    </w:p>
    <w:p>
      <w:r>
        <w:t>27 Judgments of the General Court of the EU of October 7, 1999 (case T-228/97 - Irish Sugar) and October 8, 1996 (joined cases T-24/93, 25-93, 26/93, 28/93 - Compagnie maritime belge and others).</w:t>
      </w:r>
    </w:p>
    <w:p>
      <w:r>
        <w:rPr>
          <w:b/>
        </w:rPr>
        <w:t>[Pages 55–57]</w:t>
      </w:r>
    </w:p>
    <w:p>
      <w:r>
        <w:t>BULLETIN NO. 10 OF MARCH 9, 2020 57</w:t>
      </w:r>
    </w:p>
    <w:p>
      <w:r>
        <w:t>95. Market 3a includes wholesale access services to the network purchased mainly by operators who have managed to equip themselves with their own network infrastructure, at least up to the TIM exchange. Market 3b, as referred to in the aforementioned Commission Recommendation (2014/710/EU) of October 9, 2014, consists of so-called wholesale broadband central access services, mainly of the "bitstream" type, which provide for the supply of the local access network segment and a section of backhauling network upstream of the exchange, up to the nearest traffic delivery node of the purchasing operator.</w:t>
      </w:r>
    </w:p>
    <w:p>
      <w:r>
        <w:t>96. Again, TIM's dominant position clearly emerges from the analysis of the available data.</w:t>
      </w:r>
    </w:p>
    <w:p>
      <w:r>
        <w:t>Table 2. Market shares - sub-market of wholesale access services to the fixed network 3b in active lines</w:t>
        <w:br/>
        <w:t>2014 2015 2016</w:t>
        <w:br/>
        <w:t>Telecom Italia 57.69% 55.50% 54.43%</w:t>
        <w:br/>
        <w:t>Wind Tre 15.58% 15.34% 14.74%</w:t>
        <w:br/>
        <w:t>Fastweb 10.75% 11.03% 11.23%</w:t>
        <w:br/>
        <w:t>Vodafone 8.81% 9.35% 10.18%</w:t>
        <w:br/>
        <w:t>Other operators 7.17% 8.78% 9.43%</w:t>
        <w:br/>
        <w:t>Source: Agcom Resolution No. 613/18/CONS.</w:t>
      </w:r>
    </w:p>
    <w:p>
      <w:r>
        <w:t>97. The data reported in the previous tables confirm TIM's dominance in the relevant market of wholesale access services to the network, broadband and ultra-broadband. In fact, the circumstance that TIM has a share of active accesses as a dominant entity even in the segment of access services included in sub-market 3b leaves no doubt about the strong autonomy of conduct that TIM can enjoy compared to competitors in the overall relevant market, considering that a large part of the accesses in sub-market 3b from other operators is provided through preliminary upstream procurement, in sub-market 3a, of a network input from TIM. Not to mention the fact that the majority of access services in sub-market 3b offered by alternative operators to TIM are intended for their respective downstream commercial divisions and, therefore, do not contribute to forming an alternative wholesale access service offer to TIM for third operators.</w:t>
      </w:r>
    </w:p>
    <w:p>
      <w:r>
        <w:t>98. The competitive pressure potentially arising from 4G/LTE mobile networks does not appear to constitute an effective competitive constraint. In fact, although in Italy, compared to other European countries, the percentage of households accessing the Internet exclusively through mobile networks is particularly high, and despite the development of 4G/LTE networks having now reached evident maturity, the dynamic competitive pressure exerted by innovation in mobile networks on fixed network operators appears to be contained: i) by the degree of substitutability from the demand side between fixed and mobile (ultra-)broadband access services, which currently appears limited; ii) by the coexistence of the main Italian operators in both mobile and fixed;</w:t>
      </w:r>
    </w:p>
    <w:p>
      <w:r>
        <w:t>58 BULLETIN NO. 10 OF MARCH 9, 2020</w:t>
      </w:r>
    </w:p>
    <w:p>
      <w:r>
        <w:t>iii) by the complementarity that seems to characterize the offers of fixed and mobile services from a commercial perspective; as well as iv) by the limitations, especially in terms of traffic caps, that are prevalent in the offer of Internet traffic on mobile networks.</w:t>
      </w:r>
    </w:p>
    <w:p>
      <w:r>
        <w:t>99. Even in the retail telecommunications services market for broadband and ultra-broadband, the available data supports the existence of a dominant position held by TI.</w:t>
      </w:r>
    </w:p>
    <w:p>
      <w:r>
        <w:t>Table 3. Market shares September 2018 (%) – retail telecommunications services market for broadband and ultra-broadband</w:t>
        <w:br/>
        <w:t>Dec. 2015 Dec. 2016 Dec. 2017</w:t>
        <w:br/>
        <w:t>Telecom Italia 46.6 45.9 45.6</w:t>
        <w:br/>
        <w:t>Vodafone 12.8 13.6 14.5</w:t>
        <w:br/>
        <w:t>Wind Tre 15.3 14.5 14.5</w:t>
        <w:br/>
        <w:t>Fastweb 14.7 15.1 14.8</w:t>
        <w:br/>
        <w:t>Other operators 10.6 10.9 10.6</w:t>
        <w:br/>
        <w:t>Source: Agcom Resolution No. 613/18/CONS published on January 18, 2019.</w:t>
      </w:r>
    </w:p>
    <w:p>
      <w:r>
        <w:t>100. The market power held by TI must be considered significant, not only due to the share exceeding 40% and more than double that of the second operator, but also and above all due to TI's vertical integration in the upstream market for wholesale access services. This competitive structure therefore poses significant risks of anti-competitive conduct, especially of a discriminatory nature, for the retail telecommunications services market.</w:t>
      </w:r>
    </w:p>
    <w:p>
      <w:r>
        <w:t>101. Moreover, TI's strong position is also important with specific reference to the ultra-broadband line market, suitable for providing a connection with data transmission speeds in download starting at least at 30 Mbps. In this sub-area, where the largest share of value is generated in current and prospective terms concerning the market in question, TIM has managed in a few years to achieve a dominant position, even having started late compared to its main competitors with the commercial rollout of new offers. TIM's share of active ultra-broadband lines has increased from 29.9% in 2014 to 46.9% in December 2017.</w:t>
      </w:r>
    </w:p>
    <w:p>
      <w:r>
        <w:t>28 Source: Agcom opinion doc. 526.</w:t>
      </w:r>
    </w:p>
    <w:p>
      <w:r>
        <w:t>BULLETIN NO. 10 OF MARCH 9, 2020 59</w:t>
      </w:r>
    </w:p>
    <w:p>
      <w:r>
        <w:t>Table 4. Market share trends for offers with services ≥ 30 Mbit/s (%)</w:t>
        <w:br/>
        <w:t>Dec-2017 Diff. vs Dec 2016</w:t>
        <w:br/>
        <w:t>Tim 46.9 7</w:t>
        <w:br/>
        <w:t>Vodafone 21.3 -0.5</w:t>
        <w:br/>
        <w:t>Fastweb 22.3 -11.2</w:t>
        <w:br/>
        <w:t>Wind Tre 7.7 4.0</w:t>
        <w:br/>
        <w:t>Others 1.8 0.6</w:t>
        <w:br/>
        <w:t>Total 100.0 0.0</w:t>
        <w:br/>
        <w:t>Source: Agcom Resolution No. 613/18/CONS published on January 18, 2019.</w:t>
      </w:r>
    </w:p>
    <w:p>
      <w:r>
        <w:t>102. The share of active accesses with speeds exceeding 30 Mbps increased during 2017, on an annual basis. 2017 is a crucial year for the commercial development of such services; the penetration rate nearly doubled in one year, rising from 15.7% to 28.2% of the total fixed broadband and ultra-broadband lines (data from the European Commission).</w:t>
      </w:r>
    </w:p>
    <w:p>
      <w:r>
        <w:t>c) Evidence regarding the conduct of Telecom Italia</w:t>
      </w:r>
    </w:p>
    <w:p>
      <w:r>
        <w:t>103. The existence of a dominant position, in itself, is not incompatible with competition law; it is certainly possible, in fact, for a dominant company to compete lawfully in the market with other competitors. The Authority's investigative work must aim to identify a line of demarcation between legitimate use and abuse of the position of a dominant competitor, in compliance with the general principle of proportionality, investigating, in concrete terms, the degree of economic power of the company. The analytical prerequisites in the antitrust procedure for the alleged violation of Article 102 TFEU, represented by the relevant market and the existence of a dominant position, must, however, serve as a contextual reference within which to "frame" the verification of the distortions of competition generated by the conduct adopted by the dominant company in that specific competitive area.</w:t>
      </w:r>
    </w:p>
    <w:p>
      <w:r>
        <w:t>104. Practices that may constitute a violation of Article 102 TFEU may consist, among others, in a) directly or indirectly imposing unfair purchase, selling prices, or other transaction conditions; b) limiting production, outlets, or technical development to the detriment of consumers; c) applying dissimilar conditions in commercial relations with other contracting parties for equivalent performances, thus creating a disadvantage for these latter in competition; d) conditioning the conclusion of contracts on the acceptance by other contracting parties of supplementary performances that, by their nature or according to commercial practices, have no connection with the subject matter of the contracts themselves.</w:t>
      </w:r>
    </w:p>
    <w:p>
      <w:r>
        <w:t>105. From the elements collected during the procedure, it is possible to outline the emergence of the following conducts, carried out by TIM in the two relevant markets identified above.</w:t>
      </w:r>
    </w:p>
    <w:p>
      <w:r>
        <w:t>29 Cf. Council of State ruling, section VI, No. 1673 of April 8, 2014.</w:t>
      </w:r>
    </w:p>
    <w:p>
      <w:r>
        <w:rPr>
          <w:b/>
        </w:rPr>
        <w:t>[Pages 58–60]</w:t>
      </w:r>
    </w:p>
    <w:p>
      <w:r>
        <w:t>60 BULLETIN NO. 10 OF MARCH 9, 2020</w:t>
      </w:r>
    </w:p>
    <w:p>
      <w:r>
        <w:t>Table 5. Conducts subject to investigative verification</w:t>
        <w:br/>
        <w:t>Regulatory gaming against Infratel Italia</w:t>
        <w:br/>
        <w:t>Conducts in the wholesale market Legal actions against Infratel Italia and OF</w:t>
        <w:br/>
        <w:t>Instrumental repricing of the wholesale offer against OF</w:t>
        <w:br/>
        <w:t>Promotional offers with elements of customer lock-in</w:t>
        <w:br/>
        <w:t>Conducts in the final retail market</w:t>
        <w:br/>
        <w:t>Illicit use of privileged network information</w:t>
      </w:r>
    </w:p>
    <w:p>
      <w:r>
        <w:t>106. The investigation carried out, characterized by a high degree of complexity – considering the breadth of the abusive conducts contested, the extent of the affected markets, and the technical elements that characterize the wholesale and retail services exchanged in the relevant markets – allows for the entire set of conducts subject to verification to be traced back to a single and complex exclusionary abusive strategy, which TI has implemented in various ways since at least December 2016, immediately following the entry of Open Fiber, the first structured competitor to represent a concrete competitive threat to TI's established dominant position in the wholesale fixed network access services market.</w:t>
      </w:r>
    </w:p>
    <w:p>
      <w:r>
        <w:t>107. Below, we will proceed to report the most significant elements collected on each of the conducts during the investigative procedure.</w:t>
      </w:r>
    </w:p>
    <w:p>
      <w:r>
        <w:t>i. Conducts obstructing the promotion of infrastructural development</w:t>
        <w:br/>
        <w:t>Changes to TIM's investment plans</w:t>
      </w:r>
    </w:p>
    <w:p>
      <w:r>
        <w:t>108. On November 12, 2015, the Board of Directors of Enel approved a project for the establishment of a newco for the group's entry into the fixed network telecommunications markets. The evidence collected shows that, immediately after learning of this news, TIM took steps to assess possible reactions. In an internal document dated December 2015, the first analyses are reported on the initiatives to be undertaken to address the changed competitive infrastructural scenario. In this document, TIM states that the set of reaction hypotheses analyzed should materialize in an overall disruptive action. In particular, the possibility of arguing that Enel's intention to use the electricity distribution network could constitute violations of state aid regulations is evaluated: thus, the proposal is made to file a complaint with the Commission, which was actually submitted during 2016.</w:t>
      </w:r>
    </w:p>
    <w:p>
      <w:r>
        <w:t>109. Similarly, it is considered to report to the Authority some possible conducts that Enel would have engaged in following its entry into the market (extension of the dominant position held in the electricity markets to the telecommunications markets). These initiatives were then actually carried out despite the documentation collected indicating that TIM itself showed strong skepticism regarding their validity. For example, regarding the possibility of alerting the Authority to the danger of an Enel monopoly leverage from the electricity distribution market to the fixed telephony market, TIM states that it is [omitted]*.</w:t>
      </w:r>
    </w:p>
    <w:p>
      <w:r>
        <w:t>110. Enel's entry into the market is perceived from the outset by TIM as a credible and concrete competitive threat to be faced, even through means harmful to competition. In an internal document from November 2015, which also analyzes the impact of this news, it is stated that "This initiative can represent a strong discontinuity in the national infrastructural landscape and requires a careful impact assessment on Telecom Italia's NGAN project." Consequently, the Regulatory Affairs Directorate (RAE) of TI is urged to "immediately carry out some in-depth studies to verify how to counteract or direct ENEL's strategic decision, intervening in the most appropriate forums. In particular, some of the possible relevant issues relate to: Antitrust profile, consistency with community guidelines on state aid; synergies and cross-subsidies with investments in the Energy sector."</w:t>
      </w:r>
    </w:p>
    <w:p>
      <w:r>
        <w:t>111. The TIM executives involved in the reflections reported in this document seem to want to undertake a series of actions that do not appear to be aimed at defining a legitimate competitive reaction to the new competitive context emerging in light of the entry into the market of the Enel Group. The initial reactions, in fact, appear solely directed at "protecting TI's strategic positioning." Essentially, from the very beginning (since November 2015), there is evidence of a reaction from TIM to the changed dynamic competitive scenario characterized by instrumental conduct rather than a regular competitive confrontation action.</w:t>
      </w:r>
    </w:p>
    <w:p>
      <w:r>
        <w:t>112. Faced with the materialization of the "threat" of infrastructural competition development, TIM seems to direct its efforts from the outset towards mere opposition to the Enel group's market entry project, without reflecting on permissible competitive reactions. Still in the aforementioned internal document, therefore in November 2015, a strategic line is defined that TIM will follow in the following years: "At this stage, it is important to first identify the strategic levers that can be activated, reserving subsequent in-depth analyses." Thus, also acting before thoroughly analyzing the possible implications of the proposed initiatives.</w:t>
      </w:r>
    </w:p>
    <w:p>
      <w:r>
        <w:t>113. TIM's reaction seems to be guided solely by the intention to obstruct, block, or delay the entry of a new structured competitor. In December 2015, in an exchange of emails, a "Instrumental initiation of negotiations with Metroweb for the fiber already laid in the wired cities (to update retail offer replicability tests in FTTH areas and possible opening of active disputes in case of negotiation failure)" and an "Instrumental initiation of negotiations with Enel for access to the fiber laid in recent months with Infratel (for analysis of Enel's technical solutions and overlap with TI's access infrastructures with possible opening of active disputes in case of negotiation failure)" are even proposed.</w:t>
      </w:r>
    </w:p>
    <w:p>
      <w:r>
        <w:t>114. In addition to the entry of a new fixed network operator, at the end of 2015 TIM also analyzes the risks associated with the ongoing revision of the forms of public intervention provided by the Government within the Ultra-Broadband Strategy. In particular, the abandonment of the tender scheme, adopted until 2015, which provided for a public contribution for the financing of investment in next-generation networks, with the limit that the private contribution could not be less than 30% of the total amount required (so-called incentive model), comes to the fore. The infrastructures thus created are open to access by all operators but remain the property of the winning operator.</w:t>
      </w:r>
    </w:p>
    <w:p>
      <w:r>
        <w:t>115. With the new tender scheme, adopted by Infratel for the procedures announced during 2016, the construction and subsequent management under concession of the network infrastructure, which remains publicly owned, has been put out to tender, through the allocation of public resources to the winning bidder. Consequently, starting from the end of 2015, a perspective of intensified competition in future tenders for the UBB infrastructure of the white areas is emerging, due to the entry into the market of OF and the new tender scheme that will be adopted by Infratel which, even in the case of award to TIM, will not allow the incumbent to maintain ownership of the infrastructures built with public contributions.</w:t>
      </w:r>
    </w:p>
    <w:p>
      <w:r>
        <w:t>116. Within the national Ultra-Broadband Strategy, the Government has therefore notified the Commission of the project to initiate tender procedures for the construction and management of UBB access networks in the white areas according to the renewed tender scheme; these areas were identified through a public consultation held by Infratel during 2015, later updated in 2016 before the publication of the tenders.</w:t>
      </w:r>
    </w:p>
    <w:p>
      <w:r>
        <w:t>117. TIM appears concerned about this change in the competitive scenario involving the white areas, where its dominant position is even stronger than in the rest of the national market. Similarly to the reactions that emerged after Enel's entry into the market, TIM seems to want to act primarily with the aim of preventing the revision of the tender scheme that had been used until then, which had allowed it to obtain almost all the procedures announced by Infratel, often in</w:t>
      </w:r>
    </w:p>
    <w:p>
      <w:r>
        <w:t>37 See doc. ISP45, attachment.</w:t>
        <w:br/>
        <w:t>38 Ibid.</w:t>
        <w:br/>
        <w:t>39 The Ultra-Broadband Strategy was launched by the Government in March 2015 to prepare initiatives aimed at achieving the objectives of the European Digital Agenda. Among other measures, the possibility of resorting to forms of direct public intervention to promote the development of coverage of the entire national territory with next-generation networks was also provided, even where conditions for sustainability for investments by market operators would not have been found.</w:t>
        <w:br/>
        <w:t>40 The Authority has expressed itself on several occasions regarding the public intervention project to promote investments in the white areas, expressing its appreciation for the initiative: 1) AS1180 - ITALIAN STRATEGY FOR ULTRA-BROADBAND, report pursuant to Article 22, Law No. 287/90, published in bulletin No. 10/2015 of the Authority; 2) AS1301 - TENDER FOR THE CONSTRUCTION, MAINTENANCE AND MANAGEMENT OF PASSIVE ULTRA-BROADBAND NETWORK INFRASTRUCTURE IN WHITE AREAS, report pursuant to Article 22, Law No. 287/90, published in bulletin No. 37/2016 of the Authority; 3) AS1302 - SUPPLEMENTARY DOCUMENTATION OF THE TENDER FOR THE CONSTRUCTION, MAINTENANCE AND MANAGEMENT OF PASSIVE ULTRA-BROADBAND NETWORK INFRASTRUCTURE IN WHITE AREAS, report pursuant to Article 22, Law No. 287/90, published in bulletin No. 37/2016 of the Authority.</w:t>
      </w:r>
    </w:p>
    <w:p>
      <w:r>
        <w:rPr>
          <w:b/>
        </w:rPr>
        <w:t>[Pages 61–63]</w:t>
      </w:r>
    </w:p>
    <w:p>
      <w:r>
        <w:t>BULLETIN NO. 10 OF MARCH 9, 2020 63</w:t>
      </w:r>
    </w:p>
    <w:p>
      <w:r>
        <w:t>quality of being the only participating entity. In a document from November 2015, the following strategy is outlined.</w:t>
      </w:r>
    </w:p>
    <w:p>
      <w:r>
        <w:t>[Omissis]</w:t>
      </w:r>
    </w:p>
    <w:p>
      <w:r>
        <w:t>118. The risks associated with the changed public intervention strategy that seems to be emerging are analyzed by TIM in the document "Considerations for the Definition of a Participation Strategy in Infratel BUL Tenders," dated March 14, 2016, when the first tenders had not yet been published by Infratel. It is interesting to note that TIM, as of March 2016, considered the areas included in clusters D to be so unprofitable for an investment in UBB networks that [omissis] of publicly owned networks, without investing personally41. Even with regard to cluster C42, where the expected returns from a UBB investment are on average less discouraging, in the same document TIM states that "Even in this case, it might be convenient for TI to limit itself to purchasing the fiber" without, therefore, proceeding with an autonomous coverage plan for these territories43.</w:t>
      </w:r>
    </w:p>
    <w:p>
      <w:r>
        <w:t>119. This analysis had already been carried out previously by TIM, reaching the same conclusions, when in a document dating back to January 2015, the territorial areas falling within clusters C and D were defined as "of no interest to TI"44. In that document, it was also stated that the territories of cluster D were "a clear market failure," while in cluster C investments in UBB networks were "sustainable only with the fiscal benefit," that is, with public funding. The same assessments, moreover, appeared valid for TIM even in June 2016. In a document from that period, which analyzes the risks for TI's revenues in the areas subject to Infratel's intervention, TIM states that "Infratel is expected to invest in areas where Telecom Italia does not plan to invest either in FTTH or in FTTC, that is, areas currently covered and in the foreseeable future only in ADSL"45.</w:t>
      </w:r>
    </w:p>
    <w:p>
      <w:r>
        <w:t>120. Despite these assessments, in November 2016, when the first two tenders announced by Infratel under the new scheme are already underway, the corporate management of TIM issues the directive to evaluate a profound and sudden change of strategy in the white areas: "let's assume we wanted to cable part of the Infratel areas autonomously. Avoid all the ifs and buts; it cannot be done, etc."46. At the same time, when the deadlines for submitting bids in the first tender announced by Infratel47, in which TIM actively participated, have expired, and the submission of offers for the second tender is underway, a working group is established within TIM with the task of developing an autonomous coverage plan for the areas of clusters C and D included in the Infratel tenders. The analyses conducted seem to confirm the lack of economic return on investment in UBB networks in the aforementioned areas and reveal the real purpose of this unexpected renewed interest in investments in white areas, namely the attempt to demonstrate the absence of sufficient conditions to justify public intervention.</w:t>
      </w:r>
    </w:p>
    <w:p>
      <w:r>
        <w:t>121. In particular, TIM states that "We have reviewed all investments to understand if [...] direct investments in the aforementioned areas are profitable, that is, justify a private investment. The analysis confirms that areas D are not profitable; conversely, areas C show a positive IRR. In particular, we calculated the investments needed to cover the areas C of tender 1 with FTTH technology (approximately €630 million) and with FTTC + eVDSL technology (approximately €210 million). In the latter case, the return would be between 6% - 8%. We are also calculating the return of the direct investment with FTTH technology, but based on the initial analyses, there do not seem to be returns sufficient to guarantee the profitability of an autonomous plan that would justify suspending public intervention"48.</w:t>
      </w:r>
    </w:p>
    <w:p>
      <w:r>
        <w:t>122. Thus, only in part of cluster C would there be a positive economic return, but exclusively if the aim were to build an FTTC network and not an FTTH network, as practically required by the performance levels set by the Infratel tenders. Moreover, even with regard to only cluster C with a positive internal rate of return for the investment in FTTC, it should be noted that the cost of capital (WACC) identified by Agcom for the provision of wholesale access services was equal to 8.77%49, thus higher than the return rate (6%-8%) that TIM had calculated for the investment in FTTC networks in cluster C.</w:t>
      </w:r>
    </w:p>
    <w:p>
      <w:r>
        <w:t>123. TIM's strategic objective is clearly outlined in internal documents where the possibility of autonomously investing in white areas is analyzed. In a document dated December 2, 2016, just a few days before the decision to adopt an autonomous coverage plan in the white areas is officially communicated to Infratel, the possibility that the change in the coverage plan could lead Infratel to suspend the tenders already announced and underway is examined. In commenting on this analysis, TIM's Regulatory Affairs Directorate notes that "The question is actually how to ensure that Infratel suspends state aid in the areas where we intervene with the autonomous plan"50.</w:t>
      </w:r>
    </w:p>
    <w:p>
      <w:r>
        <w:t>124. Therefore, while participating in the Infratel tenders, TIM simultaneously works to attempt to obstruct their execution. The objective of the profitability analyses conducted for the study of an autonomous coverage project in the white areas, in fact, is the suspension of the public infrastructure plan51.</w:t>
      </w:r>
    </w:p>
    <w:p>
      <w:r>
        <w:t>48 See doc. ISP141. Of the same tenor, docs. ISP325 and ISP367. Also in docs. ISP90 and ISP130, the results of the profitability analysis of an autonomous investment are negative: "the investment in areas C and D with FTTH technology is not profitable, while the investment in areas C with FTTC technology is absolutely profitable," a technological standard inadequate to support the performance levels required by the tenders.</w:t>
      </w:r>
    </w:p>
    <w:p>
      <w:r>
        <w:t>49 See Agcom resolution no. 623/15/CONS, titled "Identification and analysis of the markets for fixed network access services (markets no. 3a and 3b of the European Commission recommendation no. 2014/710/EU and no. 1 of recommendation no. 2007/879/EC)," dated November 5, 2015.</w:t>
      </w:r>
    </w:p>
    <w:p>
      <w:r>
        <w:t>50 See doc. ISP135.</w:t>
      </w:r>
    </w:p>
    <w:p>
      <w:r>
        <w:t>51 In doc. ISP243, in an analysis of the possible scenarios following TIM's autonomous investment in the Infratel areas, it refers to the hypothesis that "Our intervention inhibits the start of the tender for tender 2 for the areas we want to include," that is, that Infratel may, hopefully for TIM, at least withdraw the second tender procedure,</w:t>
      </w:r>
    </w:p>
    <w:p>
      <w:r>
        <w:t>BULLETIN NO. 10 OF MARCH 9, 2020 65</w:t>
      </w:r>
    </w:p>
    <w:p>
      <w:r>
        <w:t>125. Despite the negative results of the profitability analyses confirming the absence of sustainability for autonomous investments in the white areas subject to tender, except for less innovative technological solutions compared to those of the concessionaire, TIM initiates a review of the investment plan while the Infratel tender procedures are ongoing. The corporate management makes the strategic decision (December 2016) to send Infratel a communication of commitment in which it declares its willingness to cover with a direct investment in FTTC technology (and not FTTH, as required by the Infratel tenders), part of the territorial clusters designated for public intervention. The decision to send the letter transposes the analyses conducted on the possibility of modifying the investment plans during ongoing tenders and informs the contracting authority of TIM's new projects for the white areas. It is also highlighted that the official announcement of the change in strategy in the white areas is asserted with the aforementioned letter to Infratel, despite TIM itself appearing aware of the serious legal risks the company could incur. In fact, it is the top management itself that questions the legality of such conduct, agreeing that "This approach presents at least two risks:</w:t>
        <w:br/>
        <w:t>1. It could be considered a bid rigging [...];</w:t>
        <w:br/>
        <w:t>2. Considering that the new TIM plan is based on a different network architecture that does not ensure the same technical performance as the Tender (which has been approved by the Government and validated by the European Community), one cannot exclude the risk that Infratel continues to assert the necessity of public intervention [...] Our direct investment, therefore, would allow us to provide the customer with a valuable service, but not in line with the tender requirements;</w:t>
        <w:br/>
        <w:t>3. We must clearly explain why direct investments at the time were not deemed profitable"52.</w:t>
      </w:r>
    </w:p>
    <w:p>
      <w:r>
        <w:t>126. Thus, TIM appears to have considered the legal risks, even of a criminal nature, associated with the changed investment plan in the white areas. Nevertheless, the decision to proceed with an autonomous coverage plan is communicated to Infratel, as the desire to obstruct the execution of the tenders prevails, until the hoped-for blockage of Infratel's intervention in the white areas.</w:t>
      </w:r>
    </w:p>
    <w:p>
      <w:r>
        <w:t>127. Precisely because of these risks, TIM's management, during December 2016, prepares many documents analyzing the possible consequences of such a choice. It is discussed whether, having raised a hypothesis of bid rigging and in a risk containment perspective, "(i) it would be better to present such a commitment [to cover the areas subject to public intervention] before or after the award of tender 1 and (ii) for all the 'homogeneous' areas, that is, tender 1 and tender 2? [...] If we present a commitment of this type, we must be able to argue that these areas, previously assessed as white, are no longer so, or we must be able to justify, taking as a reference the take-up and development used in the plan underlying the Infratel offer, that such investments are profitable?"53.</w:t>
      </w:r>
    </w:p>
    <w:p>
      <w:r>
        <w:t>128. Initially, TIM seems inclined, precisely in a probable risk containment perspective, to initiate autonomous investments only in the areas of tender 2, given that the tender is already underway for the regions of Piedmont, Aosta Valley, Liguria, Friuli Venezia Giulia, Umbria, Marche, Lazio, Campania, Basilicata, Sicily, and the Province of Trento.</w:t>
      </w:r>
    </w:p>
    <w:p>
      <w:r>
        <w:rPr>
          <w:b/>
        </w:rPr>
        <w:t>[Pages 64–66]</w:t>
      </w:r>
    </w:p>
    <w:p>
      <w:r>
        <w:t>66 BULLETIN NO. 10 OF MARCH 9, 2020</w:t>
      </w:r>
    </w:p>
    <w:p>
      <w:r>
        <w:t>The first tender is already close to awarding54, although "The analyses carried out have highlighted the following elements:</w:t>
        <w:br/>
        <w:t>- Confirmation of the lack of economic return in investing in UBB networks in areas D with any technology;</w:t>
        <w:br/>
        <w:t>- Confirmation of the lack of economic return in investing in areas C to implement coverage with the performance and capillarity requirements set by the Infratel Tenders (speed of 100/s Mb Down and 50/s Mb Up);</w:t>
        <w:br/>
        <w:t>- Presence of an economic return in investing in areas C for UBB coverage in FTTC and VDSL technology with performance speeds &gt;= 30 Mb Down and 15 Mb Up – thus without guaranteeing the same technical conditions imposed in the Infratel tenders"55.</w:t>
      </w:r>
    </w:p>
    <w:p>
      <w:r>
        <w:t>129. From the documentation acquired, it appears that "Based on the technical/economic verifications carried out, we propose to make a direct investment for UBB coverage in FTTC and VDSL technology (with performance speeds &gt;= 30 Mb Down and 15 Mb Up) in 356 municipalities covered by Infratel's second tender. These municipalities, which represent about 36% of the mandatory municipalities (978) of the Tender, were selected as they are able to ensure an economic return in terms of IRR greater than zero"56. Essentially, TIM seems intent on covering only the areas, within the territories subject to the tender, that present positive profitability, with technologically inferior solutions compared to those established by the tenders, in a logic of pure cream skimming aimed at generating the conditions for the withdrawal of the tenders by Infratel (so-called regulatory gaming). Moreover, it must be noted that, even if TIM had communicated such coverage plans during the public consultation for identifying white areas, given the insufficient level of performance that could be assured to the final clientele, some of the areas covered by TIM's autonomous coverage plan would have been marked as white in any case.</w:t>
      </w:r>
    </w:p>
    <w:p>
      <w:r>
        <w:t>130. It is understood, therefore, that the change in strategy, with reference to the areas covered by the Infratel tenders, presupposes the need to justify the reasons why, unexpectedly, TIM decided to invest in areas deemed and declared unprofitable during the public consultation preceding the preparation of the tenders. It is indeed admitted that "We must say (in the communication to be sent to Infratel, ed.) why at the time those areas were assessed as unprofitable to the point of deciding not to cover them [...] otherwise [...] it is not clear why it becomes affordable"57.</w:t>
      </w:r>
    </w:p>
    <w:p>
      <w:r>
        <w:t>131. On December 23, 2016, following the analyses carried out regarding the possible autonomous coverage of white areas, TIM sent a communication to Infratel containing, with reference only to the regions covered by the second tender, the indication of the new white areas that the Company had decided to cover, while confirming the coverage areas already identified in previous communications.</w:t>
      </w:r>
    </w:p>
    <w:p>
      <w:r>
        <w:t>132. On January 24, 2017, Infratel announced the provisional ranking related to the first tender: Open Fiber is ranked first in all five territorial lots provided. A few days later, TIM's management prepared a document containing an investment plan alternative to that provided by the Infratel tender, called "Piano All". Compared to the initial hypotheses, in the document in question, TIM analyzed the possibility of covering all the areas covered by the tenders, including those related to the first tender, which had just been provisionally awarded to Open Fiber. The plan provided for incremental coverage (compared to the plans communicated in public consultation) with FTTC networks for the municipalities for which there was a positive return rate for such investment; these municipalities correspond to about 14% of the total municipalities involved58.</w:t>
      </w:r>
    </w:p>
    <w:p>
      <w:r>
        <w:t>133. Furthermore, the Piano All provided, for the municipalities within cluster C for which there was no positive return and for which TIM had anticipated a poor UBB coverage rate, the possibility of resorting to coverage with mobile transmission technologies (LTE). The same was provided for the municipalities included in cluster D. In practice, about 72% of the municipalities included in the areas subject to public intervention would be destined to be covered solely by the mobile network59, which would be used to provide a service comparable to a fixed network connection. So much so that TIM had carried out analyses dedicated exclusively to what was defined as [omissis]60, i.e., the possibility of extensively using the LTE mobile network to provide fixed connections. Moreover, the recourse to mobile network infrastructures is considered even though TIM is aware of the fact that it is an unsuitable solution to meet the performance levels required by the Infratel tenders: [omissis]61.</w:t>
      </w:r>
    </w:p>
    <w:p>
      <w:r>
        <w:t>134. In another document, dating back to the end of January 2017, the use of mobile technologies is analyzed, and it is stated that [omissis]62 and, therefore, characteristics that are unable to meet the service requirements requested by the tender. However, like the FTTC architecture, focusing on the use of the LTE mobile network would have allowed for significantly shortening the time to complete the autonomous coverage of the territories subject to the first two Infratel tenders.</w:t>
      </w:r>
    </w:p>
    <w:p>
      <w:r>
        <w:t>135. The mobile transmission coverage project, moreover, could have consequences for the wholesale access services market. While, in fact, the goal of the plan is the LTE coverage of the [omissis]63, in an internal analysis document TIM acknowledged that the technical solution under consideration is not adequate to support the potential wholesale provision of the service64. Therefore, in the white areas covered by the LTE mobile network, which TIM intends to use to provide a fixed UBB access with a solution consisting of a substantial bypassing of fixed network technologies, a wholesale access offer for alternative operators would not be activatable, and TIM would be the only operator able to provide a UBB service to the final clientele, as long as the Infratel network is not available65.</w:t>
      </w:r>
    </w:p>
    <w:p>
      <w:r>
        <w:t>136. The strategy implemented by TIM appears to become purely aimed at creating obstacles to the development of infrastructure competition, both in white areas and in the rest of the national territory. In an email exchange on January 26, 2017, the following directives are set: "1. TENDER 1: AUTONOMOUS - man marking of EoF on all municipalities; choice of a subset of UIs (we remove garages, chicken coops, etc.) that we will cover with FTTC, FTTH (few) and Wireless on a best effort basis 2. TENDER 2: as above, and we do not continue the analysis for participation in tender 2"66. Essentially, it is noted that TIM abandons participation in the tenders to dedicate itself to a project aimed at completely preventing the public intervention, in an attempt to undermine its economic sustainability.</w:t>
      </w:r>
    </w:p>
    <w:p>
      <w:r>
        <w:t>137. TIM's plan presents technological standards inferior to those guaranteed by the Infratel project. In an email exchange in June 2017, TIM executives are advised not to emphasize, in public statements, the quality of the user experience related to the use of the maximum transmission bandwidth, considering that this "opens the flank to provocations on the need for H (FTTH, ed.) in the long term"67. In practice, in the awareness that the technological solutions TIM intends to implement ("Then we will do this: 1. Areas D: we do everything mobile; 2. Areas C: everything FTTCab. We compare: if in areas D there are UIs covered by fixed, we remove mobile, and vice versa")68 will be less performant compared to the connection speed needs felt by the market and also identified by the Government's Strategy, efforts are made not to expose themselves to criticism regarding the inadequacy of the transmission bandwidth that would be available to users under TIM's plan.</w:t>
      </w:r>
    </w:p>
    <w:p>
      <w:r>
        <w:t>138. Still on the subject, from the minutes of the TIM Board of Directors meeting on March 23, 2017, it appears that the then CEO of TIM responded to an observation made to him regarding the technological inferiority of the FTTC solution compared to the FTTH architecture required by the Infratel tenders, stating that "the difference in speed would not actually be perceivable by an average user, who would instead appreciate the increase (in the quality of performance, ed.) compared to what he currently has with ADSL, at a substantially unchanged price, with the effect of locking in the existing customer base"69.</w:t>
      </w:r>
    </w:p>
    <w:p>
      <w:r>
        <w:t>139. TIM's objectives in the white areas seem essentially twofold: 1) to develop UBB coverage ahead of the Concessionaire of the Infratel tenders70; 2) to proceed with a massive migration of customers to the new UBB networks created by TIM, so that "This project will significantly strengthen the competitive advantage over Open Fiber and Infratel, which, when</w:t>
      </w:r>
    </w:p>
    <w:p>
      <w:r>
        <w:rPr>
          <w:b/>
        </w:rPr>
        <w:t>[Pages 67–69]</w:t>
      </w:r>
    </w:p>
    <w:p>
      <w:r>
        <w:t>BULLETIN NO. 10 OF MARCH 9, 2020 69</w:t>
      </w:r>
    </w:p>
    <w:p>
      <w:r>
        <w:t>They will find both the retail and wholesale market already on our NGN”71.72 Within the same last-mentioned document, there is a passage in which the overall strategy implemented by the incumbent in response to the threat of a new entrant is effectively summarized: [omissis]73.</w:t>
      </w:r>
    </w:p>
    <w:p>
      <w:r>
        <w:t>140. The Board of Directors of TIM on February 3, 2017 approved the new industrial plan 2017/19, including new coverage objectives in the white areas: [omissis]74 and [omissis]75. This coverage project, as stated in an internal document from February 2017, is innovative compared to plans announced in the past: “Telecom Italia aims to achieve by March 2018 a UBB coverage with FTTC and FWA/Mobile technology in areas of the Country currently not included in the TIM plan known as ‘white areas’”76. With a press release on March 23, 2017, TIM publicly announced the decision to cover the areas subject to current and future Infratel tenders with UBB networks77.</w:t>
      </w:r>
    </w:p>
    <w:p>
      <w:r>
        <w:t>141. To proceed with the implementation of the new UBB coverage plans for the white areas, TIM decided to establish a new company, named Cassiopea78, with a majority of the capital held by financial partners and 49% by TIM. The company [omissis]79. The Board of Directors on March 23, 2017 approved the project for the creation of a company dedicated exclusively to the selective development of new fiber infrastructures in areas classified as clusters C and D80; with this plan, also defined as the “Additional Cassiopea Plan”81, for operational purposes, the Infratel Concessionaire is no longer used in the white areas, effectively abandoning the idea of considering the possibility of purchasing network resources from other operators.</w:t>
      </w:r>
    </w:p>
    <w:p>
      <w:r>
        <w:t>142. In a document prepared by the Wholesale Directorate of TIM, the Cassiopea project is illustrated to the Board of Directors (June 22, 2017). On this occasion, the strategic profile of the new investment plan for the white areas is also outlined, stating that “The strategic rationale is the competitive advantage that will be derived in those areas from completing the network in advance vs. competition (Open Fiber by ENEL deploying network from Infratel tenders) as well as 71 Cfr. doc. ISP42. 72 Similarly, in a document from March 2017 analyzing TIM's commercial positioning in the new competitive scenario that will be generated by the new autonomous coverage plan, it is established that TIM's approach should foresee “Migration of BB connections towards FTTC solutions to accelerate the Fiber adoption in advance with respect of Infratel bid winner” – Cfr. doc. ISP288. Of the same tenor, the impact analysis contained in a document from February 2017, when it is hypothesized that “The availability of TIM UBB infrastructure in advance of the Concessionaire should anticipate the migration towards UBB of the retail market” – Cfr. ISP292, all. pag. 19. 73 Cfr. doc. ISP42. 74 Cfr. doc. ISP52. 75 Cfr. doc. ISP52. 76 Cfr. doc. ISP102, all. pag. 2. 77 The press release issued by the company on March 23, 2017 definitively made public the “new project for the development of the ultrabroadband fixed network in the ‘white’ areas”. 78 Cfr. doc. IMP7, all. 1, pag. 14. 79 Cfr. doc. ISP6, all. pag. 3. 80 Cfr. IMP365, all. pag. 9. 81 Cfr. IMP365, all. pag. 3. 82 Cfr. Ivi.</w:t>
      </w:r>
    </w:p>
    <w:p>
      <w:r>
        <w:t>70 BULLETIN NO. 10 OF MARCH 9, 2020</w:t>
      </w:r>
    </w:p>
    <w:p>
      <w:r>
        <w:t>the use of existing infrastructure […] [omissis]”83. The new company is intended for the construction and subsequent management of new UBB access infrastructures as well as the preparation of related wholesale access service offers VULA FTTC84, bitstream NGA85 and laying infrastructures.</w:t>
      </w:r>
    </w:p>
    <w:p>
      <w:r>
        <w:t>143. The Cassiopea project [omissis]86 and provides for the massive migration of customers to the FTTC network and the provision of a self-installing fiber kit87. Upon activation, [omissis]88. The technology change must be under equal economic conditions and without costs to the customer (e.g. fiber activation costs, modem costs or technical interventions for activation). This setup presupposes [omissis]89.</w:t>
      </w:r>
    </w:p>
    <w:p>
      <w:r>
        <w:t>144. In the same internal document titled “Regulatory Analysis of Massive Migration Full VoIP for Retail Customers,” TIM summarized the risks that could be foreseen arising from the implementation of the project in question.</w:t>
      </w:r>
    </w:p>
    <w:p>
      <w:r>
        <w:t>83 Cfr. ISP7, all. 1, pag. 16. 84 The VULA FTTC can be purchased by an operator that has a network up to the Telecom central office but does not have the connection up to the cabinet (primary access network) to be able to buy the SLU (a physical access service). Consequently, it is a virtual access service that simulates the performance of the SLU. 85 The Bitstream is a category of wholesale virtual access services for which the OLO does not need a proprietary network up to the TI central office. It is essentially a resale of a service managed by TI. The bitstream NGA ensures the alternative operator a transmission speed comparable to that of an infrastructure operator with NGA networks. 86 Cfr. ISP36, all. pag. 5. 87 With the self-installing kit, TI intends to include an additional element to facilitate customer migration as the offer is less invasive compared to subscribing to an offer with FTTH network, which requires preliminary installation work for fiber access within the user's premises. 88 Cfr. ISP36, all. pag. 18. 89 Cfr. ISP36, all. pag. 24.</w:t>
      </w:r>
    </w:p>
    <w:p>
      <w:r>
        <w:t>BULLETIN NO. 10 OF MARCH 9, 2020 71</w:t>
      </w:r>
    </w:p>
    <w:p>
      <w:r>
        <w:t>Source: doc. ISP36, all. pag. 33.</w:t>
      </w:r>
    </w:p>
    <w:p>
      <w:r>
        <w:t>145. In a presentation note of the Cassiopea project dated May 29, 2017, titled “Specifications for Antitrust Analysis,” when the coverage of the white areas subject to Infratel tenders had already begun, the Cassiopea project is recapped in its summary elements. Even on this occasion, TIM appears aware of the risks of committing violations of competition protection regulations. In fact, in the cited document it is requested [omissis]90.</w:t>
      </w:r>
    </w:p>
    <w:p>
      <w:r>
        <w:t>146. In another internal document from the same period, TIM analyzed the impacts of the choice to invest directly with a new company in the white areas on the overall sustainability of the market entry plan of Open Fiber. TIM does not seem concerned about the price competition that Open Fiber could pose because [omissis] and, therefore, [omissis]91. In short, the Cassiopea project seems aimed at undermining the investment plans of the new entrant operator through a mechanism for selecting the most profitable areas within the white areas: “As a consequence, EOF bid might not be fully covered by the forecasted discounted cash flows”92, since TIM, revising what was stated during the public consultation, decided not to use the UBB coverage that will be provided by Infratel. A strategic objective is “to safeguard the proprietary copper network”93, through the attempt to make unsustainable a</w:t>
      </w:r>
    </w:p>
    <w:p>
      <w:r>
        <w:t>90 Cfr. ISP37, pag. 3. 91 Cfr. ISP9, all. “ADL_Cassiopea MP_QA session_PPT_20062017.pdf”, pag. 3. 92 Cfr. ISP9, all. “ADL_Cassiopea MP_QA session_PPT_20062017.pdf”, pag. 11. 93 Cfr. ISP18, all. pag. 4.</w:t>
      </w:r>
    </w:p>
    <w:p>
      <w:r>
        <w:rPr>
          <w:b/>
        </w:rPr>
        <w:t>[Pages 70–72]</w:t>
      </w:r>
    </w:p>
    <w:p>
      <w:r>
        <w:t>72 BULLETIN NO. 10 OF MARCH 9, 2020</w:t>
      </w:r>
    </w:p>
    <w:p>
      <w:r>
        <w:t>147. TIM's strategy in the white areas appears aimed at preventing the emergence of forms of infrastructure competition and, likewise, sabotaging the public investment plan. The intervention of Infratel, in fact, according to TIM's admission, has changed the evolving competitive scenario and [omissis]94.</w:t>
      </w:r>
    </w:p>
    <w:p>
      <w:r>
        <w:t>148. Therefore, it is noted that from the analyses carried out by TIM itself, the efficiency of the public investment plan, in this case regarding the Infratel tenders, can be appreciated. TIM, in fact, acknowledges that the tenders for the infrastructure of the white areas are suitable to provoke a fiercer competitive confrontation at the wholesale level and, at the retail level, to bring the competitive positions of alternative operators closer to those existing in the rest of the national market. A scenario that TIM attempts to hinder with its anti-competitive initiatives.</w:t>
      </w:r>
    </w:p>
    <w:p>
      <w:r>
        <w:t>149. TIM appears very concerned about the change in the competitive scenario that is emerging in the white areas where [omissis]95. According to TIM, Infratel's intervention is destined to modify the traditional competitive structures of the market in those areas characterized by a predominant presence of TIM and low competitive intensity96: "The new infrastructure will bring competition to areas with currently underdeveloped wholesale competition and higher retail shares of TIM than in the rest of the country"97, where the rent that TIM intends to defend is, proportionally, more significant98.</w:t>
      </w:r>
    </w:p>
    <w:p>
      <w:r>
        <w:t>150. In the days when the new investment plan concerning the white areas is being discussed, an executive from the Administration and Finance area asks a collaborator who deals with the Infratel tenders for an opinion on the regulatory and antitrust issues that the newco might encounter. Regarding the possibility (hoped for by TIM) that Agcom removes the obligations to offer wholesale access services in the areas where Infratel networks and TIM networks under the new plan will be present, the same collaborator states that "I find it difficult to hope for the removal of SMP obligations for the NewCo if the objective of the NewCo is precisely to outmaneuver the Concessionaire by anticipating its moves (emphasis added, ed.)"99. In other words, if TIM's strategy had succeeded, Infratel would have suspended the tenders and in the white areas there would have only been TIM's FTTC/LTE network.</w:t>
      </w:r>
    </w:p>
    <w:p>
      <w:r>
        <w:t>The standstill of investments planned in the areas of Infratel tenders no. 1 and 2</w:t>
      </w:r>
    </w:p>
    <w:p>
      <w:r>
        <w:t>151. Following the communication of the initiation of the procedure, notified to TI on July 4, 2017, TI would have interrupted, as a precautionary measure, the implementation of the investment plans for the coverage of the areas subject to Infratel tenders no. 1 and 2. In particular, in the defensive memorandum received by the Authority on October 31, 2018, TI stated that it had "spontaneously interrupted all investments in the white areas BUL 1-2 in July 2017"100.</w:t>
      </w:r>
    </w:p>
    <w:p>
      <w:r>
        <w:t>152. According to what has been learned during the procedure, however, it must be noted that the alleged interruption of the planned investments in the areas of tenders 1 and 2 of Infratel does not seem suitable to diminish the seriousness of the unlawful conduct carried out by TI in the context of the Infratel tenders.</w:t>
      </w:r>
    </w:p>
    <w:p>
      <w:r>
        <w:t>153. On one hand, it is highlighted that, at the time of the initiation of the investigation by the Authority, that is, in July 2017, TI had already reached a significant state of advancement in the implementation of the so-called Cassiopea plan.</w:t>
      </w:r>
    </w:p>
    <w:p>
      <w:r>
        <w:t>Table 6. Status of advancement of the Cassiopea Plan</w:t>
        <w:br/>
        <w:t>[Omissis]</w:t>
      </w:r>
    </w:p>
    <w:p>
      <w:r>
        <w:t>154. From the data communicated by TI, it is noted that the vast majority of the autonomous coverage planned by the Cassiopea plan (about two-thirds) was intended for the realization of FTTC infrastructures precisely in the BUL 1 and 2 areas. Regarding the coverage of the areas of tenders 1 and 2 of Infratel, as of July 2017, according to TI's statements, about a quarter of the cabinets planned by the autonomous coverage plan had already been installed. TI classified them as cabinets [omissis], that is, FTTC network infrastructures built but lacking the necessary active equipment to start the commercialization phases of wholesale access services. It is therefore quite evident that such FTTC networks [omissis] must be considered a current competitive threat unjustifiably harming the expected public investment, even though they have not, according to TIM's statements, entered into commerce, as they can be considered ultra-broadband infrastructures practically ready for commercialization.</w:t>
      </w:r>
    </w:p>
    <w:p>
      <w:r>
        <w:t>155. The realization of the remaining cabinets planned by the Cassiopea plan, on the other hand, would have been frozen following the opening of the investigation by the Authority. In any case, it is noteworthy that in just three months, that is, in the time frame from the aforementioned press release by TI on March 23, 2017 announcing the Cassiopea project to July 2017, TI had already completed 30% of the coverage plan intended for the areas of tenders 1 and 2. If this timing had been respected for the continuation of the scheduled works, the autonomous coverage of the white areas of the first two Infratel tenders, where most of the Regions were included, would have been completed within just one year. In that case, the alternative coverage plans subject to this investigation, in the absence of intervention by the Authority, would have been fully realized in a short time, configuring precisely the situation hoped for by TI, as evidenced by the documentation acquired in the file: [omissis]101.</w:t>
      </w:r>
    </w:p>
    <w:p>
      <w:r>
        <w:t>156. On the other hand, additional elements provided by some participants during the procedure must also be reported. The reporters state that not only does the standstill have a minimal reparative impact on the conditions of effective competition in the market, but rather that the interruption of investments has not materialized, at least to the extent declared by TI.</w:t>
      </w:r>
    </w:p>
    <w:p>
      <w:r>
        <w:t>157. With a report dated November 14, 2018, in fact, Open Fiber communicated the results of a monitoring activity of TI's investments in the white areas of tenders 1 and 2 of Infratel. It emerged that TI, even during the procedure, continued to divert its investments from the areas it had declared it wanted to cover with FTTC services (so-called gray/black areas) within the Infratel consultation, in favor of investments in areas with market failure.</w:t>
      </w:r>
    </w:p>
    <w:p>
      <w:r>
        <w:t>158. This conduct, moreover, would have jeopardized the achievement of the coverage objectives set for 2018 for the so-called "completion" areas. In practice, within the white areas identified by Infratel through the consultation conducted in 2015/16, there were also zones that would not be subject to public intervention, having declared (mainly but not only) TI's intention to cover those areas independently with FTTC networks in the three subsequent years, the so-called "black civics." For this reason, the portions of the completion areas with "black civics" were expressly excluded from the scope of the concession.</w:t>
      </w:r>
    </w:p>
    <w:p>
      <w:r>
        <w:t>159. From the data found by Open Fiber, as of October 22, 2018, in the areas subject to the concession of tenders BUL 1 and 2 (white areas and completion areas), there were 67,806 TI cabinets, of which 34,117 were copper cabinets, not ultra-broadband, and 33,689 were active in FTTC. Of the 33,689 active FTTC cabinets, 4,297 had been activated by TI in white areas, and of these, 1,420 had been activated precisely during 2018, during the investigation.</w:t>
      </w:r>
    </w:p>
    <w:p>
      <w:r>
        <w:t>160. In a note dated March 14, 2019, Open Fiber communicated that, based on the data available on TI's Wholesale portal, it would emerge that TI continued to invest massively in the white areas by activating new FTTC cabinets, with an even accelerated pace in recent months (in particular, between October 2018 and February 2019) compared to previous periods. Furthermore, TIM would continue to divert its investments from the areas it had declared it would cover with UBB networks within the Infratel consultation (prior to the tenders in question), in favor of investments concerning the white areas subject to the Infratel tenders102.</w:t>
      </w:r>
    </w:p>
    <w:p>
      <w:r>
        <w:t>161. Even after the Communication of the Investigative Findings was sent to the Parties, on July 4, 2019, OF submitted an analysis aimed at demonstrating that TIM had never blocked the autonomous coverage plan in the white areas. OF used data from TI's public database. In particular, a comparison was made between the list of civic numbers connected by TIM in the period January 2016-May 2019 and the list of civic numbers that TIM had declared it wanted to cover during the Infratel public consultation of March 2015. From the data, it would emerge that, in the aforementioned time frame and thus also after the initiation of the present procedure, TI connected civics in areas subject to the first two Infratel tenders that it had not declared it wanted to cover in the 2015 consultation and, consequently, were subject to the first two tenders.</w:t>
      </w:r>
    </w:p>
    <w:p>
      <w:r>
        <w:t>162. The analysis of the temporal evolution of these activations demonstrates how TI, even after the initiation of the procedure, continued to connect civics for which it had declared no interest during the 2015 consultation and has never completely suspended this activity up to today, undermining the sustainability of the economic and financial plan underlying the concession and, consequently, jeopardizing the public intervention for the 102 Cfr. doc. 301.</w:t>
      </w:r>
    </w:p>
    <w:p>
      <w:r>
        <w:rPr>
          <w:b/>
        </w:rPr>
        <w:t>[Pages 73–75]</w:t>
      </w:r>
    </w:p>
    <w:p>
      <w:r>
        <w:t>BULLETIN NO. 10 OF MARCH 9, 2020 75</w:t>
      </w:r>
    </w:p>
    <w:p>
      <w:r>
        <w:t>the implementation of the National Ultra-Broadband Strategy in white areas. According to what was verified by OF, about 12% of the premises subject to the first two Infratel tenders would have been covered by TIM's network and the commercialization of wholesale access services would have been initiated.</w:t>
      </w:r>
    </w:p>
    <w:p>
      <w:r>
        <w:t>163. The analysis of the coverage achieved by TIM in the areas of tenders 1 and 2 was completed by OF and submitted on September 20, 2019, confirming the conclusion it had previously reached regarding TIM's failure to adopt a standstill on the advancement of autonomous coverage after the initiation of the present procedure.</w:t>
      </w:r>
    </w:p>
    <w:p>
      <w:r>
        <w:t>Legal actions obstructing Infratel's tenders</w:t>
      </w:r>
    </w:p>
    <w:p>
      <w:r>
        <w:t>164. With the communication initiating the procedure, the Authority hypothesized that TIM had also engaged in a series of actions constituting conduct obstructing the normal conduct of the tenders called by Infratel, consisting of undertaking numerous unjustified and instrumental legal initiatives. This hypothesis appears to be supported by the documentation collected during the procedure.</w:t>
      </w:r>
    </w:p>
    <w:p>
      <w:r>
        <w:t>165. Firstly, it is noted that, with a decision of June 30, 2016 (SA 41647), the Commission assessed the new model of direct intervention in white areas as compatible with the regulations on State aid, in line with what is established by the European Union Guidelines for the application of State aid rules concerning the rapid development of broadband networks.</w:t>
      </w:r>
    </w:p>
    <w:p>
      <w:r>
        <w:t>166. Following the Commission's decision, the contracting authority proceeded to announce the first two tenders, according to the following timing and territorial distribution.</w:t>
      </w:r>
    </w:p>
    <w:p>
      <w:r>
        <w:t>Table 7. Infratel tender procedures subject to investigation</w:t>
        <w:br/>
        <w:t>Publication date</w:t>
        <w:br/>
        <w:t>Regions put to tender</w:t>
        <w:br/>
        <w:t>of the announcement</w:t>
        <w:br/>
        <w:t>Abruzzo, Molise, Emilia Romagna, Tuscany, Veneto June 3, 2016</w:t>
        <w:br/>
        <w:t>Piedmont, Aosta Valley, Liguria, Friuli Venezia Giulia, Autonomous Province of Trento, Marche, Umbria, Lazio, Campania, August 8, 2016</w:t>
        <w:br/>
        <w:t>Basilicata, Sicily</w:t>
      </w:r>
    </w:p>
    <w:p>
      <w:r>
        <w:t>167. In addition to the opportunistic change of the investment plans communicated to Infratel during the public consultation that preceded the tenders, TIM initiated, concurrently with the unfolding of the tenders called in 2016, a series of legal initiatives that appear primarily aimed at delaying the ordinary conduct of the procedures prepared for the white areas, always with the aim of slowing down the implementation of Infratel's development plan and avoiding the possible entry into the market of an infrastructure competitor. Below is a partial chronology of the appeals and complaints filed by TIM during the period in question.</w:t>
      </w:r>
    </w:p>
    <w:p>
      <w:r>
        <w:t>Table 8. Legal initiatives opposing Infratel's tenders undertaken by TIM</w:t>
        <w:br/>
        <w:t>APPEALS</w:t>
        <w:br/>
        <w:t>Appeal to the TAR against Agcom resolution 120/16/CONS June 21, 2016</w:t>
        <w:br/>
        <w:t>Appeal to the TAR against the addendum to Infratel's public consultation June 21, 2016</w:t>
        <w:br/>
        <w:t>of May 3, 2016</w:t>
        <w:br/>
        <w:t>Appeal to the TAR against the first tender June 21, 2016</w:t>
        <w:br/>
        <w:t>With three acts of additional reasons, TIM also challenged the letter from Infratel of July 15, 2016, the clarifications provided by Infratel, the invitation letter as well as the Agcom opinions of May 16, 2016, June 28, 2016, and August 2, 2016</w:t>
        <w:br/>
        <w:t>Intervention ad adiuvandum in the appeals proposed by Fastweb against Infratel at the Lazio TAR and the Council of State</w:t>
        <w:br/>
        <w:t>Appeal against the second tender September 30, 2016</w:t>
        <w:br/>
        <w:t>Appeal with a request for precautionary measures against the invitation letter of January 4, 2017</w:t>
        <w:br/>
        <w:t>from Infratel of December 5, 2016</w:t>
        <w:br/>
        <w:t>Although pre-qualified, TIM then decided not to submit an offer for the second tender</w:t>
        <w:br/>
        <w:t>5 appeals, one for each tender lot, for the annulment of Open Fiber's admission to the evaluation phase of the technical and economic components of the offers received in the first tender March 8, 2017</w:t>
        <w:br/>
        <w:t>5 appeals to challenge: the awards of the first tender to Open Fiber; the denial of the request for access to Infratel's documents; the minutes of the awarding commission; the provision of admission of Open Fiber; the minutes of the closed session for the evaluation of the documentary integrations April 7, 2017</w:t>
      </w:r>
    </w:p>
    <w:p>
      <w:r>
        <w:t>REPORTS TO THE COMMISSION</w:t>
        <w:br/>
        <w:t>Report to the European Commission: State aid in favor of the Enel Group August 1, 2016</w:t>
        <w:br/>
        <w:t>Report to the European Commission regarding an alleged unlawful implementation of the measure authorized by decision SA.41647 (2016/N). November 21, 2016</w:t>
        <w:br/>
        <w:t>Reiteration of the report of November 21, 2016 to the Commission February 21, 2017</w:t>
      </w:r>
    </w:p>
    <w:p>
      <w:r>
        <w:t>168. In February 2017, TIM's legal affairs office, proposing an action against Infratel for having admitted Open Fiber to the evaluation phase of the technical and economic components of the offer, reported to the CEO, stating, "I have decided to initiate another action on tender 1 infratel for violation of subjective requirements. It’s a bit stretched, but in the meantime, it disturbs."</w:t>
      </w:r>
    </w:p>
    <w:p>
      <w:r>
        <w:t>169. Similarly, in March 2017, the intention to appeal the Lazio TAR ruling, which had recently rejected a TIM appeal on certain aspects of the first Infratel tender, was presented to the CEO. In the ruling subject to TIM's proposed appeal, the administrative judge stated that "The appeal and the additional reasons, directed against the Guidelines, the tender announcement, the clarifications, the invitation letter, and the opinions on the last three acts, are overall inadmissible, due to lack of interest and concrete and current injury, as correctly deduced by Wind Tre spa, Infratel Italia spa, Open Fiber spa, AGCom, and Vodafone Italia spa." Nevertheless, TIM on this occasion argues that "It is also appropriate to continue the challenge by appealing this ruling to the Council of State."</w:t>
      </w:r>
    </w:p>
    <w:p>
      <w:r>
        <w:t>170. In July 2017, "Sole24Ore" reported that, according to data collected during the consultation conducted by Infratel in 2017, there would be an increase in areas needing public intervention compared to the previous year. In particular, within a year, some of the gray and black areas would have become white. Upon learning of the news, TIM seems to attribute this result of the consultation to the fact that "our new coverage plan resulting from Cassiopea" had not been taken into account, as TIM had evidently hoped.</w:t>
      </w:r>
    </w:p>
    <w:p>
      <w:r>
        <w:t>171. In 2017, in particular, Infratel conducted a new public consultation aimed at updating the map of white areas compared to that defined in the 2015 consultation, limited to territories not subject to the tenders already conducted. Therefore, it concerned the gray and black areas of the Regions where the first two tenders had already been conducted and the territories of the remaining Regions. The increase in white areas, as identified by Infratel's new consultation, is attributed by TIM to the failure to consider the Cassiopea investment plan which, in TIM's intentions, should have precluded the eligibility for public intervention in some areas previously defined as white. To these areas, which for Infratel correctly remain white, are added some gray areas from the 2015 public consultation, now turned white.</w:t>
      </w:r>
    </w:p>
    <w:p>
      <w:r>
        <w:t>172. The CEO does not seem interested in delving into the underlying reasons for such results of Infratel's new consultation and, cutting the conversation short, with reference to the methods by which the consultation was conducted, states, "we will appeal and stop." It should be noted that this episode occurs several months after TIM sent Infratel the communication (December 2016) regarding the change of investment plan in the white areas and has already initiated disputes over the tenders.</w:t>
      </w:r>
    </w:p>
    <w:p>
      <w:r>
        <w:t>173. The legal initiatives launched by TIM in the 2016/17 biennium appear to be driven by a dilatory intent regarding the implementation process of the Ultra-Broadband Strategy in the white areas, which tends to disregard substantive considerations. When TIM adopts the Cassiopea project in March 2017, the promotion of disruptive legal actions continues, and in a document from June 2017, it outlines.</w:t>
      </w:r>
    </w:p>
    <w:p>
      <w:r>
        <w:rPr>
          <w:b/>
        </w:rPr>
        <w:t>[Pages 76–78]</w:t>
      </w:r>
    </w:p>
    <w:p>
      <w:r>
        <w:t>78 BULLETIN NO. 10 OF MARCH 9, 2020</w:t>
      </w:r>
    </w:p>
    <w:p>
      <w:r>
        <w:t>a plan to adopt a "compulsory litigation"111, aimed at preventing the normal conduct of Infratel's tenders and at the surreptitious assertion of the legality of the Cassiopea plan.</w:t>
      </w:r>
    </w:p>
    <w:p>
      <w:r>
        <w:t>174. In fact, TIM does not limit itself to contesting the tender procedures announced by Infratel in order to delay them and, hopefully for itself, block them. TIM's intent also consists in wanting to assert that "The Cassiopea project is not in conflict with legal norms and does not present anti-competitive profiles to the extent that it has a solid business rationale and economic-financial sustainability"112. As demonstrated by the results of the profitability analyses conducted by TIM and reported above, the autonomous coverage plan for the white areas of Infratel's tenders 1 and 2 had been considered by TIM itself as unsustainable, at least regarding network technologies suitable to meet the performance requirements set by the tenders. The legal actions undertaken by TIM, on the other hand, aim to overturn, in the public representation, the results of the internal profitability analyses carried out by TIM itself.</w:t>
      </w:r>
    </w:p>
    <w:p>
      <w:r>
        <w:t>175. TIM's disruptive legal actions do not seem to be limited to judicial appeals and issues concerning the white areas and Infratel's tenders. During the same period, in fact, TIM filed complaints with the Commission and the Authority, denouncing alleged abusive conduct by Enel. On this aspect, in an email exchange among various collaborators and executives dating back to April 2016, it is possible to trace the original indication regarding the legal conduct to pursue in response to the entry of a new competitor into the market. In particular, it is advised to take action with the administrative authorities even where there are no elements of any kind: "(even if the awareness of the problem is tendentially zero: report, report, report)"113 and, specifically, [omissis]114. Moreover, no evidence has been found of an intent that is not instrumental in the formulation of legal initiatives.</w:t>
      </w:r>
    </w:p>
    <w:p>
      <w:r>
        <w:t>176. In May 2016, in response to a press release from Vodafone expressing satisfaction for the activation of the first UBB customers on the Open Fiber network in the city of Perugia, TIM appears engaged in studying a [omissis]115, rather than identifying a plausible and justified competitive reaction. Although the analysis does not reveal profiles worthy of being reported ("it is difficult to configure a form of unfair competition against us for the mere fact that they state what appears in the press release")116, it is decided to consider nonetheless [omissis]117. All this, despite the fact that in this case, from the analysis carried out by TIM's offices [omissis]118.</w:t>
      </w:r>
    </w:p>
    <w:p>
      <w:r>
        <w:t>177. In an internal note dated April 28, 2017, on the other hand, the actions that TIM intends to pursue in relation to the reports sent to the Commission for state aid are discussed. On this point, it is particularly evaluated that, from the results of the awarding of the first Infratel tender, it emerged that the [omissis]119, it has been shown [omissis]120. TIM, therefore, expresses concern that the Commission may in turn detect this data in the evaluation regarding the aforementioned report from TIM. Similarly, TIM considers it unlikely to expect favorable developments from the second complaint, focused on aspects of Public Procurement and filed with DG Growth. Regarding this initiative, in fact, it is estimated that [omissis]121.</w:t>
      </w:r>
    </w:p>
    <w:p>
      <w:r>
        <w:t>178. Given the low estimated probabilities of success of the two complaints sent to DGComp and DCGrowth, TIM itself questions whether it is better to continue pursuing these reports, even though their archiving is anticipated, or to acknowledge the situation and proceed with their withdrawal. In this regard, a table of arguments for and against withdrawal is defined. [Omissis]</w:t>
      </w:r>
    </w:p>
    <w:p>
      <w:r>
        <w:t>179. In this analysis, therefore, the issue of the unfoundedness of the initiatives undertaken by TIM against Infratel's tenders explicitly emerges. Indeed, TIM appears aware of the circumstance that the withdrawal of the complaints filed may be interpreted as an admission of the very unfoundedness of the legal actions.</w:t>
      </w:r>
    </w:p>
    <w:p>
      <w:r>
        <w:t>180. Finally, an exchange of emails is highlighted that would seem to make rather clear the instrumental intent of the legal initiatives undertaken by TIM to counter the entry of the Enel group into the market and the conduct of Infratel's tenders. TIM has just learned that the Tar Lazio has decided in a non-definitive manner on the appeal filed by Eolo (a company that participated in Infratel's tenders) against the second Infratel tender, ordering a technical consultancy to determine whether the infrastructures already held by Eolo in part of the areas put out to tender are such as to prevent the areas in question from continuing to be classified as white areas. In this proceeding, TIM is an intervening party ad adiuvandum and thus the news of the Tar's decision is welcomed with satisfaction, stating that "this is an excellent result that effectively inhibits Infratel from proceeding further in the selection procedure"122. In response, it is evaluated to further intensify the litigation, establishing [omissis]123.</w:t>
      </w:r>
    </w:p>
    <w:p>
      <w:r>
        <w:t>181. The instrumentality of the initiatives undertaken by TIM, starting from Enel's decision to enter the market and Infratel's decision to conduct procedures with a renewed tender scheme, seems to be confirmed also in an email exchange dating back to June 2016, just a few days after the closure of the public consultation supplement decided by Infratel for the identification of areas intended for public intervention. In this document, the opportunity to challenge Agcom's resolution 120/16/CONS, which set the guidelines for wholesale access conditions to UBB networks benefiting from public contributions, and the Infratel tender is discussed. The legal strategy is explicitly inserted into what representatives of TIM itself qualify as "corporate protection scenario vs the EOF initiative"124. Regarding the appeal against the aforementioned resolution of Agcom, it is stated that "TIM's defensive initiative would have a significant official impact on the timing and methods of implementation of the widely announced government initiatives for the development of ultra-broadband in the national territory"125, in the sense, of course, of delaying them.</w:t>
      </w:r>
    </w:p>
    <w:p>
      <w:r>
        <w:t>The pricing strategies of wholesale access services</w:t>
      </w:r>
    </w:p>
    <w:p>
      <w:r>
        <w:t>182. Alongside the structural changes made to the investment plans for ongoing tenders, in order to respond to the possible development of a market structure based on infrastructure competition, some documents obtained from TIM also reveal another significant component of the anti-competitive strategy: the instrumental use of price leverage and, more generally, commercial conditions, in the wholesale access services market as a means for the preventive occupation of the market, aimed at preventing the possibility that OF can reach a minimum efficient scale and consolidate its presence in the market. The conduct undertaken by TIM in relation to the pricing and contractual conditions of wholesale access services has been implemented throughout the national territory.</w:t>
      </w:r>
    </w:p>
    <w:p>
      <w:r>
        <w:t>183. As highlighted by the documents reported so far, the Cassiopea project has been explicitly designed to ensure TIM the advantage of the first mover and the undue preservation of the value of the copper network, through the enhancement of FTTC network architectural solutions. In a presentation document to the management of the project, the intention to migrate the entire customer base present in the areas of Infratel's tenders and activate new users on the new FTTC network that will be built with the implementation of the Cassiopea plan is reported. In terms of pricing strategy, it is established that [omissis]126, also for the offers of services to the final customer.</w:t>
      </w:r>
    </w:p>
    <w:p>
      <w:r>
        <w:t>184. TIM appears intent on preparing, in advance of Open Fiber, an offer of UBB services (not FTTH, as essentially required by the tenders), trusting that alternative operators will adhere to this offer, as they cannot afford, for a matter of time to market, to wait for Infratel's network to be ready. Furthermore, since end customers would not generally be able to distinguish between the performance levels of FTTC and FTTH, perceiving a "jump" in technological quality only at the moment of abandoning the ADSL connection, TIM relied on a pre-emption effect of UBB customers, before the arrival of Open Fiber. From the minutes of the Board of Directors of March 23, 2017, it appears that the then CEO of TIM responded to an observation made to him regarding the technological inferiority of the FTTC solution compared to the FTTH architecture required by Infratel's tenders, stating that "the difference in speed would not actually be perceivable by an average user, who would instead appreciate the increase (in performance quality, ed.) compared to what he currently has with ADSL, at a substantially unchanged price, with a lock-in effect on the existing customer base"127.</w:t>
      </w:r>
    </w:p>
    <w:p>
      <w:r>
        <w:t>185. In an internal document from June 2017, which analyzes the scenario arising from the implementation of the Cassiopea project, TIM also examines the pricing strategies of wholesale access services that it believes should be adopted by the newly established company (Cassiopea, indeed). Since in the areas of the Cassiopea project (a selected part, the most...</w:t>
      </w:r>
    </w:p>
    <w:p>
      <w:r>
        <w:rPr>
          <w:b/>
        </w:rPr>
        <w:t>[Pages 79–81]</w:t>
      </w:r>
    </w:p>
    <w:p>
      <w:r>
        <w:t>BULLETIN NO. 10 OF MARCH 9, 2020 81</w:t>
      </w:r>
    </w:p>
    <w:p>
      <w:r>
        <w:t>The pricing strategies for wholesale access services that are believed should be adopted by the newly established company (Cassiopea, indeed). Since in the areas of the Cassiopea project (a selected part, the most profitable, of the white areas of Infratel), alternative operators predominantly purchase virtual bitstream access services, not having their own networks in those territories, TIM predicts that “a Bitstream NGA service would be the preferred option for them in order to avoid extra fixed costs for infrastructure”128.</w:t>
      </w:r>
    </w:p>
    <w:p>
      <w:r>
        <w:t>186. As seen, Cassiopea was conceived as a vehicle for achieving UBB coverage of the white areas with FTTC architecture (and via LTE in areas where even the investment in FTTC was not found to be profitable) as an alternative to the FTTH network planned by Infratel. In the wholesale access services market, Cassiopea is intended to offer only active (virtual) VULA and bitstream access services.</w:t>
      </w:r>
    </w:p>
    <w:p>
      <w:r>
        <w:t>187. From the studies gathered during the inspection activities, it seems that TIM has also defined a precise pricing strategy for Cassiopea. In particular, relying on a path of price reduction for the SLU129 service, alternative to virtual bitstream access services, based on the expected Agcom decisions in this regard, TIM has hypothesized a parallel decrease in the prices of VULA and bitstream services in order to make it particularly attractive for alternative operators to request such services rather than engage in additional infrastructure investments necessary to purchase the SLU. The wholesale pricing strategy of the newco is clearly outlined: [omissis]130.</w:t>
      </w:r>
    </w:p>
    <w:p>
      <w:r>
        <w:t>188. Consequently, the Cassiopea project aims to preemptively capture contestable wholesale customers before Open Fiber can build its own network and consolidate its market presence. TIM's plan would also establish the predominance of a less performing network technology (FTTC and, even, LTE) than those required by Infratel's tenders, making it particularly difficult and unprofitable for alternative operators to purchase passive access services131.</w:t>
      </w:r>
    </w:p>
    <w:p>
      <w:r>
        <w:t>[Omissis]</w:t>
      </w:r>
    </w:p>
    <w:p>
      <w:r>
        <w:t>189. Therefore, the pricing hypothesized for the wholesale access service offers that the newco Cassiopea was supposed to prepare would have been calibrated to also pursue a distortion of incentives for additional proprietary infrastructure by alternative operators.</w:t>
      </w:r>
    </w:p>
    <w:p>
      <w:r>
        <w:t>190. In order to make it even more attractive for alternative operators to request VULA access services instead of the SLU, TIM has developed for Cassiopea a wholesale offer such that</w:t>
      </w:r>
    </w:p>
    <w:p>
      <w:r>
        <w:t>128 Cfr. ISP312, all. pag. 31.</w:t>
        <w:br/>
        <w:t>129 SLU (Sub-Loop Unbundling) is a wholesale access service to the network that allows the purchase of the copper bearer that connects the street cabinet and the end user's location. It is a passive access service that can be offered in an FTTC network context.</w:t>
        <w:br/>
        <w:t>130 Cfr. ISP312, all. pag. 37.</w:t>
        <w:br/>
        <w:t>131 Wholesale passive (or physical) access services to the fixed network provide an operator with a fixed telecommunications services offer to the end customer access to "inactive" copper or fiber optic bearers, that is, devoid of equipment. A classic passive access service is ULL, which consists of renting a copper connection from TIM's central office to the end user's location. Compared to active access services, such services are more suitable for defining positive incentives for alternative operators to ascend the investment ladder, for example, by purchasing the equipment for line activation and building at least their own virtual access networks.</w:t>
      </w:r>
    </w:p>
    <w:p>
      <w:r>
        <w:t>BULLETIN NO. 10 OF MARCH 9, 2020 82</w:t>
      </w:r>
    </w:p>
    <w:p>
      <w:r>
        <w:t>[omissis]132. Once again, it can be inferred that wholesale prices appear aimed at incentivizing a preemption of customers before the rival offer on the Infratel network is available.</w:t>
      </w:r>
    </w:p>
    <w:p>
      <w:r>
        <w:t>191. From the documents, it is also deducible an attempt to differentiate the wholesale prices that the new company Cassiopea, for the same services, will offer to alternative operators and to TIM. In particular, for the VULA service, [omissis]133; the Easy Fiber price, reserved for TIM, is lower and the business plan provides that [omissis]134.</w:t>
      </w:r>
    </w:p>
    <w:p>
      <w:r>
        <w:t>192. However, in a presentation to the Board of Directors on June 22, 2017, TIM's Wholesale Management seems to conduct a review of the key dynamic factors of the wholesale access services market. In particular, the extension of the Easy Fiber contractual model to all alternative operators is proposed [omissis]135. It would seem to be a pricing scheme that incentivizes a form of lock-in of TIM's wholesale customers, in order to bind the largest number of wholesale lines to the incumbent before the competitive offers of Open Fiber (black areas) and on the Infratel network (white areas) are active. In fact, TIM acknowledges that the new modulation of the Easy Fiber offer should aim to hinder the wholesale competition of Open Fiber: [omissis]136.</w:t>
      </w:r>
    </w:p>
    <w:p>
      <w:r>
        <w:t>193. From the examined documents, it has been noted that, immediately after learning of the entry of a new infrastructure competitor, TIM initiated a process of redefining the strategic directions to be adopted regarding the development of ultra-broadband fixed networks. The ultimate goal of this strategy is to counter the market entry of Open Fiber, also through the use of pricing leverage of wholesale access services.</w:t>
      </w:r>
    </w:p>
    <w:p>
      <w:r>
        <w:t>194. In May 2016, OF began activating the first wholesale service offers in the city of Perugia, where it initially started the construction of the new fiber optic network. In July 2016, discussions were initiated within TIM regarding the possibility of introducing VULA FTTH137 access service offers with significantly lower prices. However, some TIM executives highlighted certain critical issues regarding the economic rationale of the maneuver: “we said that the introduction of FTTH offers sharpens the risk of cannibalization among offers as it 'diminishes' differentiating elements such as the Minimum Guaranteed Bandwidth and upload speed, I would say this creates a risk, I fear that you will need an effort of estimation ... or a rationale to say that the risk is zero or very small”138.</w:t>
      </w:r>
    </w:p>
    <w:p>
      <w:r>
        <w:t>195. In other words, within TIM, the risks resulting from the introduction of promotional offers for VULA FTTH services are evident, not only in terms of violation of competition protection regulations but also regarding the possibility that the demand for VULA FTTH increases to an excessive degree for TIM. The proposition of service profiles inclusive of a particularly challenging upload data transmission speed at prices almost comparable to those of the VULA FTTC service, for example, would have posed the risk of the subsequent surpassing of the commercial attractiveness of VULA FTTC offers, the latter presenting, for similar prices, lower performance in upload. Nevertheless, the reformulation of the wholesale offer is being pursued.</w:t>
      </w:r>
    </w:p>
    <w:p>
      <w:r>
        <w:t>196. In addition to a reconfiguration of the performance profiles and prices of VULA FTTH wholesale services, during the same period, between the end of 2016 and the beginning of 2017, TIM intends to reintroduce, in a renewed form, the wholesale offer called Easy Fiber. This is an offer designed in 2014, before the market entry of OF, to incentivize the migration of alternative operators' customers towards ultra-broadband connections, although almost exclusively in fiber to the cabinet (FTTC) architecture, the technological solution preferred by TIM until OF entered the market. In particular, the Easy Fiber offer provides that, in exchange for a one-time initial entry cost, an operator can benefit from discounts compared to the regulatory price of VULA FTTC and FTTH services if it reaches minimum threshold values on an annual basis for requested activations and commits to TIM as a wholesale supplier for at least five years (or a maximum of seven years).</w:t>
      </w:r>
    </w:p>
    <w:p>
      <w:r>
        <w:t>197. The reintroduction, in an updated version, of Easy Fiber, however, despite the original motivations provided to justify the type of offer in question, appears aimed at achieving anti-competitive objectives. In September 2016, in an exchange of emails, TIM representatives discuss the characteristics of the new commercial proposal to be presented to WT for wholesale access services. According to one of the interlocutors, “the strategic approach is to create a strong commitment from Wind on the quantities migrated to NGN, thus creating an effective barrier against possible migration to EOF”139. It would therefore seem that the reintroduction of Easy Fiber should be configured as an illicit tool to counter the wholesale customer acquisition plan by OF. This intent is also explicit in certain passages of the preparatory drafts in the new industrial plan 2017-19, which circulated in TIM in December 2016: “Easy Fiber agreements to minimize the impacts of EOF competition”140.</w:t>
      </w:r>
    </w:p>
    <w:p>
      <w:r>
        <w:t>198. In addition to the reintroduction in a renewed version of the Easy Fiber offer, TIM between the end of 2016 and the beginning of 2017 discusses and analyzes the possibility of reformulating the performance levels (download and upload speeds) and prices of VULA FTTH services. In January 2017, an internal analysis document reports the results of estimates made to evaluate what the minimum price level of VULA FTTH could be compatible with compliance with the current average access cost value as per Agcom resolution no. 623/15/CONS141. This resolution established a value of the average monthly cost for VULA FTTH access equal to €23.28, determined on a national territorial basis; the value estimated by TIM, however, refers only to the areas covered by</w:t>
      </w:r>
    </w:p>
    <w:p>
      <w:r>
        <w:t>139 Cfr. ISP586.</w:t>
        <w:br/>
        <w:t>140 Cfr. ISP528, all. pag. 13. Along the same lines, also cfr. ISP497, all. pag. 53, and ISP635, all. 2, pag. 13.</w:t>
        <w:br/>
        <w:t>141 Agcom resolution of November 5, 2015 titled “Identification and analysis of the markets for fixed network access services (markets NN. 3a and 3b of the European Commission Recommendation no. 2014/710/EU and No. 1 of Recommendation no. 2007/879/EC)”. Currently, a new market access analysis procedure is underway at Agcom, initiated by resolution no. 45/17/CONS of January 26, 2017. Since January 18, 2019, Agcom has published resolution no. 613/18/CONS which provides for the “Public consultation concerning the coordinated analysis of the markets for fixed network access services pursuant to Article 50 ter of the Code”, with which the draft of the new regulatory market analysis has been submitted for market consultation.</w:t>
      </w:r>
    </w:p>
    <w:p>
      <w:r>
        <w:rPr>
          <w:b/>
        </w:rPr>
        <w:t>[Pages 82–84]</w:t>
      </w:r>
    </w:p>
    <w:p>
      <w:r>
        <w:t>84 BULLETIN NO. 10 OF MARCH 9, 2020</w:t>
      </w:r>
    </w:p>
    <w:p>
      <w:r>
        <w:t>Flash Fiber Srl network (main 29 Italian cities), and is indeed significantly lower, amounting to [10-30] euros.</w:t>
      </w:r>
    </w:p>
    <w:p>
      <w:r>
        <w:t>199. Therefore, "assuming the average period cost of [10-30] €/month for TIM, the introduction of a wholesale promotional offer is hypothesized, configured as follows:</w:t>
        <w:br/>
        <w:t>• Promotional offer for the first year of subscription: [1-10] €/month</w:t>
        <w:br/>
        <w:t>• Recovery of the promotional fee in the subsequent two years with a forecasted fee of: [10-30] €/month"142.</w:t>
      </w:r>
    </w:p>
    <w:p>
      <w:r>
        <w:t>200. Through this promotion, the average value over three years of a VULA FTTH access would be "close to the average cost estimates of the VULA service realizable by the main competitors in the same areas. The issue of the average unit cost of the service realizable by OAO143 is significant since AGCom will be called to approve the TIM offer, the only notified operator in the fixed access market. The approval by AGCom of a VULA TIM price that is "on average" below the average realizable value by competitors could be considered a competitive advantage for TIM, which AGCom may not grant, given the current regulatory framework"144. Therefore, the revision of VULA prices that TIM is contemplating at the beginning of 2017 appears aimed at artificially making compatible with the current regulation price levels lower than the average realizable value by competing operators, which, in this case, can essentially be identified as the new entrant OF. Moreover, the cost value determined in TIM's internal analyses is lower than the regulatory average cost as it is calculated exclusively with reference to the most important Italian cities, where the economies of density have a greater weight than the national average.</w:t>
      </w:r>
    </w:p>
    <w:p>
      <w:r>
        <w:t>201. To this end, in the development of the new wholesale offer for the year 2017, new service profiles are analyzed, with demand take-up hypotheses calibrated to comply with the constraint constituted by the current regulatory average cost. According to TIM, in particular, "it is possible to optimize the cost up to about [10-30] Euro, with appropriate filling hypotheses related to primary fiber and electronics"145.</w:t>
      </w:r>
    </w:p>
    <w:p>
      <w:r>
        <w:t>202. At the time of developing the new price proposal and technical conditions for the year 2017, the following VULA FTTH service profiles were in effect, as established by AGCom resolution no. 623/15/CONS.</w:t>
      </w:r>
    </w:p>
    <w:p>
      <w:r>
        <w:t>142 See ISP512, annex "RAE_Costing VULA FTTH Areas FF_25jan17 FIN With Back-up RAE.pptx", p. 6.</w:t>
        <w:br/>
        <w:t>143 OAO, other authorized operators: acronym identifying alternative operators to TI.</w:t>
        <w:br/>
        <w:t>144 See ISP512, annex "RAE_Costing VULA FTTH Areas FF_25jan17 FIN With Back-up RAE.pptx", p. 6.</w:t>
        <w:br/>
        <w:t>145 See ISP512, annex "RAE_Costing VULA FTTH Areas FF_25jan17 FIN With Back-up RAE.pptx", p. 8 and ISP462, annex p. 12.</w:t>
      </w:r>
    </w:p>
    <w:p>
      <w:r>
        <w:t>BULLETIN NO. 10 OF MARCH 9, 2020 85</w:t>
      </w:r>
    </w:p>
    <w:p>
      <w:r>
        <w:t>Table 9. VULA FTTH service offer profiles pre-price revision</w:t>
        <w:br/>
        <w:t>Download speed Upload speed Price/month</w:t>
        <w:br/>
        <w:t>FTTH 100/10 100 Mbps 10 Mbps €22.12</w:t>
        <w:br/>
        <w:t>FTTH 40/40 40 Mbps 40 Mbps €30.65</w:t>
        <w:br/>
        <w:t>FTTH 100/100 100 Mbps 100 Mbps €77.77</w:t>
      </w:r>
    </w:p>
    <w:p>
      <w:r>
        <w:t>203. Furthermore, at the end of 2015, TIM had also introduced two additional VULA FTTH service profiles (300/20 Mbps and 50/10 Mbps). With resolution no. 78/17/CONS of February 8, 2017, in light of the introduction of the new VULA FTTH profiles at 300/20 Mbps and 50/10 Mbps, AGCom deemed it appropriate to revise the distribution of volumes of VULA FTTH services compared to what was considered with the previous resolution no. 623/15/CONS146. In particular, AGCom established the following distribution of volumes for the asymmetric VULA FTTH access profiles: 50/10 Mbps (10%), 100/10 Mbps (approximately 36%) and 300/20 Mbps (approximately 50%).</w:t>
      </w:r>
    </w:p>
    <w:p>
      <w:r>
        <w:t>204. For the year 2017, in a note dated February 24, 2017, TIM informed AGCom of the availability, starting from May 28, 2017, of new VULA FTTH profiles with speeds of 1,000/100 Mbps and 1,000/500 Mbps. At the same time, TIM also communicated that, starting from the last quarter of 2017, it would remove from the reference offer the FTTH access profiles that had been offered until then (50/10 Mbps, 100/10 Mbps, 300/20 Mbps, 40/40 Mbps, and 100/100 Mbps). According to AGCom's report in resolution no. 87/18/CIR of May 28, 2018, the volumes on the aforementioned profiles were quantifiable "cumulatively [in] a few hundred accesses." With a note dated March 9, 2017, TIM then informed AGCom that the fee for the new VULA FTTH accesses of 1,000/100 Mbps and 1,000/500 Mbps would be €15.04/month and €67.66/month, respectively.</w:t>
      </w:r>
    </w:p>
    <w:p>
      <w:r>
        <w:t>Table 10. New FTTH service profiles</w:t>
        <w:br/>
        <w:t>Download speed Upload speed Price/month</w:t>
        <w:br/>
        <w:t>FTTH 1000/100 1000 Mbps 100 Mbps €15.04</w:t>
        <w:br/>
        <w:t>FTTH 1000/500 1000 Mbps 500 Mbps €67.66</w:t>
      </w:r>
    </w:p>
    <w:p>
      <w:r>
        <w:t>205. In view of the modification of the wholesale commercial proposal, TIM emphasizes that "the outdated profiles (100/10, 40/40, 100/100, and 300/20) must be communicated to AGCom and the market with adequate notice and priced at the level of the lowest of the 2 profiles in effect (likely 1,000/100 and 1,000/500). Reasonably, 90/95% of activations will be on the low profile, so the price of that profile would be slightly below the average"147.</w:t>
      </w:r>
    </w:p>
    <w:p>
      <w:r>
        <w:t>146 In AGCom resolution no. 623/15/CONS, it was hypothesized that 96% of customers would purchase the 100/10 Mbps profile; about 2% the 100/100 Mbps profile and about 2% the 40/40 Mbps profile.</w:t>
        <w:br/>
        <w:t>147 See ISP512, annex "RAE_Costing VULA FTTH Areas FF_25jan17 FIN With Back-up RAE.pptx", p. 8.</w:t>
      </w:r>
    </w:p>
    <w:p>
      <w:r>
        <w:t>86 BULLETIN NO. 10 OF MARCH 9, 2020</w:t>
      </w:r>
    </w:p>
    <w:p>
      <w:r>
        <w:t>206. The hypothesis is also considered that the new VULA FTTH prices are adopted only in certain areas of the national territory, precisely where a competing access network is present. However, it is noted that "a geographical differentiation of the promotion, based on objective criteria such as the expected/achieved level of penetration/coverage, entails additional risks both from a regulatory and an antitrust perspective. From a regulatory standpoint, it may lead to a request for the extension of the promotion to all geographical areas (based on the assumption that the unit cost is substantially aligned in all cities). From an antitrust perspective, there is a greater risk that selective behavior may be considered abusive"148. For TIM, therefore, it is known that the cost of VULA FTTH communicated to AGCom has been underestimated, through the choice of only the main urban areas. In fact, there is a risk that AGCom may consider that the new VULA FTTH prices should be extended throughout the national territory, a possibility that TIM itself would prefer to avoid, as such prices would not allow for the recovery of the respective supply costs outside the cities considered.</w:t>
      </w:r>
    </w:p>
    <w:p>
      <w:r>
        <w:t>207. Thus, in reforming the economic and technical conditions of the VULA FTTH offer, TIM develops two new profiles, of which only one is actually intended to have commercial potential, namely the 1000/100 profile. This profile, compared to the 1000/500 profile, presents a more plausible upload performance level and a significantly lower price compared to the prices of FTTH services marketed by TI up to that point. However, for the new wholesale FTTH offer to meet the constraint of covering the average cost determined by AGCom resolution no. 623/15/CONS, TI also developed a 1000/500 service, with performance levels exorbitant compared to what was required by the market at that time, setting a price approximately 4.5 times the price of the 1000/100 profile.</w:t>
      </w:r>
    </w:p>
    <w:p>
      <w:r>
        <w:t>208. The expected take-up of the high-priced 1000/500 profile had initially been identified by AGCom as equal to 16% of total FTTH activations149. This estimate turned out to be excessive ex post; in fact, after verifying the final data for the year 2016, AGCom, with resolution 87/18/CIR of May 28, 2018, established that the potential demand for the new FTTH 1,000/500 Mbps profile could be at most 10%. On the other hand, the internal estimates developed by TIM were such that: "Reasonably, 90/95% of activations will be on the low profile, so the price of that profile would be slightly below the average"150.</w:t>
      </w:r>
    </w:p>
    <w:p>
      <w:r>
        <w:t>209. According to some emails from January 2017, the maneuver to reduce the prices of the VULA FTTH service was intended to have impacts on both wholesale revenues and retail commercial proposals. In this regard, it is emphasized that "a wholesale impact should be estimated, which should concern 3 aspects:</w:t>
        <w:br/>
        <w:t>• Impact of the new hypotheses on FTTC price</w:t>
        <w:br/>
        <w:t>• Lower revenues from the plan with the same number of customers + greater quantities due to elasticity</w:t>
        <w:br/>
        <w:t>148 See ISP512, annex "RAE_Costing VULA FTTH Areas FF_25jan17 FIN With Back-up RAE.pptx", p. 8 and ISP585, annex p. 7.</w:t>
        <w:br/>
        <w:t>149 See AGCom resolution no. 105/17/CIR of August 1, 2017, concerning "Initiation of the procedure concerning the approval of the reference offers of Telecom Italia for bitstream services on copper network and for NGA bitstream services, VULA service and related ancillary services, for the year 2017."</w:t>
        <w:br/>
        <w:t>150 See ISP512, annex "RAE_Costing VULA FTTH Areas FF_25jan17 FIN With Back-up RAE.pptx", p. 8.</w:t>
      </w:r>
    </w:p>
    <w:p>
      <w:r>
        <w:rPr>
          <w:b/>
        </w:rPr>
        <w:t>[Pages 85–87]</w:t>
      </w:r>
    </w:p>
    <w:p>
      <w:r>
        <w:t>BULLETIN NO. 10 OF MARCH 9, 2020 87</w:t>
      </w:r>
    </w:p>
    <w:p>
      <w:r>
        <w:t>• Cannibalization risks CAB [i.e., the risk of cannibalizing the wholesale clientele that already purchases VULA FTTC services, ed. note]151.</w:t>
      </w:r>
    </w:p>
    <w:p>
      <w:r>
        <w:t>210. Regarding the possible consequences on the retail market, in fact, within TIM there have been reflections on whether "The promotion of VULA H and the likely similar Retail promotion, if directed only at new customers, poses risks of loss of CB (customer base, ed. note) FTTC due to possible greater promotions from competitors?"152. Such risks are feared as the objective of the reformulation of the FTTH wholesale offer also aims to achieve benefits in the retail market: "even on the retail side, the promotional choice must reflect an increase in the expected quantities, with an overall positive effect"153.</w:t>
      </w:r>
    </w:p>
    <w:p>
      <w:r>
        <w:t>211. The commercial maneuver outlined above appears primarily aimed at unlawfully countering the competitive development of OF. In this regard, it should be noted that the new prices of VULA FTTH, significantly lower than the previous ones, would be proposed even though "a negative impact on the Wholesale Plan is estimated at approximately [-10 million - -30 million] € million. This assessment takes into account the lower FTTH revenues resulting from the hypothesized price delta, only partially offset by the positive volume effect due to the corresponding increase in demand"154. The pricing maneuver, therefore, would even be depressive compared to the revenues projected by TIM's own Wholesale Plan.</w:t>
      </w:r>
    </w:p>
    <w:p>
      <w:r>
        <w:t>212. Furthermore, TIM appears aware of the circumstance that, if the prices of the VULA FTTC profiles remain unchanged – that is, not aligning the values of that service downwards in line with the projected decrease in the price of VULA FTTH – there would also be the risk of cannibalizing part of the wholesale revenues that the industrial plan had attributed to the sale of VULA FTTC155. The new prices of the VULA FTTH service profile 1000/100, in fact, are substantially equated to the price of VULA FTTC, a service that guarantees, on average, performance levels (data transmission speeds in download and upload) lower than the FTTH network and presents significantly lower cost levels than VULA FTTH. In TIM, in view of the presentation to Agcom and the market of the new prices, there is reflection on this last point, also asserting that the newly hypothesized offer for FTTH "«diminishes» differentiating elements such as the Minimum Guaranteed Bandwidth and upload speed \ this I would say creates a risk \ I fear it is necessary on your part an effort of estimation ... or a rationale to say that the risk is zero or very small"156.</w:t>
      </w:r>
    </w:p>
    <w:p>
      <w:r>
        <w:t>213. In short, the downward maneuver of FTTH service prices is carried out despite TIM's knowledge of the various risks associated with it. Firstly, as seen, TIM is aware of the risks of antitrust and regulatory illegality. In addition, there are risks of revenue loss compared to the developed wholesale plan, also valued in the analyses carried out internally, and of attenuation of the greater value of the FTTH offer compared to FTTC services. These last two risks, of a commercial nature, make TIM's downward maneuver an economically inefficient choice, understandable only with the intention of unduly pushing down the prices of the new wholesale competitor for similar access services.</w:t>
      </w:r>
    </w:p>
    <w:p>
      <w:r>
        <w:t>214. In view of the presentation of the new prices, TIM analyzes various scenarios. Among these, there is also the proposal of "a WHS scenario that lowers the FTTH access value to the lowest possible (14 euros on average from about 16 that we had defined in the presentation to Cattaneo with a promo hypothesis of 12 months at 9.90 and 16 euros at standard) + one-time contribution of 70 euros"157. This proposal is considered [omitted]158, with an impact "on the whs plan revenues (reduction of the average price below the easy fiber offer) for a value from 14 to 24 million euros"159.</w:t>
      </w:r>
    </w:p>
    <w:p>
      <w:r>
        <w:t>215. Also in January 2017, TIM is working on numerous scenarios for new prices for FTTH services. The commercial maneuver also appears to carry possible negative effects on revenues for retail telecommunications services on the FTTC network, which constitute the predominant majority of the total active ultra-broadband connections on the TIM network. In particular, from the evidence acquired during the inspection, it is possible to deduce that where TIM had until that moment practiced a premium price of [omitted] euros in the retail market for FTTH connections compared to FTTC connections, the repricing hypotheses discussed at the beginning of 2017 provided for the cancellation of that price gap: [omitted]160.</w:t>
      </w:r>
    </w:p>
    <w:p>
      <w:r>
        <w:t>216. From the comparison between the new proposed retail prices and those existing on the market in January 2017 for offers of connections based on the FTTC network, [omitted]161.</w:t>
      </w:r>
    </w:p>
    <w:p>
      <w:r>
        <w:t>217. In the analyses carried out for the reformulation of wholesale and retail prices of FTTH services, TIM appears to express concern about possible repercussions in terms of compliance with the replicability constraints of offers for competitors. In an email exchange in January 2017, the Regulatory Affairs Directorate, in outlining the themes expected to dominate the commercial strategies of 2017, emphasizes the centrality of the issue of replicability of offers on fiber network162. In this regard, it is explicitly stated that one of TIM's objectives must be "to evaluate the level of WS prices [of wholesale access services, ed. note] necessary to support the replicability of fiber offers compared to the competition"163.</w:t>
      </w:r>
    </w:p>
    <w:p>
      <w:r>
        <w:t>218. In fact, the evidence related to the estimates made internally seems to support the thesis that "under current replicability conditions on fiber we cannot compete with this aggressiveness"164.</w:t>
      </w:r>
    </w:p>
    <w:p>
      <w:r>
        <w:t>219. In practice, TIM seems intent on evaluating price reductions for wholesale services also as a reaction to the new commercial offers of competing operators for "fiber" services in the retail market that, when based on the purchase of wholesale access services from Open Fiber, appear particularly competitive. This assumption is also supported in a message from the Regulatory Affairs Directorate which issues the directive that "A deeper understanding is needed to understand in particular the difference on SLU, VULA services, etc. that can affect replicability. The hypothesis is that alignment with commercial prices could give us interesting benefits on the replicability side"165, in the sense of loosening the replicability constraint and introducing more aggressive retail offers into the market.</w:t>
      </w:r>
    </w:p>
    <w:p>
      <w:r>
        <w:t>220. The link between the reconfiguration of the wholesale commercial proposal and an expected gain in competitiveness of offers in the retail market seems confirmed by an internal document that presents a summary of the scenario analyses called "Fiber Simulations". In particular, it is noted that the objective of the analysis is [omitted]166.</w:t>
      </w:r>
    </w:p>
    <w:p>
      <w:r>
        <w:t>221. In an email exchange in February 2017, prior to the official communication to Agcom of the new prices and new profiles, the Business &amp; Top Clients Directorate of TIM expresses doubts about the commercial rationality of having a service profile at a reduced price with high upload speed (≥100Mbps). This setup, in fact, risks making the offers aimed at business customers non-competitive, as the upload speed hypothesized for the new VULA FTTH offer profile (100Mbps) is quite challenging in technical terms to ensure. In this way, an increase in this measure of guaranteed performance in upload would jeopardize the overall differentiation structure of TIM's offers and prices between business and residential customers: "if they then attack us, they do it in a few infrastructured areas. not a problem. Also on the CO [residential customers, ed. note] I would like to understand the necessity of such a high up [upload speed, ed. note]"167. The office of the Chief Pricing Officer, therefore, attempts to provide reassurance about the "internal" sustainability for TIM of the new wholesale offer and its necessity, stating that "others do it, otherwise. And you cannot do anything because you have wholesale prices with an impossible floor. The price range with the 500 allows for ample business segmentation"168.</w:t>
      </w:r>
    </w:p>
    <w:p>
      <w:r>
        <w:t>222. In practice, the new service profiles for VULA FTTH hypothesized for the pricing maneuver at the beginning of 2017, as reported above in table 10 and which foresee an increase to 100Mbps of the minimum data transmission speed in upload169, present simultaneously a significant increase in the advertised quality of the service and a drastic drop in prices, aimed at pursuing a dual purpose:</w:t>
        <w:br/>
        <w:t>a. to hinder the emergence of alternative offers from Open Fiber from the outset, imposing a substantial downward leveling of prices and margins on VULA FTTH services;</w:t>
        <w:br/>
        <w:t>b. to obtain benefits in terms of reduced strength of the replicability constraint on the prices of retail offers to the final customer.</w:t>
      </w:r>
    </w:p>
    <w:p>
      <w:r>
        <w:t>223. Finally, the price reduction of FTTH access services, which TIM discusses in January 2017, appears potentially capable of negatively affecting TIM's revenues also in relation to the competitiveness of the Easy Fiber offer, as it would also be necessary to estimate the [omitted]170. That is,</w:t>
      </w:r>
    </w:p>
    <w:p>
      <w:r>
        <w:rPr>
          <w:b/>
        </w:rPr>
        <w:t>[Pages 88–90]</w:t>
      </w:r>
    </w:p>
    <w:p>
      <w:r>
        <w:t>90 BULLETIN NO. 10 OF MARCH 9, 2020</w:t>
      </w:r>
    </w:p>
    <w:p>
      <w:r>
        <w:t>223. The reduction of the VULA FTTH price is such as to pose the risk of making even an incentivizing offer, with discounts, such as Easy Fiber, unprofitable.</w:t>
      </w:r>
    </w:p>
    <w:p>
      <w:r>
        <w:t>224. It is therefore evident that the price reduction of the VULA FTTH did not constitute a rational pricing decision for TIM, except in the perspective of generating a downward alignment, below costs, of the average price level of wholesale access services on the FTTH network, to the detriment of OF. It should also not be overlooked that at the time of the maneuver to readjust the VULA FTTH offer, TIM had a rather limited FTTH coverage of the territory, having only recently launched the co-investment project signed with Fastweb. The purpose of the price reduction was only justified by the intent to unduly counteract the consolidation in the market of an alternative wholesale service offer, generating a strong downward refocusing of the average price for access services on the FTTH network.</w:t>
      </w:r>
    </w:p>
    <w:p>
      <w:r>
        <w:t>225. Quite singular, in fact, is the circumstance that TIM submitted to Agcom, as a central element justifying the legality of the VULA FTTH price reduction, the sole underlying decrease of the average cost of providing access services on the FTTH network, whereas similar attention regarding the alleged reduction of costs was not reported to the regulator concerning the FTTC network. Yet, as is known, already at the time of the repricing maneuver at the beginning of 2017, TIM had widespread coverage of the territory with FTTC networks which, indeed, constituted the backbone of the wholesale ultra-broadband access service offer.</w:t>
      </w:r>
    </w:p>
    <w:p>
      <w:r>
        <w:t>226. The real purpose of TIM's pricing maneuvers on wholesale services is made explicit in an exchange of messages dating back to February 2017, in which the impact on the 2017-19 industrial plan of the proposed migration of VD and WT lines to the OF network is discussed, and the effectiveness of adopting a discounting strategy aimed at countering the hypothesis of losing lines purchased wholesale from VD and WT is debated. In this regard, concerning the new prices intended to be published, a TIM executive states that “The discounts applied so far are on national agreements and not local on contracts signed in unsuspecting times before infrastructure competition becomes a competitive issue – as represented to AgCom – aimed at a quicker return of the invested capital (so much so that discounts have some relation to the cost of capital) \ The future discounting on which we are also working with CPO [Chief Pricing Officer, ed.] will have a logic of ‘accelerating the development of the NGN’, certainly not publicly aimed at countering competition” [emphasis added, ed.]171.</w:t>
      </w:r>
    </w:p>
    <w:p>
      <w:r>
        <w:t>227. In an internal summary document, also from February 2017, TIM's new commercial strategy regarding fiber optic connections seems to be outlined even more clearly. In particular, the reduction of VULA FTTH prices and the introduction of new service profiles would be the result of “adopting an aggressive strategy in the fiber market […] aimed at taking scale away from the infrastructure competitors, putting their sustainability at risk in the M/L term [emphasis added, ed.]”172. This new pricing course would be adopted even though a “Risk of cannibalization of the Business segment”173 was assessed; in practice, the increase in the quality of the assured performance and the reduction of prices for FTTH could render the existing retail offers for business customers no longer competitive.</w:t>
      </w:r>
    </w:p>
    <w:p>
      <w:r>
        <w:t>228. TI also expresses the intention to differentiate rates on a territorial basis, strategically adopting discounts only in areas where an infrastructure competitor is present: “In non-promotional areas, pricing is at a premium compared to the FttCab Fiber offers.” Therefore, the repricing at the beginning of 2017, with a decrease in the price of FTTH services, would be adopted only in areas also served by the OF network, with a clear declared intent to jeopardize the economic sustainability of the competitor's wholesale offer, within a logic of excluding Open Fiber from the market.</w:t>
      </w:r>
    </w:p>
    <w:p>
      <w:r>
        <w:t>229. As already anticipated, in addition to the revision of the VULA FTTH service prices, during the period corresponding to the first quarter of 2017, TIM also developed a new version of the wholesale Easy Fiber offer. Again, the strategic lines guiding the price reformulation maneuver appear consistent with what has already been seen for the revision of the VULA FTTH service offer. For example, in an email exchange in March 2017, when analyzing the new Easy Fiber offer, it is pointed out that “The objectives, in light of discounts on (limited) fees and on activation contributions (slightly above 20%), are to: Curb the autonomous infrastructure of OLOs (cabinet + SUL) which determines decreasing variable costs as the number of customers increases, consequently putting pressure on retail prices; Drain the market from EOF”174.</w:t>
      </w:r>
    </w:p>
    <w:p>
      <w:r>
        <w:t>230. In April 2017, a document is prepared that reports the characteristic elements of the new Easy Fiber offer, which was then officially communicated to Agcom on April 27, 2017. The new Easy Fiber provides for a monthly fee and a one-time entry cost for the operator that adheres based on the number of accesses per plan and their distribution over the years. The unit fees are articulated on 4 discount brackets, depending on the number of NGA lines that the wholesale customer operator commits to activate on the TIM network. Furthermore, the formula presents, for each bracket, a specific price applicable to FTTC accesses of any speed, and another applicable to FTTH accesses. No limits of FTTC / FTTH mix are provided for accesses per plan.</w:t>
      </w:r>
    </w:p>
    <w:p>
      <w:r>
        <w:t>Minimum quantities for access</w:t>
        <w:br/>
        <w:t>FTTCab FTTH</w:t>
        <w:br/>
        <w:t>for discount</w:t>
        <w:br/>
        <w:t>Fee Fee</w:t>
        <w:br/>
        <w:t>Unit option Unit fee Fee</w:t>
        <w:br/>
        <w:t>agreement to agreement to</w:t>
        <w:br/>
        <w:t>Easy Fiber equivalent Easy Fiber equivalent</w:t>
        <w:br/>
        <w:t>5 years 7 years</w:t>
        <w:br/>
        <w:t>(net of UT) (net of UT)</w:t>
        <w:br/>
        <w:t>Premium &lt; 500,000 &lt;700,000 12.20 14.20 12.70 14.70</w:t>
        <w:br/>
        <w:t>Gold 500,000 700,000 11.95 13.95 12.45 14.45</w:t>
        <w:br/>
        <w:t>Platinum 750,000 1,000,000 11.70 13.70 12.20 14.20</w:t>
        <w:br/>
        <w:t>Diamond 1,000,000 1,500,000 11.45 13.45 11.95 13.95</w:t>
        <w:br/>
        <w:t>Cfr. ISP508, all. pag. 3.</w:t>
      </w:r>
    </w:p>
    <w:p>
      <w:r>
        <w:t>231. The new Easy Fiber offer appears to be one of the main tools deployed by TIM to counter the competitive development of the market following the entry of OF. According to what is reported in some internal summary documents, [omissis]175. With the spread of alternative access infrastructures, alternative operators could [omissis]176. To respond to this competitive challenge, TI commits to relaunching the Easy Fiber offer, focusing on the advantages that alternative operators could obtain by adhering: “OLOs could avoid facing the inherent risks of building autonomous UBB networks, should there be a wholesale solution from TIM that:</w:t>
        <w:br/>
        <w:t>i. Reduced the cost gap between VULA and ULL</w:t>
        <w:br/>
        <w:t>ii. Proved competitive compared to alternative infrastructures”177.</w:t>
      </w:r>
    </w:p>
    <w:p>
      <w:r>
        <w:t>232. When the competition from OF's wholesale offers begins to be relevant in the areas covered by the new fiber optic network, the reconfiguration of the Easy Fiber offer, in this regard, allows TIM to ensure that alternative operators do not orient themselves towards “the adoption of differentiated network platforms between large cities and the rest of Italy, avoiding the costs associated with duplicating their operational processes”178. Originally, the Easy Fiber offer had been configured to serve as a form of participation by alternative operators in supporting investments in ultra-broadband networks. After the market entry of OF and the reconfiguration carried out by TIM at the beginning of 2017, this wholesale offer assumes the role of introducing a lock-in mechanism for wholesale demand. In fact, as articulated in the new Easy Fiber proposed in April 2017, the greatest benefits for adhering operators are only possible in the case of multi-year permanence (from 5 up to 7 years) and ensuring the activation of a minimum number of lines such as to make it unprofitable for the wholesale customer operator to diversify the territorial sources of supply of wholesale access services. Clearly,</w:t>
      </w:r>
    </w:p>
    <w:p>
      <w:r>
        <w:rPr>
          <w:b/>
        </w:rPr>
        <w:t>[Pages 91–93]</w:t>
      </w:r>
    </w:p>
    <w:p>
      <w:r>
        <w:t>BULLETIN NO. 10 OF MARCH 9, 2020 93</w:t>
      </w:r>
    </w:p>
    <w:p>
      <w:r>
        <w:t>it is a way to bind wholesale customers to TIM's network, preventing contestability to OF, through a two-part pricing mechanism.</w:t>
      </w:r>
    </w:p>
    <w:p>
      <w:r>
        <w:t>233. The new Easy Fiber offer seems to receive a good reception from the market immediately. The WT operators, Fastweb and Vodafone, appear interested in the new formula: in June 2017, according to data reported by TIM, “more than 300k Easy Fiber lines have already been acquired”179. TIM's objective appears clear: “The project’s focus is the massive migration to NGA of the three operators’ customer bases, under an innovative commercial concept called Easy Fiber. There are significant strategic and economic benefits for TIM, due to the opportunity of locking in the competitors’ customer base and receiving the financial upfronts provided for in the new concept”180.</w:t>
      </w:r>
    </w:p>
    <w:p>
      <w:r>
        <w:t>234. The strategic line resulting from the new Easy Fiber is also clarified in a subsequent document, from January 2018, dedicated to the analysis of the wholesale market. The new pricing models are considered a tool to improve the competitiveness of TIM's wholesale offer: “TIM Wholesale offer competitiveness increase due to new pricing model”181. When asked how the new wholesale offer prices affect the performance of the wholesale division, it is stated that they ensure “Customer Base lock in”182.</w:t>
      </w:r>
    </w:p>
    <w:p>
      <w:r>
        <w:t>235. In an email from October 2017, there is evidence of a meeting between TIM and VD. On this occasion, proposals for new wholesale supply contracts are also discussed. In the preparatory document for the meeting, TIM summarizes the elements of the new Easy Fiber offer as follows: “TIM's Fiber offer includes a one-time initial payment for subscription and volume discounts on monthly wholesale fiber access fees (based on the number of planned fiber accesses and the percentage of accesses that the operator commits to migrate to fiber compared to the total of its access lines). Vodafone was the first major operator to subscribe to the previous version but has not yet reached an agreement on the new Easy Fiber offer. TIM's goal is to obtain a commitment from Vodafone on significant volumes of wholesale fiber accesses (which, otherwise, would be the domain of competitors, such as OF)”183. In January 2018, there is evidence of preparatory documents for Easy Fiber commercial offers for the three main competing operators (Fastweb, VD, and WT)184.</w:t>
      </w:r>
    </w:p>
    <w:p>
      <w:r>
        <w:t>236. The new commercial strategy used for fiber service offers, both FTTC and FTTH, therefore, appears essentially aimed at hindering the emergence of the new competitive context, which is gradually taking shape following OF's entry into the market. The impact analyses carried out by TI, in fact, unanimously conclude with an estimate of revenue loss due to the expansion of OF's alternative NGA access network. In an internal document from October 2017, describing the competitive directions of the wholesale market, it is emphasized that TIM [omissis]185.</w:t>
      </w:r>
    </w:p>
    <w:p>
      <w:r>
        <w:t>237. The new commercial approach is summarized in a document prepared by McKinsey on behalf of TIM in December 2017, in which the Group's wholesale strategy is outlined. [Omissis]</w:t>
      </w:r>
    </w:p>
    <w:p>
      <w:r>
        <w:t>ii. TIM's conduct in the retail services market</w:t>
      </w:r>
    </w:p>
    <w:p>
      <w:r>
        <w:t>Lock-in</w:t>
      </w:r>
    </w:p>
    <w:p>
      <w:r>
        <w:t>238. The documentation found during the inspection contains significant elements supporting the hypotheses of commercial strategies implemented in the retail market aimed at reducing incentives for contestability of the final clientele.</w:t>
      </w:r>
    </w:p>
    <w:p>
      <w:r>
        <w:t>239. Among the behaviors subject to in-depth investigation concerning the retail services market, the introduction of lock-in mechanisms to block customer mobility appears to emerge in many internal documents intended for the analysis of competitive scenarios. Indeed, when referring to TIM's commercial positioning, explicit mention is often made of lock-in. In a presentation for the Board of Directors dating back to June 2017, the proposed strategic direction for TIM's future competitive positioning is illustrated. On this occasion, TIM seems to clearly indicate that in the retail market it will focus on [omissis]186.</w:t>
      </w:r>
    </w:p>
    <w:p>
      <w:r>
        <w:t>240. Also among the strategic lines of the 2017/19 industrial plan, in several passages, explicit reference is made to the need to push for lock-in mechanisms: “Push on Lock in through devices, content, hyper-convergence”187. Lock-in, therefore, occupies a prominent role among the strategic lines of the new 2017-19 industrial plan concerning the fixed network market. The underlying strategic objective is, specifically, “Ramp Up UBB and Stabilize CB,” that is, to push for sales of ultra-broadband services and preserve the customer base, through a “lock-in strategy” centered on “modem upgrade to build a ‘fiber ready’ customer base and lock-in”188. Among the tools indicated as functional to customer retention in TIM, there is the pairing of new terminal devices (next-generation modems) with the sale of voice and data connection services.</w:t>
      </w:r>
    </w:p>
    <w:p>
      <w:r>
        <w:t>241. The preemptive acquisition of customers during the transition from broadband offers to ultra-broadband ones appears to be one of TIM's ultimate objectives. Among the “Strategic priorities,” indeed, the “Lock-in strategy leveraging on Smart TV/connected devices, contents, hyper-convergence”189 is included. Consumers would be retained in TIM for a longer period than efficient by leveraging the inclusion of products sold in combination with the telecommunications services package, including services belonging to other markets: “Customers’ lock-in: enlarging TIM offering, by selling connected consumer goods (e.g. white goods, smart home devices), and exploiting the potential of TIM billing and payment by installments, will increase customers’ lock-in”190. In other words, the increase in services included in the retail offer does not appear to stem from the desire to enhance the quality of the offer but rather from the objective of increasing the contractual lock-in degree of the user.</w:t>
      </w:r>
    </w:p>
    <w:p>
      <w:r>
        <w:t>242. TIM aims to introduce promotional offers that include elements of contractual lock-in due to the bundled sale with the modem connection and the possibility of using installment payments as a tool to multiply the lock-in effect. During 2016-18, in fact, TIM proposed numerous commercial promotions incorporating such economic characteristics, named, for example, TIM SMART FIBRA and TIM Connect.</w:t>
      </w:r>
    </w:p>
    <w:p>
      <w:r>
        <w:t>243. From TIM's 2017/19 industrial plan, it is therefore unequivocally evident that the lock-in of the final clientele constitutes one of the strategic lines of TIM's planned action. [omissis]. To support and enhance its Premium positioning, TIM will leverage on three major items: i. development of Lock in mechanisms to increase customers’ loyalty and retention;”191.</w:t>
      </w:r>
    </w:p>
    <w:p>
      <w:r>
        <w:t>244. Also within the preparatory documents of the 2017-19 industrial plan, TIM has made explicit the direction it intends to follow in the retail market, particularly for UBB services. Among the highlighted points, [omissis]192.</w:t>
      </w:r>
    </w:p>
    <w:p>
      <w:r>
        <w:t>245. The industrial plan also seems to indicate that TIM believes that the entry of the Enel Group into the market has changed the dynamic competitive scenario: [omissis]193. In such a competitive context, the protection of the customer base through the inclusion of lock-in mechanisms in the offers can be seen as a component of the overall industrial strategy defined following Open Fiber's entry into the market: [omissis]194. The strategic purpose appears to be to drain the pool of contestable demand from other operators and, therefore, from Open Fiber.</w:t>
      </w:r>
    </w:p>
    <w:p>
      <w:r>
        <w:t>246. In a report document for the first quarter of 2017, TIM also represented the first results that the use of lock-in mechanisms would have produced: “more fiber and LTE adoption, less lines losses, more lock-in with enabling devices”195; such performances are also achieved thanks to the mandatory inclusion of a modem in the new UBB retail offers.</w:t>
      </w:r>
    </w:p>
    <w:p>
      <w:r>
        <w:t>247. Similarly, in a document from March 2017, the CEO of TIM internally presented a summary of the first nine months of his mandate. In this context, he outlined the new commercial strategy adopted in the retail services market, including “Lock In Offers and Converging Offers; [omissis]196. Therefore, there is a willingness to adopt an overall strengthening of the retail offer through the use of lock-in and the bundled sale of non-telecommunications products, such as audiovisual content and video games, to the extent that the CEO stated that [omissis]197.</w:t>
      </w:r>
    </w:p>
    <w:p>
      <w:r>
        <w:rPr>
          <w:b/>
        </w:rPr>
        <w:t>[Pages 94–96]</w:t>
      </w:r>
    </w:p>
    <w:p>
      <w:r>
        <w:t>96 BULLETIN NO. 10 OF MARCH 9, 2020</w:t>
      </w:r>
    </w:p>
    <w:p>
      <w:r>
        <w:t>248. The transformation of commercial offers intended for the final clientele is understood as a tool for strengthening the broader anti-competitive strategy aimed at achieving the "first mover" advantage in both relevant markets. In this regard, the coinciding timing of the wholesale offer revision maneuver, with the proposal of the new Easy Fiber and the new VULA FTTH profiles, and the new strategic line concerning retail offers, with a strong focus on customer lock-in, is significant. Both maneuvers are essentially implemented between the end of 2016 and the beginning of 2017.</w:t>
      </w:r>
    </w:p>
    <w:p>
      <w:r>
        <w:t>249. The pricing decisions concerning the wholesale market and the retail services market are closely linked. The reduction of prices for ultra-broadband access services, with the new VULA FTTH and Easy Fiber profiles, is subject to evaluative analyses that also take into account the possible expected benefits on the retail side. In an email exchange among key TIM executives dating back to January 2017, in which the main issues concerning the repricing maneuver of wholesale access services are reported, the impacts on the retail services market are also discussed: “Also on the retail side, the promotional choice (restructuring of the wholesale offer, ed.) must reflect an increase in the expected quantities, with an overall positive effect. There are some points to explore:</w:t>
        <w:br/>
        <w:t>a. Retail (particularly Consumer) anticipates the migration of the FTTC CB to FTTH under equal conditions in the areas subject to promotion, or does it anticipate applying the promotional conditions also to the FTTC CB?</w:t>
        <w:br/>
        <w:t>b. The promotion of VULA H and the likely similar Retail promotion, if directed only at new customers, poses risks of losing FTTC CB due to possible greater promotions from competitors?”198.</w:t>
      </w:r>
    </w:p>
    <w:p>
      <w:r>
        <w:t>250. Accordingly, in the analyses conducted within TIM at the beginning of 2017 to study the new wholesale offer proposal, the impacts on the replicability of the related retail offers are also evaluated. In fact, among the simulations carried out before moving to the commercialization phase, it is reported that “we have verified the sustainability of 3 price hypotheses for a Consumer offer based on a VULA H 1000/40 profile” and “further ‘optimized’ the average cost of VULA H, reducing it from €18.14 to €16.83/month”199. Based on the calculations performed, “both a retail price with a premium of €5 and a retail price aligned with the current one appear feasible”200. Therefore, the reduction of the price of the main access service on the FTTH network, namely VULA FTTH, is also carried out in order to ease the replicability constraint of TIM's retail commercial offers.</w:t>
      </w:r>
    </w:p>
    <w:p>
      <w:r>
        <w:t>251. In the white areas, TIM has planned autonomous coverage through the newco Cassiopea to market UBB service offers in advance of the construction of the Infratel network. In an internal document related to the Cassiopea project from March 2017, TIM also reflected on the possibility that “100% of Newco could be acquired by TIM once Capex will be lowered and THE DEMAND HAS BEEN COMPLETELY DEVELOPED,” once the investment plan's goal is achieved, which will also ensure that “lock-in benefits will be exploited”201. Even in the white areas, therefore, a significant role is assigned to lock-in mechanisms.</w:t>
      </w:r>
    </w:p>
    <w:p>
      <w:r>
        <w:t>252. A concrete example of a mechanism to enhance the degree of lock-in in commercial offers is particularly evident in relation to the inclusion of the fiber modem within the UBB offer package. In an exchange of evaluations regarding the activities to be developed for the launch of Cassiopea, there is reflection on the possibility of including the modem free of charge in the proposal intended for the target clientele of Cassiopea, in order to incentivize migration to the new network that is expected to be installed: “Modem: can be provided on loan free of charge to the customer as a loyalty measure. To be confirmed by RAE (Regulatory Affairs Directorate of TIM, ed.) based on detailed quantitative data on the offers”202.</w:t>
      </w:r>
    </w:p>
    <w:p>
      <w:r>
        <w:t>253. From the documentation acquired during the inspection, it is plausible to believe that the lock-in conduct of the final clientele is so evident and that there is such a volume of explicit references to it in the internal strategic documentation that a TIM executive, in an email exchange related to the preparation of the new business plan, pointed out that “In the plan document, I see slides in which the strategy of ‘Lock in’ of customers is expressly outlined, on multiple slides. I remembered that such a way of saying was taboo once. Is it no longer so?”203. In response to this observation, it is stated that it would indeed be more prudent to “propose something softer: in the past, I had used the expression ‘increase customer stickiness’204; others suggest an alternative expression to use ‘loyalty’.”</w:t>
      </w:r>
    </w:p>
    <w:p>
      <w:r>
        <w:t>254. Specifically, during the period 2016-18, TIM marketed a series of promotional offers that featured a contractual and tariff structure suitable for generating customer lock-in.</w:t>
      </w:r>
    </w:p>
    <w:p>
      <w:r>
        <w:t>255. The offer “TIM Connect,” in its promotional version in July 2018, presented precisely these characteristics. It is worth noting that this offer has characteristics that are very similar to other analogous previous offers of ultra-broadband services on fixed network provided by TIM since the second half of 2016. Consequently, the same conclusions are applicable to the entire series of promotional offers so named. The contractual conditions provided by these offers are to be considered such as to hypothesize pre-emption conduct in the market for broadband and ultra-broadband services and lock-in of the final clientele with the establishment of exit costs rewarding for customers who remain longer in the contract.</w:t>
      </w:r>
    </w:p>
    <w:p>
      <w:r>
        <w:t>256. With particular reference to the aforementioned TIM Connect offer, it is believed that the contractual provisions regarding the customer's obligation to return the discounts enjoyed in case of withdrawal from the offer before 24 months are restrictive of competition to the extent that they are capable of restricting consumer mobility, especially if such contractual conditions are applied by the dominant operator. In the case of “early” withdrawal, in fact, the customer would be forced to pay TIM an amount equal to €153.8; moreover, if they also decide to terminate the fixed fiber optic line, the customer would have to pay an additional €99 as deactivation charges205.</w:t>
      </w:r>
    </w:p>
    <w:p>
      <w:r>
        <w:t>257. An additional element of consumer lock-in derives from the inclusion in the offer in question of TIM Vision television content, the brand created by TIM for entry into the audiovisual market, and from the bundled sale of the TIM Expert service, a novelty compared to previous TIM promotions. In case of withdrawal from the TIM Connect offer, if the customer has not yet completed the payment of the TIM Expert installments, they are required to pay all remaining installments in a single payment. In case of switching from the TIM Connect offer to another TIM offer that is not TIM Connect, if the customer has not yet completed the payment of the TIM Expert installments, they will continue to pay the remaining installments until their natural expiration206. The contractual condition, non-negotiable for the end user, of being obliged to pay for the TIM Expert service even after changing operators, appears particularly restrictive to user mobility. In fact, since TIM Expert is a service that involves the intervention of a TIM technician at home to verify the performance of the internet connection, unlike the modem, it constitutes a service that cannot be reused at all within a contract with an operator other than TIM.</w:t>
      </w:r>
    </w:p>
    <w:p>
      <w:r>
        <w:t>258. In this way, TIM has extended the average duration of stay of the user who subscribes to the offer in question, providing a mechanism of “punishment” for early contractual exit whose economic burden reduces with the prolongation of the contractual duration, until it minimizes only after as much as 48 months. The very methods, alternative, that the customer can choose to spread the cost of €283.20 for TIM Expert are such as to make it convenient to stay longer, at least 48 months, with TIM. In fact, depending on the chosen duration of the installment plan, the customer will have to pay a different installment amount for the bundled TIM Expert service (€5.90/month for 48 installments, €7.86/month for 35 installments, and €8.10 for 1 installment plus €11.80/month for 24 installments) which will make the total price different. In any case, the first two months are free.</w:t>
      </w:r>
    </w:p>
    <w:p>
      <w:r>
        <w:t>206 TIM Expert is a TIM service, sold bundled with the data connection, which involves the intervention of a TIM technician at home to verify the performance of the connection.</w:t>
      </w:r>
    </w:p>
    <w:p>
      <w:r>
        <w:rPr>
          <w:b/>
        </w:rPr>
        <w:t>[Pages 97–99]</w:t>
      </w:r>
    </w:p>
    <w:p>
      <w:r>
        <w:t>BULLETIN NO. 10 OF MARCH 9, 2020 99</w:t>
      </w:r>
    </w:p>
    <w:p>
      <w:r>
        <w:t>Table 11. Analysis of the TIM Connect offer</w:t>
        <w:br/>
        <w:t>Installment plan for the cost of TIM</w:t>
        <w:br/>
        <w:t>Total price</w:t>
        <w:br/>
        <w:t>Expert</w:t>
        <w:br/>
        <w:t>€11.80/month – first 2 months</w:t>
        <w:br/>
        <w:t>€28.7/month – from month 3 to month 12</w:t>
        <w:br/>
        <w:t>24 months €38.7/month – from month 13 to month 24</w:t>
        <w:br/>
        <w:t>Average price over 24 months: €32.3/month</w:t>
        <w:br/>
        <w:t>€7.86/month – first 2 months</w:t>
        <w:br/>
        <w:t>€24.76/month – from month 3 to month 12</w:t>
        <w:br/>
        <w:t>€34.76/month – from month 13 to month 35</w:t>
        <w:br/>
        <w:t>36 months</w:t>
        <w:br/>
        <w:t>€35/month – month 36</w:t>
        <w:br/>
        <w:t>Average price over 36 months: €30.5/month</w:t>
        <w:br/>
        <w:t>€5.90/month – first 2 months</w:t>
        <w:br/>
        <w:t>€22.8/month – from month 3 to month 12</w:t>
        <w:br/>
        <w:t>48 months €32.8/month – from month 13 to month 48</w:t>
        <w:br/>
        <w:t>Average price over 48 months: €29.6/month</w:t>
        <w:br/>
        <w:t>Source: elaborations based on data from TIM's offer conditions</w:t>
      </w:r>
    </w:p>
    <w:p>
      <w:r>
        <w:t>259. If, on the one hand, the average monthly expenditure of a user decreases with the duration of the contractual stay, on the other hand, the offer is also designed in such a way that the total expenditure of the consumer for each contractual duration cycle (24 months; 36 months; 48 months) is independent of the installment plan chosen for the TIM Expert service. Therefore, if a customer chooses the most convenient installment plan (€5.90/month for 48 installments) but decides to withdraw after the first two years of the contract, they would have to pay TIM in a single payment the TIM Expert installments for the remaining two years. In total, therefore, this customer would incur the same total expenditure in two years that they would have incurred if they had chosen to spread the cost of the TIM Expert service over 24 months instead of 48 months. In this way, TIM has designed the structure of the offer to neutralize the risk of intertemporal arbitrage by the consumer, through the penalty mechanisms established for the early exit of the customer from the contract, distorting the degree of market mobility. The total revenues per customer for TIM, in fact, are the same regardless of the installment plan of the fixed costs of the offer chosen by the consumer.</w:t>
      </w:r>
    </w:p>
    <w:p>
      <w:r>
        <w:t>Table 12. Total expenditure of TIM Connect users (in euros) for contractual duration</w:t>
        <w:br/>
        <w:t>Customer contractual stay</w:t>
        <w:br/>
        <w:t>Installment plan for the cost of</w:t>
        <w:br/>
        <w:t>24 months 36 months 48 months</w:t>
        <w:br/>
        <w:t>TIM Expert chosen by the customer</w:t>
        <w:br/>
        <w:t>24 months 775 1098 1421</w:t>
        <w:br/>
        <w:t>36 months 775 1098 1421</w:t>
        <w:br/>
        <w:t>48 months 775 1098 1421</w:t>
        <w:br/>
        <w:t>Source: elaborations based on data from TIM's offer conditions</w:t>
      </w:r>
    </w:p>
    <w:p>
      <w:r>
        <w:t>100 BULLETIN NO. 10 OF MARCH 9, 2020</w:t>
      </w:r>
    </w:p>
    <w:p>
      <w:r>
        <w:t>260. The offer is therefore structured such that the total contractual cost, given the same customer stay, is independent of the installment plan chosen by the user, being a function only of the consumer's contractual stay. Naturally, the total monthly price including the TIM Expert installment is more advantageous for the consumer who remains tied for 48 months, by about 9% of average monthly expenditure less207.</w:t>
      </w:r>
    </w:p>
    <w:p>
      <w:r>
        <w:t>261. The bundled sale of the TIM Expert service is suitable for triggering customer lock-in mechanisms through the provision of exit costs from the contract that are higher the shorter the customer's stay, after the user has been attracted into the supply contract with a very low initial price.</w:t>
      </w:r>
    </w:p>
    <w:p>
      <w:r>
        <w:t>262. With resolution no. 348/18/CONS, published on July 18, 2018, Agcom made binding the principle of user choice freedom regarding terminal equipment (modems), imposing on telecommunications operators to adjust their offers accordingly, following a correct application of Article 3, paragraphs 1, 2, 3, of Regulation (EU) No. 2015/2120 which establishes measures regarding access to an open internet. The resolution concluded the assessment initiated in January 2018 with resolution no. 35/18/CONS which had launched a "Public consultation on possible measures for the free choice of terminal equipment by consumers and end users of services connecting to a public communications network or internet access services."</w:t>
      </w:r>
    </w:p>
    <w:p>
      <w:r>
        <w:t>263. The initiation of the public consultation procedure by Agcom in January 2018, aimed from the outset at affirming the principle of freedom of choice of terminal equipment, appears to determine a reshaping of TIM's main retail promotional offers. During 2018, as reported for the TIM Connect offer of July 2018, the service called TIM Expert was indeed introduced, which replaces the modem as a contractual lock-in tool for the final customer.</w:t>
      </w:r>
    </w:p>
    <w:p>
      <w:r>
        <w:t>264. Prior to Agcom's intervention, the promotional offers designed by TIM (for example, the TIM SMART FIBRA offers) replicated the same binding mechanism described for TIM Expert, imposing the bundled sale of a modem with the service offers, at costs that were absolutely not in line (i.e., higher) with the price of similar equipment that could be purchased separately on the market.</w:t>
      </w:r>
    </w:p>
    <w:p>
      <w:r>
        <w:t>265. For example, the TIM SMART Fibra plus offer, marketed during 2017, required a minimum stay period with TIM of 24 months (26 contractual renewals) in order to benefit from the promotional prices. In the case of early withdrawal, the customer would have to return all discounts enjoyed. Additionally, added to the subscription price was the installment of €3.90 every four weeks for the bundled purchase of the modem. This installment had to be paid 48 times.</w:t>
      </w:r>
    </w:p>
    <w:p>
      <w:r>
        <w:t>266. In this way, the customer was completely captured by TIM from a contractual point of view. In fact, in the case of withdrawal before the 48 renewals, the customer would have been required to pay the remaining installments due for the modem, totaling €93.6 for 24 remaining installments, if the customer had canceled after the first 24 renewals. Practically, the consumer would have had to pay €3.90 for 24 times even after switching to another operator. The possibility of being able to withdraw after the first 24 months of contract was thus rendered exclusively a formal clause, a stylistic one, de facto surpassed by the provision of a duration of 48 installments for the payment of the modem.</w:t>
      </w:r>
    </w:p>
    <w:p>
      <w:r>
        <w:t>267. The provision of a differentiated duration for the installment period of the modem and for the minimum contractual stay period necessary to benefit from promotional prices appears to be the strongest element of contractual lock-in, in line with what TIM expressed in the strategic lines of the 2017/19 industrial plan.</w:t>
      </w:r>
    </w:p>
    <w:p>
      <w:r>
        <w:t>268. Focusing specifically on the offer marketed by TI in September 2017 and called "TIM SMART FIBRA," the following is also noted. The conditions of this promotion were similar to those of similar commercial proposals made by TIM during the 2016-18 period.</w:t>
      </w:r>
    </w:p>
    <w:p>
      <w:r>
        <w:t>269. The conditions of this "TIM SMART FIBRA" offer were indeed as follows.</w:t>
        <w:br/>
        <w:t>Target customers New activation lines and customers of other operators</w:t>
        <w:br/>
        <w:t>Fee/4 weeks (first 4 years of contract) €24.9 every 4 weeks (after the first 4 years, the price rises to €39.9 every 4 weeks)</w:t>
        <w:br/>
        <w:t>€187.20 in a single payment or 48 installments of €3.90</w:t>
        <w:br/>
        <w:t>Modem in bundled sale</w:t>
        <w:br/>
        <w:t>Free (instead of €49 for customers of other operators and €90 for new activation)</w:t>
        <w:br/>
        <w:t>270. In case of withdrawal before 24 months from the signing of the contract, the customer had to return the discounts enjoyed on the monthly fee up to that point, pay in a single payment the missing installments for the modem, and pay €99 in case of line termination.</w:t>
      </w:r>
    </w:p>
    <w:p>
      <w:r>
        <w:t>Replicability of retail offers</w:t>
      </w:r>
    </w:p>
    <w:p>
      <w:r>
        <w:t>271. The conduct aimed at crystallizing the customer base at TIM during the transition to new ultra-broadband connections is intertwined. The strengthening of lock-in elements through the greater incidence on the customer's contractual expenditure of bundled services (modem; TIM Expert) has allowed the preparation of offers that have passed the replicability test conducted by Agcom. The inclusion of very substantial discounts for the initial period of contractual stay has nonetheless ensured a strong degree of aggressiveness in TIM's commercial proposal.</w:t>
      </w:r>
    </w:p>
    <w:p>
      <w:r>
        <w:t>272. With specific reference to the offers that TIM intended to propose to end customers within the Cassiopea project, with the aim of acquiring the maximum demand pool in white areas before an alternative offer on the Infratel network was activated, the analysis of a document that presents an examination of the most suitable commercial options to facilitate the planned migration is interesting. It is indeed analyzed whether a migration of customers to the new Cassiopea network in FTTC at unchanged prices can respect or not the constraint of replicability of the offer by other operators208.</w:t>
      </w:r>
    </w:p>
    <w:p>
      <w:r>
        <w:rPr>
          <w:b/>
        </w:rPr>
        <w:t>[Pages 100–102]</w:t>
      </w:r>
    </w:p>
    <w:p>
      <w:r>
        <w:t>102 BULLETIN NO. 10 OF MARCH 9, 2020</w:t>
      </w:r>
    </w:p>
    <w:p>
      <w:r>
        <w:t>273. In evaluating the feasibility of such a migration process in white areas, with price invariance, it is recognized that [omissis]209. That is, the migration of a customer with a traditional offer, "voice only" or with ADSL, to the FTTC network would require calculating, for the purpose of determining the replicability threshold, a cost value greater than the current level related to traditional offers. Therefore, according to the same calculations carried out by TIM, the migration with price invariance, obviously estimated as very attractive to attract the final customer, would only be replicable [omissis]210.</w:t>
      </w:r>
    </w:p>
    <w:p>
      <w:r>
        <w:t>274. The simulations of migration plans in white areas at unchanged prices thus raise the issue of compliance with the replicability constraints of the new retail offers. TIM, in the simulations, acknowledges that "the price of the service provided on the UBB network must respect replicability, taking into account the additional cost components (modem, technical intervention, etc.)"211. However, in cases of promotions for which the prior verification of replicability is not passed, there is no exclusion of resorting to an instrumental use of "possible promotions at the wholesale level where necessary for replicability"212.</w:t>
      </w:r>
    </w:p>
    <w:p>
      <w:r>
        <w:t>275. The replicability issues appear particularly concrete with specific reference to the migration of voice-only customers, who, in the target areas of the planned Cassiopea investment, do not yet have any internet connection. For such cases, in fact, TIM has estimated that [omissis], in terms of compliance with replicability213.</w:t>
      </w:r>
    </w:p>
    <w:p>
      <w:r>
        <w:t>276. Possible actions are therefore indicated to ensure that the replicability test, in these cases, can also be passed by offers with price invariance: [omissis]214.</w:t>
      </w:r>
    </w:p>
    <w:p>
      <w:r>
        <w:t>277. Among other measures, the possibility of preparing promotions for related wholesale access services is also evaluated. The reduction of input prices to be purchased on the wholesale market, in fact, would allow compressing the cost floor useful for the assessment of replicability of retail offers. In this way, the replicability constraint of offers with price invariance, designed for the pre-emption of customers in white areas, would be relaxed. In practice, it would seem an attempt to surreptitiously reduce the cost of wholesale access service in order to make the retail replicability threshold less stringent.</w:t>
      </w:r>
    </w:p>
    <w:p>
      <w:r>
        <w:t>278. In any case, the analyses reported by TIM itself provide evidence of the absence of replicability for some of the promotions designed to incentivize the massive migration of final customers in white areas, where Cassiopea would have operated in competition with the Infratel network, which were never implemented following the intervention of the Authority with the initiation of proceeding A514.</w:t>
      </w:r>
    </w:p>
    <w:p>
      <w:r>
        <w:t>279. Such results are also confirmed in an email exchange from June 2017, where, along with a roadmap for the marketing of new offers for the Cassiopea areas, the results of the replicability tests are reported, stating that "The replicability assessment with free modem and technician has shown that sustainability is guaranteed only in cases of non-promoted offers. In the remaining cases, a case-by-case assessment will need to be made"215.</w:t>
      </w:r>
    </w:p>
    <w:p>
      <w:r>
        <w:t>280. Therefore, the attack on the project to cover white areas with publicly granted network carried out by TIM also appears to be armed with retail offers aimed at acquiring the largest number of customers to TIM's network, which is technologically less innovative than the Infratel network, before the new coverage provided by the tenders is activated.</w:t>
      </w:r>
    </w:p>
    <w:p>
      <w:r>
        <w:t>281. However, the documentation acquired does not seem to limit the actions concerning the preparation of non-replicable retail service offers solely to the offers conceived within the Cassiopea project, and thus to the only white areas. The evidence collected regarding this phenomenon is also attributable to the remaining part of the Italian market, including black areas, especially with reference to the promotional offers of the "Smart fiber" category, marketed during the 2017-18 period.</w:t>
      </w:r>
    </w:p>
    <w:p>
      <w:r>
        <w:t>282. Agcom Resolution No. 584/16/CONS216 introduced changes to the price test used by the regulator to verify the replicability of retail service offers prepared by TIM. The new guidelines for replicability checks provide that Telecom Italia's retail offers (including vertically integrated services with regulated wholesale access products) are subject to a single verification according to the Discounted Cash Flow method, carried out before the commercial launch, with differentiated application methods between offers on copper network and offers on fiber network. In particular, for offers on fiber optic network, that is, for ultra-broadband services, the analysis period of the offer has been extended to 36 months, from the 24 months provided for offers on copper network. The new methodology has been applied since April 1, 2017.</w:t>
      </w:r>
    </w:p>
    <w:p>
      <w:r>
        <w:t>283. The judgment that TIM has expressed on the new replicability test methodology is ambivalent. On one hand, in fact, it has argued that [omissis]217.</w:t>
      </w:r>
    </w:p>
    <w:p>
      <w:r>
        <w:t>284. However, at the same time, it seems to be inferred that the new methodology does not elicit TIM's full appreciation. In an email exchange from October 2016, on one hand, there is agreement on the fact that [omissis]218, as this way for UBB offers it is possible to spread the effects of promotions over a longer period. On the other hand, however, TIM appears concerned about the introduction of a monthly verification of the entire offer: [omissis]219. This change is subject to criticism: [omissis]220.</w:t>
      </w:r>
    </w:p>
    <w:p>
      <w:r>
        <w:t>285. In response to the changed characteristics of Agcom's price test, which now imposes a monthly verification on the replicability of the tariff maneuver, TIM has decided to initiate monitoring:</w:t>
        <w:br/>
        <w:t>- of promotions that generate a negative margin to block their marketing once the monthly threshold is reached. [omissis]221;</w:t>
        <w:br/>
        <w:t>- of promotions that generate positive margins in order to ensure passing the test.</w:t>
      </w:r>
    </w:p>
    <w:p>
      <w:r>
        <w:t>286. On September 23, 2016, precisely in relation to the verification of the replicability of the "Smart fiber" offers, Agcom conducted inspection activities at TIM's offices. In an internal document analyzing the results of the inspection activity, TIM reported that [omissis]222.</w:t>
      </w:r>
    </w:p>
    <w:p>
      <w:r>
        <w:t>287. On October 20, 2016, TIM wrote to the European Commission, which at that time had been approached by Agcom with a request for an opinion regarding the draft resolution on the revision of the price test – a circumstance known to TIM – expressing a critical position towards the new methodology for verifying replicability: [omissis]223. In particular, TIM criticized the new monthly verification that [omissis]224.</w:t>
      </w:r>
    </w:p>
    <w:p>
      <w:r>
        <w:t>288. From analyses conducted by TIM's offices in April 2017, it seems to be noted that some promotional conditions provided in relation to the "Smart fiber" offers are not suitable to safeguard the replicability of the offer, given the new price test. For example, the internal checks carried out by TIM have highlighted that the welcome promotion that provides for the first two months of subscription to be free is [omissis]225, that is, the replicability of this promotion would be subject to the withdrawal of promotions already in place.</w:t>
      </w:r>
    </w:p>
    <w:p>
      <w:r>
        <w:t>Use of privileged information for commercial purposes</w:t>
      </w:r>
    </w:p>
    <w:p>
      <w:r>
        <w:t>289. From the evidence collected during the proceeding, a widespread phenomenon of the use of sensitive information concerning the management of network activities for commercial purposes has emerged. From the documentation on file, in particular, both the existence of the problem and TIM's awareness of it emerge. Reports concerning this phenomenon have come from parties involved in the proceeding VD, WT, FW, AIIP, Mnet as well as from other operators (Convergenze, Welcome Italia, ISI Line, Miatel) and from individual users. The unlawful use of information regarding network activities, held on a privileged basis by TIM as a dominant operator, has been detected both in the provision of line activation/deactivation activities (so-called provisioning) and in line maintenance and repair activities (so-called assurance).</w:t>
      </w:r>
    </w:p>
    <w:p>
      <w:r>
        <w:t>290. TIM is aware of the phenomenon, having represented the issue even before the initiation of the present proceeding. On March 23, 2017, prior to the start of the investigation, during a hearing held at the Authority at TIM's request, TIM representatives discussed the initiatives that the company intended to undertake to combat the phenomenon of fraudulent use of the information held on a privileged basis. On that occasion, the company's representatives reported that they had become aware of the phenomenon and that some customers had complained about [omissis]221.</w:t>
      </w:r>
    </w:p>
    <w:p>
      <w:r>
        <w:rPr>
          <w:b/>
        </w:rPr>
        <w:t>[Pages 103–105]</w:t>
      </w:r>
    </w:p>
    <w:p>
      <w:r>
        <w:t>BULLETIN NO. 10 OF MARCH 9, 2020 105</w:t>
      </w:r>
    </w:p>
    <w:p>
      <w:r>
        <w:t>essere stati contattati “by individuals identifying themselves as commercial operators of TI, following the report to their telephone operator of service disruptions or problems on the line […] these individuals […] would have proposed offers for the customer's switch to TI”226.</w:t>
      </w:r>
    </w:p>
    <w:p>
      <w:r>
        <w:t>291. In response to such reports, TI would have taken action to gather evidence regarding the phenomenon and “to undertake countermeasures”227. In particular, on August 4, 2016, TI published on its wholesale portal an email address to direct reports of malpractice. During the period from October to December 2016, TI would have conducted an internal review aimed at verifying the activities of potentially involved commercial partners. In December 2016, a complaint would also have been filed with the Public Prosecutor's Office of Milan against the individuals responsible for the reported conduct.</w:t>
      </w:r>
    </w:p>
    <w:p>
      <w:r>
        <w:t>292. The initiation of such initiatives by TIM is also confirmed by an exchange of emails dating back to March 2017, from which it can be inferred that TI has initiated a series of actions aimed at avoiding malpractice issues. In particular, the Open Access division, which manages the network, reports that “Vodafone is reporting (probably preparing an appeal) a very high rate of missed appointments in Central and Southern Italy (in the case of the South, Sicily has been indicated as very critical)”228.</w:t>
      </w:r>
    </w:p>
    <w:p>
      <w:r>
        <w:t>293. The TI unit tasked with addressing the issue, after conducting checks, recalls that “for Vodafone (as for WIND) a dedicated channel for reporting malpractice on appointments has been established for at least a year. The statistics per month and per AOL show an increase in reports in January and February (166 in two months) and some “areas” highlighted by OLO are also noted (e.g., Sar NU/SS, due to the crisis situation of businesses due to peaks in assurance caused by the bad weather emergency). Specifically, we are talking about 166 cases of alleged malpractice out of approximately 20,000 LNA processed in two months, which corresponds to a percentage of 1%”229. Thus, we are discussing a specific case, consisting of service disruptions experienced by VD in managing appointments for the activation of requested lines. In any case, TIM appears fully aware of the existence of the phenomenon.</w:t>
      </w:r>
    </w:p>
    <w:p>
      <w:r>
        <w:t>294. This commitment by TIM also seems to be confirmed by an exchange of emails dating back to December 2017. In this case, in response to a communication received from Agcom informing TIM of reports concerning the improper use of information on faults and service disruptions by commercial functions, the Regulatory Affairs Directorate requests that the necessary checks be carried out and that “Obviously, if, as a result of the aforementioned checks, behaviors in violation of current regulations are found, it will be necessary to take appropriate measures against their authors”230.</w:t>
      </w:r>
    </w:p>
    <w:p>
      <w:r>
        <w:t>295. Similarly, in a document from February 2018, following a report submitted by a user, reference is made to the [omissis]231. In practice, this would be precisely the phenomenon reported to the Authority, and TIM would also be fully aware of it. In fact, the above-mentioned phrase describes exactly the practice of proposing offers to customers who have decided to switch to alternative operators. In this specific case, [omissis]232.</w:t>
      </w:r>
    </w:p>
    <w:p>
      <w:r>
        <w:t>296. Moreover, within the aforementioned document from February 2018, TIM's awareness of the phenomenon also seems to relate to its magnitude: [omissis]233. It would therefore appear that not only is TIM aware of the issue, but it also deems it necessary to intervene adequately to curb the phenomenon, also out of concern for incurring sanctioning measures.</w:t>
      </w:r>
    </w:p>
    <w:p>
      <w:r>
        <w:t>297. The existence of the phenomenon of fraudulent use of information on network activities by TIM is therefore not in question. Among the parties that have reported such behavior, WT stated that, from January 2016 to May 2017, several thousand reports of malpractice would have been received; of these, over 64% of customers would have, albeit belatedly, ultimately obtained the activation of the line234. The reported numbers appear to have a non-determinative numerical impact relative to the total new activations of WT. From the annual balance sheet as of September 30, 2017, it appears that the net acquisitions of new broadband and ultra-broadband customers of WT were in the order of tens of thousands; naturally, the new acquisitions gross of lost customers are in greater number, not to mention that WT had 2.4 million internet customers as of September 2017.</w:t>
      </w:r>
    </w:p>
    <w:p>
      <w:r>
        <w:t>298. Similar considerations apply to what VD reported on the matter. In this case, the reported malpractices are even fewer in number: from the memoranda of June 5, 2017, and November 13, 2017, only a few hundred cases are reported. According to what was communicated to the market by VD itself, the fiscal year ending March 31, 2017, closed with revenues, margins, and customers in broadband, mobile, and fixed, all increasing. In particular, the results would have been positive especially in the fixed network services market, where “the growth of fixed broadband customers continues (+11.4%), reaching 2.2 million. Fiber customers reached 0.7 million, with an increase of 0.4 million customers in the fiscal year”235. In this case, therefore, even if we only consider the context of ultra-broadband services, the net activations gained by VD in the period from March 2016 to March 2017 would amount to approximately 300 thousand customers.</w:t>
      </w:r>
    </w:p>
    <w:p>
      <w:r>
        <w:t>299. On July 17, 2018, a report was also received from FW236. In this case as well, complaints were brought to the Authority's attention from FW customers who complained of being contacted on behalf of TIM by personnel claiming to be aware of requests for intervention for service disruptions and faults in the network. The commercial proposal submitted on this occasion aimed precisely to covertly induce the customer to change operators. The reports received from FW were in the order of thousands.</w:t>
      </w:r>
    </w:p>
    <w:p>
      <w:r>
        <w:t>300. In particular, FW conducted a survey on customers who reported a fault to FW's customer service on September 4, 11, and 18, 2017. The results showed that approximately 59% of customers received a call from personnel identifying themselves as TIM in the days following the report of the service disruption. Of these, about 62% of customers stated that during the aforementioned call, the TIM personnel claimed to be aware of the service disruption experienced or made derogatory remarks regarding the Fastweb network.</w:t>
      </w:r>
    </w:p>
    <w:p>
      <w:r>
        <w:t>301. In addition to the reports received from telephone operators, numerous reports from private individuals have also been added during the proceedings, who have complained of similar behaviors by TIM consisting of the commercial exploitation of information held in a privileged manner. As of May 31, 2019, 30 reports from consumers on this issue had been received during the proceedings.</w:t>
      </w:r>
    </w:p>
    <w:p>
      <w:r>
        <w:t>302. On December 5, 2018, a complaint was received from ISI Line S.r.l. regarding conduct concerning the improper use of information related to ISI Line's end customers drawn from TIM's wholesale systems. The subject of the report specifically concerns unsolicited commercial calls made to ISI Line's end customers, made in conjunction with and/or in relation to the submission by ISI Line of a request on TIM's wholesale services portal (e.g., request for activation of an access line for its end customer, or report of a fault on the line), in which the caller proposes to the ISI Line customer to switch to TIM, citing a series of alleged technical problems concerning ISI Line.</w:t>
      </w:r>
    </w:p>
    <w:p>
      <w:r>
        <w:t>303. Finally, on April 19, 2019, a new report from Fastweb was received regarding conduct exploiting privileged information about the network for commercial purposes.</w:t>
      </w:r>
    </w:p>
    <w:p>
      <w:r>
        <w:t>IV. THE ARGUMENTS OF THE PARTIES</w:t>
      </w:r>
    </w:p>
    <w:p>
      <w:r>
        <w:t>a) Enel</w:t>
      </w:r>
    </w:p>
    <w:p>
      <w:r>
        <w:t>304. On April 10, 2018, Enel submitted a memorandum in which it presented some considerations regarding the main aspects of the proceedings. In the introduction, the operator of the electricity market stated that the examination of the documentation acquired in the case file confirmed the investigative hypotheses formulated at the start of the proceedings. In particular, according to Enel, the change in TIM's strategy would be due precisely to “(i) the desire to preclude access to the market for a new competing operator and (ii) the intention to prejudice the economic and financial sustainability of the activities provided for in the concession of the tender”237.</w:t>
      </w:r>
    </w:p>
    <w:p>
      <w:r>
        <w:t>305. Regarding the issue of the ongoing modification of investment plans, Enel emphasized how TIM's responsibility is extremely significant, highlighting that TIM's contribution to the process of identifying white areas should be considered fundamental, as a dominant operator. During the public consultation, in fact, TIM had declared that it did not want to invest in white areas. Before proceeding with the publication of the tenders, moreover, Infratel conducted (May 2016) a supplementary public consultation, during which TIM confirmed its “intention not to invest in those areas that it had contributed to defining as market failures”238. Nevertheless, during the second Infratel tender, TIM “unexpectedly and in evident contrast to what was stated both in the context of the Investigation”237.</w:t>
      </w:r>
    </w:p>
    <w:p>
      <w:r>
        <w:rPr>
          <w:b/>
        </w:rPr>
        <w:t>[Pages 106–108]</w:t>
      </w:r>
    </w:p>
    <w:p>
      <w:r>
        <w:t>108 BULLETIN NO. 10 OF MARCH 9, 2020</w:t>
      </w:r>
    </w:p>
    <w:p>
      <w:r>
        <w:t>306. According to Enel's reconstruction, TIM would have acted simultaneously on two fronts. On one hand, it began to seriously evaluate the possibility of investing on its own in the areas subject to the tender, while on the other hand, it continued to participate in the tenders that it had contributed to making necessary with the information provided during the public consultation.</w:t>
      </w:r>
    </w:p>
    <w:p>
      <w:r>
        <w:t>307. The evidence collected during the inspection would also confirm the investigative hypotheses formulated at the outset, including with reference to customer lock-in behaviors through the promotional offers "TIM SMART FIBRA" and the exploitation for commercial purposes of confidential personal data.</w:t>
      </w:r>
    </w:p>
    <w:p>
      <w:r>
        <w:t>308. In its final memorandum of September 20, 2019, Enel expressed agreement with the conclusions of the CRI, both with respect to the factual findings and regarding the legal assessments. TIM's strategy is harmful to competition as it essentially aimed to preserve the value of its copper network and to hinder the market entry of an infrastructure competitor. Enel therefore requested that the Authority exercise its sanctioning power in order to ensure the pursuit of specific deterrence against TIM, taking into account the particular seriousness of the violation of the regulations.</w:t>
      </w:r>
    </w:p>
    <w:p>
      <w:r>
        <w:t>b) Open Fiber</w:t>
      </w:r>
    </w:p>
    <w:p>
      <w:r>
        <w:t>309. On June 22, 2018, OF submitted an interim memorandum. Regarding the conduct of so-called regulatory gaming carried out by TIM in the context of the Infratel tenders, OF argued that "far from having put an end to its abusive conduct - as the freezing of the 'Cassiopea' project close to the start of the Procedure might have (and still could) lead one to believe - TI continues with its disruptive actions in the 'white' areas awarded to OF."</w:t>
      </w:r>
    </w:p>
    <w:p>
      <w:r>
        <w:t>310. In particular, it would appear, from an access to the database "Planned Coverage FTTCab" carried out by OF in March 2018, that TI, even following the initiation of the Procedure, continued "not only to invest in these areas, but is even expanding its territorial scope."</w:t>
      </w:r>
    </w:p>
    <w:p>
      <w:r>
        <w:t>311. The conduct of instrumental modification of investment plans for the white areas would also be widely supported by the documentation acquired in the case file from the inspection activities. In this sense, in OF's opinion, the evidence collected by the Authority "unequivocally demonstrates that TI had already decided to request Infratel (to immediately announce to the market) the modification of the scope and location of its investments in the market failure areas subject to the first two tenders solely for the purpose of preventing, or in any case, hindering the conduct of the two public evidence procedures and thus preventing (or in any case hindering) the entry of OF."</w:t>
      </w:r>
    </w:p>
    <w:p>
      <w:r>
        <w:t>312. Also, the conduct of compressing wholesale margins, according to OF, would be fully substantiated by the available evidence. On March 13, 2017, shortly after the launch, in February 2017, of the VULA FTTH 1000/300 Mbits access service by OF, TI began the commercialization of the VULA FTTH 1000/100 Mbits profile "at €15.04/month, clearly below the CIMLP." On April 28, 2017, TI launched the new wholesale offer called "Easy Fiber" "which, in addition to providing prices for access services significantly below the CIMLP, is also characterized by a highly loyalty-inducing discount mechanism suitable for creating strong customer lock-in effects."</w:t>
      </w:r>
    </w:p>
    <w:p>
      <w:r>
        <w:t>313. As a result of the introduction of the new wholesale service profiles, OF reported that it was forced to lower the price of the VULA FTTH 1000/300 service, although it had only been introduced a few months earlier (February 2017) at higher values.</w:t>
      </w:r>
    </w:p>
    <w:p>
      <w:r>
        <w:t>314. Furthermore, OF would then have been forced again to lower the fee of its commercial profile 1000/300 to meet requests for further fee reductions received from alternative operators. This decrease would have been necessary so that alternative operators to TIM downstream could offer services on competitive terms compared to TIM's promotional offers, which were deemed non-replicable, further compromising the profitability of the current and prospective investment in the new fiber optic networks.</w:t>
      </w:r>
    </w:p>
    <w:p>
      <w:r>
        <w:t>315. On April 15, 2019, OF presented an analysis of the anti-competitive effects arising from the commercialization of TI's new wholesale offer called Easy Fiber. In particular, there seems to have been a strong increase in FTTC lines sold at the wholesale level, and thus the volumes achieved by TI, starting from 2017, precisely coinciding with a clear slowdown in the sales of OF's FTTH network services. This reversal in the trend of wholesale sales of TIM and OF would have been recorded following the introduction of TIM's new wholesale offers and, in particular, the new Easy Fiber launched by TIM in 2017.</w:t>
      </w:r>
    </w:p>
    <w:p>
      <w:r>
        <w:t>316. In its final memorandum of September 20, 2019, OF expressed agreement with the analysis carried out in the CRI by the Offices, requesting the ascertainment of an anti-competitive strategy implemented by TIM in order to unduly preserve the market structure prior to OF's entry.</w:t>
      </w:r>
    </w:p>
    <w:p>
      <w:r>
        <w:t>317. OF also reiterated that TIM would not have adopted a halt to the coverage projects of the white areas after the initiation of the present procedure. In this sense, the seriousness of TIM's behavior should be considered even more relevant, given that OF is required to complete the infrastructures provided for in the agreements signed with Infratel, even if in the meantime "the (abusive) behavior of a competitor leads to the coverage of a significant number of such 'white' addresses, thereby increasing the risk of such investments compared to the pre-tender situation when the profitability of the investment in such areas was already excluded."</w:t>
      </w:r>
    </w:p>
    <w:p>
      <w:r>
        <w:t>c) Infratel</w:t>
      </w:r>
    </w:p>
    <w:p>
      <w:r>
        <w:t>318. On July 5, 2018, Infratel submitted a brief note providing an update on the progress of the coverage projects for the white areas of the territory, also focusing on an apparent change in approach that TIM would have adopted following the opening of the procedure under examination by the Authority.</w:t>
      </w:r>
    </w:p>
    <w:p>
      <w:r>
        <w:t>319. According to the in-house company of the MISE, in fact, in July 2017, just after the initiation of the procedure by the Authority, "TIM suspended all activities for the realization of its network in the white areas subject to the first two Infratel tenders." The interruption of investments in the white areas of the first two tenders would also have had the effect of preventing "the new realizations from overlapping with those that the Concessionaire Open Fiber is currently carrying out."</w:t>
      </w:r>
    </w:p>
    <w:p>
      <w:r>
        <w:t>320. Furthermore, Infratel emphasized that TIM would have expressed its willingness to purchase part of the passive fiber optic infrastructures that Infratel has realized in 600 municipalities through direct intervention, outside the tenders. According to Infratel, there would have been a detectable "change in attitude compared to that initially adopted by TIM."</w:t>
      </w:r>
    </w:p>
    <w:p>
      <w:r>
        <w:t>321. Subsequently, on October 1, 2018, within the memorandum of observations formulated in the context of the market test on the commitments presented by TIM, Infratel reported that on March 3, 2018, in a note sent to the general management of Infratel, TIM had expressed interest in acquiring optical infrastructures and ancillary services in the municipalities subject to Infratel's direct intervention.</w:t>
      </w:r>
    </w:p>
    <w:p>
      <w:r>
        <w:t>322. In order to gauge the interest of operators in activating the network infrastructures built through direct intervention in the white areas, on February 28, 2018, Infratel published a notice of interest for optical infrastructures and ancillary services. TIM, in a note dated April 3, 2018, expressed interest in acquiring the optical infrastructures and ancillary services listed in the following table.</w:t>
      </w:r>
    </w:p>
    <w:p>
      <w:r>
        <w:t xml:space="preserve">Table 13. </w:t>
        <w:br/>
        <w:t>Source: doc. IMP41, observations of Infratel in the market test.</w:t>
      </w:r>
    </w:p>
    <w:p>
      <w:r>
        <w:t>323. The 668 municipalities indicated do not fall within the scope of tenders 1 and 2 issued by Infratel. In Infratel's opinion, the management of the related infrastructures would have allowed TIM to extend its ultra-broadband coverage without interfering with the outcomes and determinations resulting from the</w:t>
      </w:r>
    </w:p>
    <w:p>
      <w:r>
        <w:rPr>
          <w:b/>
        </w:rPr>
        <w:t>[Pages 109–111]</w:t>
      </w:r>
    </w:p>
    <w:p>
      <w:r>
        <w:t>BULLETIN NO. 10 OF MARCH 9, 2020 111</w:t>
      </w:r>
    </w:p>
    <w:p>
      <w:r>
        <w:t>public consultations. Therefore, Infratel observed that "it is singular that even today Telecom insists on continuing to invest in the white areas, albeit with the commitment to comply with deadlines starting from the approval of its proposal, rather than continuing negotiations for the finalization of the framework contract"249.</w:t>
      </w:r>
    </w:p>
    <w:p>
      <w:r>
        <w:t>d) Wind Tre</w:t>
      </w:r>
    </w:p>
    <w:p>
      <w:r>
        <w:t>323. The company Wind Tre produced, during the proceedings, a significant amount of documentation, mainly containing elements concerning the conduct carried out by TIM in the retail telecommunications services market.</w:t>
      </w:r>
    </w:p>
    <w:p>
      <w:r>
        <w:t>324. In its final memorandum of September 19, 2019, WT noted that TIM's anti-competitive strategy would have generated effects on the market and on consumers. WT would have suffered competitive damages due to the retail prices adopted by TIM, with a reduction in its market share and the obstacles posed to the establishment of alternative wholesale offers from OF.</w:t>
      </w:r>
    </w:p>
    <w:p>
      <w:r>
        <w:t>325. From a wholesale perspective, WT observed that delays in OF's network development plans forced the company to largely rely on TIM's VULA FTTC offer, at a higher cost and with a lower quality of service than OF's VULA FTTH.</w:t>
      </w:r>
    </w:p>
    <w:p>
      <w:r>
        <w:t>326. The strategy of pre-empting the final clientele allowed TIM to become the leading operator even in the ultra-broadband connections segment, starting from 2016, despite a significant delay accumulated in previous years compared to other operators. Due to the obstacles to OF's competing wholesale offers, WT could not benefit from a significant increase in FTTH line activations, as it was necessary to use TIM's FTTC network. Furthermore, WT had to procure VULA FTTC access services at a high price, having been unable to join the Easy Fiber volume discount offer, rejected by Agcom with resolution no. 87/18/CIR. On this last point, WT expressed the hope that volume discount offers would not be entirely subject to "demonization," as they should be considered important for the development of NGA networks.</w:t>
      </w:r>
    </w:p>
    <w:p>
      <w:r>
        <w:t>327. For the offers in the retail market, therefore, WT could not efficiently use TIM's wholesale FTTH service offer. In fact, due to TIM's retail conduct, WT also had to reduce prices in order to at least preserve its customer base.</w:t>
      </w:r>
    </w:p>
    <w:p>
      <w:r>
        <w:t>328. WT therefore requested that the Authority ascertain the violation of competition protection regulations arising from the strategy implemented by TIM, with the imposition of a sanction and a warning against engaging in similar behaviors in the future.</w:t>
      </w:r>
    </w:p>
    <w:p>
      <w:r>
        <w:t>e) Fastweb</w:t>
      </w:r>
    </w:p>
    <w:p>
      <w:r>
        <w:t>329. FW presented numerous contributions during the proceedings, regarding the conduct adopted by TIM in the retail telecommunications services market and, in particular, concerning the issue of so-called malpractice.</w:t>
      </w:r>
    </w:p>
    <w:p>
      <w:r>
        <w:t>330. In its final memorandum of September 20, 2019, FW expressed agreement with the conclusions reached by the CRI. FW emphasized how TIM's anti-competitive conduct had caused direct harmful effects also as an infrastructure operator, not only in the retail market. TIM's tariff restructuring maneuver (new VULA FTTH service profiles and new version of the Easy Fiber discount offer) was aimed, according to FW, at taking wholesale customers not only from OF but also from the remaining pool of infrastructure operators, including FW.</w:t>
      </w:r>
    </w:p>
    <w:p>
      <w:r>
        <w:t>331. FW noted that TIM's conduct regarding wholesale service prices is particularly serious also considering the circumstance that while the price of the VULA FTTH service had been lowered for pre-emption purposes below the average cost level, the price of VULA FTTC had remained practically constant. In this sense, it should be noted that not only was the price of VULA FTTH below costs, but it was also subsidized by the excess profits made from the sale of VULA FTTC accesses at a value higher than their actual cost.</w:t>
      </w:r>
    </w:p>
    <w:p>
      <w:r>
        <w:t>332. Regarding the complaints related to the retail market, FW specified that TIM would still be promoting commercial offers including significant lock-in mechanisms. Similarly, there would still be numerous reports of events of unlawful exploitation of privileged information about the network.</w:t>
      </w:r>
    </w:p>
    <w:p>
      <w:r>
        <w:t>333. TIM's conduct in the retail market, according to FW, has produced restrictive effects on competition. The malpractice has caused the failure to activate a significant number of customers who had already signed a contract with FW and the loss of customers induced to change operators or otherwise withdraw from the contract signed with FW due to TIM's commercial policy based on misleading, aggressive, and unlawful information. Furthermore, TIM's promotional offers with binding clauses have unduly restricted the share of contestable customers from FW in the retail market. According to FW, therefore, the Authority should fully confirm the conclusions of the CRI and ascertain the unique and complex strategy implemented by TIM, affirming the seriousness of the violation of the regulations.</w:t>
      </w:r>
    </w:p>
    <w:p>
      <w:r>
        <w:t>f) Vodafone</w:t>
      </w:r>
    </w:p>
    <w:p>
      <w:r>
        <w:t>334. VD provided a significant contribution of important informational elements during the proceedings, submitting numerous memoranda and reports, especially regarding the conduct carried out by TIM in the retail telecommunications services market.</w:t>
      </w:r>
    </w:p>
    <w:p>
      <w:r>
        <w:t>335. In its final memorandum of September 20, 2019, VD expressed its agreement with the results of the CRI, focusing on the consistency of the elements supporting the ascertainment of the infringement of Article 102 TFEU. According to the company, the seriousness and duration of the abusive conduct would require an adequate sanction, also suitable, with specific prescriptive contents, to cease and inhibit, with immediate effects, the further implementation of the same.</w:t>
      </w:r>
    </w:p>
    <w:p>
      <w:r>
        <w:t>336. VD requested that TIM be warned against engaging in future conduct likely to provoke lock-in phenomena of the final clientele, compressing the margins of equally efficient competitors and abusing the exploitation of network information.</w:t>
      </w:r>
    </w:p>
    <w:p>
      <w:r>
        <w:t>g) Irideos, Mnet, AIIP</w:t>
      </w:r>
    </w:p>
    <w:p>
      <w:r>
        <w:t>337. AIIP, Irideos, and Mnet submitted significant elements during the proceedings and, lastly, in their memoranda of September 20, 2019. On this occasion, the operators in question highlighted the seriousness of the retail conduct carried out by TIM and its strong impact on the market. Regarding wholesale conduct, Irideos, Mnet, and AIIP noted that it did not produce restrictive effects only against OF but also against other operators, including those associated with AIIP, who invested in alternative fiber optic networks to those of TIM.</w:t>
      </w:r>
    </w:p>
    <w:p>
      <w:r>
        <w:t>h) Sky</w:t>
      </w:r>
    </w:p>
    <w:p>
      <w:r>
        <w:t>338. On September 23, 2019, Sky submitted a memorandum. On this occasion, the audiovisual operator expressed its concern regarding the impact of TIM's conduct, as it was about to launch its own service offer also in the relevant fixed telecommunications market.</w:t>
      </w:r>
    </w:p>
    <w:p>
      <w:r>
        <w:t>339. With reference to the conduct carried out in the retail telecommunications services market, Sky highlighted that the use of lock-in practices by TIM has reduced and continues to reduce consumer welfare, as in exchange for an immediate benefit (payment of a reduced price in the first period of contractual permanence), it binds the user for long periods under the threat of significant exit costs. Therefore, Sky requested that TIM be obliged to eliminate anti-competitive lock-in clauses in contracts with the final clientele, applying an installment period for bundled products not exceeding 24 months.</w:t>
      </w:r>
    </w:p>
    <w:p>
      <w:r>
        <w:t>i) Telecom Italia</w:t>
      </w:r>
    </w:p>
    <w:p>
      <w:r>
        <w:t>340. On November 3, 2017, TI submitted its first defense memorandum. The Party noted that the complaints made by the Authority in the initiation order and the elements reported by Infratel, VD, Enel, OF, and WT would be unfounded.</w:t>
      </w:r>
    </w:p>
    <w:p>
      <w:r>
        <w:t>341. According to TI, the case in question would differ from other precedents of the Authority in which the abuse of rights was applied, as the initiatives undertaken by TI in the white areas, while the tender procedures called by Infratel were ongoing, would have been commercially rational. In fact, TI would have exercised a right recognized also by antitrust law, consisting of making a profitable investment, also benefiting users. According to TIM, therefore, the only counterfactual scenario consistent with the approach of the initiation order would have involved the indefinite renunciation of the valorization of its main asset (the copper network), allowing a monopoly to develop in favor of the new entrant concessionaire.</w:t>
      </w:r>
    </w:p>
    <w:p>
      <w:r>
        <w:t>342. In this case, having proven that the strategy pursued in the white areas was rational from a commercial point of view, basing the ascertainment of the illicit on intent would expose the Authority to the risk of sanctioning "false positives" and would be contrary to the jurisprudence that requires an economic approach and the evaluation of effects250. TI would have been genuinely convinced of being able to exercise the right to invest even in the areas subject to Infratel's intervention at the time of communicating to the contracting authority its intention to modify the investment plans (December 2016).</w:t>
      </w:r>
    </w:p>
    <w:p>
      <w:r>
        <w:t>343. TI also noted that it had never guaranteed to Infratel the immutability of the investment plans communicated at the beginning of the procedure that led to the identification of the white areas and the calling of the related tenders, that is, the coverage plans indicated during Infratel's public consultation in 2015. In all communications sent to Infratel during the 2015/16 period, TI would have always highlighted that it periodically updates the plans.</w:t>
      </w:r>
    </w:p>
    <w:p>
      <w:r>
        <w:t>250 TIM cited the jurisprudence of the Court of Justice, cases Intel, Post Denmark, and Cartes Bancaires.</w:t>
      </w:r>
    </w:p>
    <w:p>
      <w:r>
        <w:rPr>
          <w:b/>
        </w:rPr>
        <w:t>[Pages 112–114]</w:t>
      </w:r>
    </w:p>
    <w:p>
      <w:r>
        <w:t>114 BULLETIN NO. 10 OF MARCH 9, 2020</w:t>
      </w:r>
    </w:p>
    <w:p>
      <w:r>
        <w:t>of investment. In fact, it would have been Infratel that "remained inactive, merely acknowledging Telecom's communications and generating the legitimate reliance of the latter on the possibility of investing"251.</w:t>
      </w:r>
    </w:p>
    <w:p>
      <w:r>
        <w:t>344. In claiming the legality of the Cassiopea project (an autonomous coverage plan launched by TI in March 2017 to build a proprietary network in areas subject to public intervention with the first two tenders from Infratel), TI noted that the special responsibility of the dominant company would not preclude the possibility of capturing the market through merit-based competition. In the face of a competitor entering the market (OF), "the dominant company is not obliged to passively accept the loss of its retail and wholesale clientele"252. From this perspective, otherwise, according to TIM, the dominant operator would be entirely prevented from competing.</w:t>
      </w:r>
    </w:p>
    <w:p>
      <w:r>
        <w:t>345. The legality of the Cassiopea project, from a subjective standpoint, would derive from the circumstance that TI considered it a complementary investment and not a substitute for the network built by the public concessionaire. According to TI, the intention to proceed with the realization of an FTTC coverage (where the concessionaire would have built an FTTB/H network) represented a more profitable solution compared to the scenario of purchasing network services from the competitor, an FTTC network [omitted].</w:t>
      </w:r>
    </w:p>
    <w:p>
      <w:r>
        <w:t>346. The Cassiopea project would have been approved only in light of the results of a make or buy analysis. This analysis would have highlighted that the costs to be incurred by TI in the wholesale market to procure network resources would be lower if it had realized an autonomous FTTC coverage instead of buying access from the concessionaire. These results would have been favored by the evolution of cabinet costs, which, according to TI, would have decreased by 26% between 2014 and 2017.</w:t>
      </w:r>
    </w:p>
    <w:p>
      <w:r>
        <w:t>347. The exclusionary intent towards OF would be non-existent as the new entrant: "(i) will build the network with public subsidy; (ii) will offer OAO a service with different characteristics; (iii) enjoys significant informational and operational efficiencies as it is vertically integrated with the incumbent electric company from which it can reuse equipment, personnel, and physical network resources; (iv) and, in any case, the overlap between the areas subject to the Infratel tenders, assigned to OF, and those affected by the Cassiopea Project is only partial"253.</w:t>
      </w:r>
    </w:p>
    <w:p>
      <w:r>
        <w:t>348. TI would have communicated on several occasions to Infratel the opportunity to proceed with updates to the investment plans and, therefore, to the potential white areas. Still in response to the consultation addendum launched by Infratel in May 2016, TI would have requested the initiation of a new consultation "in order to update the map of white areas"254. On that occasion, TI would have noted, in particular, that the data acquired in the 2015 consultation, used by Infratel to identify the white areas, did not integrate the investment plans announced in the meantime by OF, which were then announced at the end of 2015. In December 2016, therefore, while the first two tender procedures were underway, TI communicated to Infratel the additional white areas whose coverage had been planned "in line with the technical-economic analyses, which had demonstrated the preference for the make option"255.</w:t>
      </w:r>
    </w:p>
    <w:p>
      <w:r>
        <w:t>349. Despite such requests from TI, Infratel would have proceeded with the tender procedures without first conducting a new consultation during 2016, in order to update the map of white areas taking into account what had been communicated by TI in the meantime.</w:t>
      </w:r>
    </w:p>
    <w:p>
      <w:r>
        <w:t>350. TI also stated that it participated in the implementation phases of the ultra-broadband Strategy (public consultation for identifying white areas; participation in tenders) without adopting delaying attitudes but solely for the purpose of participating in the tenders and winning them. Regarding the decision to refrain from submitting a bid for the second tender procedure, after requesting and obtaining qualification from the contracting authority, TI noted that it decided in this way "after carefully evaluating the convenience of the make option of the Cassiopea Project and the impossibility of competing with OF's offer in the first tender"256.</w:t>
      </w:r>
    </w:p>
    <w:p>
      <w:r>
        <w:t>351. In reference to the hypothesis of having initiated instrumental legal actions against the tender procedures, TI deemed it necessary to emphasize that only "reasonable legal initiatives to protect its interests"257 were undertaken. In fact, the decision-making bodies consulted never ascertained the recklessness and pretextuality of such actions.</w:t>
      </w:r>
    </w:p>
    <w:p>
      <w:r>
        <w:t>352. Regarding the contested promotional retail offers, which according to the complainants would not meet the replicability requirements from an equally efficient operator, TI stated that they were all examined by Agcom, which rejected the same arguments put forward by the complainants in this context. The regulator verified the passing of the price test prepared for the purpose of the replicability analysis258. Neither would the lock-in exist, as the exit costs charged by Telecom are transparent and in line with the market conditions offered by the main competitors.</w:t>
      </w:r>
    </w:p>
    <w:p>
      <w:r>
        <w:t>353. VD appealed to the Lazio TAR against the decisions with which Agcom ascertained the replicability of the limited edition promotions, claiming that the promotions in question, having been renewed, with modifications, over a long period, would constitute non-temporary offers and, therefore, should have been subjected to the ordinary price test:</w:t>
        <w:br/>
        <w:t>- multi-period analysis (Discounted Cash Flow Methodology) applied over a period of 24 months for copper offers and 36 months for fiber offers, aimed at verifying the coverage of all costs – fixed and variable – of the offer at the end of the period</w:t>
        <w:br/>
        <w:t>- single-period analysis (Period by period Methodology) on an annual basis or based on the minimum contractual duration provided for by the offer, aimed at verifying that in each single period all variable costs related to the offer were covered</w:t>
      </w:r>
    </w:p>
    <w:p>
      <w:r>
        <w:t>354. The regulatory framework in force until March 2017, on the other hand, provided that entry-level offers, i.e., offers aimed at market development and which, therefore, have a limited impact on the competitive dynamics of retail markets259, were subject to the application of only the test with the Discounted Cash Flow (DCF) methodology260.</w:t>
      </w:r>
    </w:p>
    <w:p>
      <w:r>
        <w:t>355. With judgment no. 10920 of October 31, 2017, the Lazio TAR confirmed the decisions and evaluations made by Agcom regarding the replicability of the offers subject to reporting also to the Authority, establishing that the so-called limited edition promotions, even within the framework of the old regulatory regime regarding the replicability test, must be subjected to the only DCF test if they have a limited impact on the market, which was ascertained, in this case, by Agcom.</w:t>
      </w:r>
    </w:p>
    <w:p>
      <w:r>
        <w:t>356. However, the Lazio TAR accepted VD's appeal on a single aspect. Considering that similar promotions have followed one another over time, although, as highlighted by the TAR itself, "there are neither regulatory provisions nor rules dictated [by Agcom] that impose more extensive verifications than those concerning the individual 'limited edition' offer presented from time to time," the TAR ordered that such promotions be re-evaluated by Agcom "in an aggregated and comprehensive manner, with regard to the entire reference period starting, at least, from the promotions marketed from July 2016 until March 2017, in order to verify... their overall impact on the market... and to subject them to the [Period by period] test, only in case of positive ascertainment of a significant or 'not limited' impact on the competitive dynamics in the retail markets"261.</w:t>
      </w:r>
    </w:p>
    <w:p>
      <w:r>
        <w:t>357. In any case, TI provided evidence of the replicability analyses carried out by its offices on the promotions reported by VD, concluding that such promotions are always replicable. In particular, for the limited edition promotion, which is also the subject of the appeal to the Lazio TAR, TI obtained the following feedback.</w:t>
        <w:br/>
        <w:t>[Omitted]</w:t>
      </w:r>
    </w:p>
    <w:p>
      <w:r>
        <w:t>358. Regarding the lock-in conduct, TI wanted to emphasize that "no attempt has been made to forcibly migrate its customer base from copper to fiber, [omitted]262. In any case, following a specific internal analysis, TI would have decided to favor the solution of voluntary migration.</w:t>
      </w:r>
    </w:p>
    <w:p>
      <w:r>
        <w:t>359. As for the contractual conditions that have been deemed by the complainants as generating lock-in, TI emphasized that these are commercial practices that have prevailed in the market for years, which all operators resort to (e.g., application of a promotional rate subject to the customer's permanence with TI for at least two years). Furthermore, such conditions are included in TI's retail contracts in a manner of full transparency towards the consumer.</w:t>
      </w:r>
    </w:p>
    <w:p>
      <w:r>
        <w:t>360. The inclusion of the modem in bundled sales with telecommunications services, in particular, would respond to "technical needs, related to the use of the VOIP service and the security of the network, 259 The price test applied until March 2017 by Agcom for the ex ante verification of retail commercial offers was designed by resolution 499/10/CONS, supplemented by resolution 604/13/CONS for fiber offers. Resolution 584/16/CONS, applicable from May 2017, revised the guidelines for the evaluation of replicability, overcoming the double test formula and applying only the DCF method for all types of offers. 260 Price test as defined by Agcom resolution no. 499/10/CONS of September 23, 2010, which, with subsequent modifications, was adopted until March 31, 2017. 261 See Judgment of the Lazio TAR no. 10920 of October 31, 2017. 262 See doc. 55, TIM's defense memorandum of November 3, 2017.</w:t>
      </w:r>
    </w:p>
    <w:p>
      <w:r>
        <w:rPr>
          <w:b/>
        </w:rPr>
        <w:t>[Pages 115–117]</w:t>
      </w:r>
    </w:p>
    <w:p>
      <w:r>
        <w:t>BULLETIN NO. 10 OF MARCH 9, 2020 117</w:t>
      </w:r>
    </w:p>
    <w:p>
      <w:r>
        <w:t>260. As well as the possibility of performing remote maintenance of the devices263. In this case, however, the costs of the device would be clearly indicated to the customer at the time of signing the offer, while "regarding non-interoperability, this is a market fact; moreover, AgCom itself has never deemed it necessary to impose an obligation of interoperability of internet access devices on operators"264.</w:t>
      </w:r>
    </w:p>
    <w:p>
      <w:r>
        <w:t>361. Finally, TI criticized the definition of the relevant markets made by the Authority in its initiation order. According to the Party, in fact, the wholesale market for the product should be limited to the wholesale ultra-broadband FTTx access services265, excluding the wholesale broadband (ADSL) access services. This criticism was made on the basis of the consideration that optical fiber, understood broadly by TI, would constitute an indispensable standard for providing the final customer with new services and applications, which cannot be delivered through broadband connections in ADSL. This low substitutability between the two types of access would determine the existence of separate markets.</w:t>
      </w:r>
    </w:p>
    <w:p>
      <w:r>
        <w:t>362. From a geographical point of view, however, the market should be limited to the areas subject to Infratel's intervention or, "in the alternative, to the geographical areas reached by fiber in its various configurations"266. In fact, the presence of a public concessionaire in the white areas would provide the opportunity to distinguish competitive conditions at the geographical level, focusing attention solely on the white areas. The diversity of existing competitive structures depending on whether one is inside or outside the white areas, "will also have an impact at the retail level"267, as operators will be pushed to develop offers on a local basis.</w:t>
      </w:r>
    </w:p>
    <w:p>
      <w:r>
        <w:t>363. After the notification of the objective extension order on July 6, 2018, TIM submitted a proposal for commitments pursuant to Article 14-bis, Law No. 287/90. TI's proposal consisted of behavioral and structural measures aimed at addressing the entirety of the conduct outlined in the initiation order and in the subsequent objective extension order.</w:t>
      </w:r>
    </w:p>
    <w:p>
      <w:r>
        <w:t>364. With respect to the additional harmful profiles of the competition protection regulations that were contested against TI in the objective extension order, TI did not submit a new and specific defense memorandum. The Party, as previously mentioned, chose to present a new proposal for commitments pursuant to Article 14-bis, Law No. 287/90, which aimed to remove the anti-competitive effects arising from such further conduct.</w:t>
      </w:r>
    </w:p>
    <w:p>
      <w:r>
        <w:t>365. However, in the reply memorandum to the observations received during the market test regarding the aforementioned proposal for commitments, submitted on October 31, 2018, TI also provided defensive elements regarding the two profiles contested in the objective extension order that had not been defended in the previous and aforementioned memorandum of November 3, 2017.</w:t>
      </w:r>
    </w:p>
    <w:p>
      <w:r>
        <w:t>366. With reference to the compression of margins in the wholesale access services market reported by Open Fiber, TI emphasized that the decision contained in Agcom Resolution 87/18/CIR should not be considered a finding of illegality in the preparation of the new wholesale service profiles268. According to TI, it would rather have been "a mere 'technical' referral due to the simultaneous pendency of a broader 'system' proceeding, such as the market analysis"269.</w:t>
      </w:r>
    </w:p>
    <w:p>
      <w:r>
        <w:t>367. TI stated that even the Easy Fiber offer, which mainly concerns wholesale access to the FTTC network, cannot be considered aimed at producing exclusionary effects. On this aspect, TI emphasized that "the long-term contracts signed by OAO with OF concretely prove that Easy Fiber would leave at least 60% of the potential demand (i.e., the national population residing in the areas of application of the partnership contracts between OF and the aforementioned OAO)"270.</w:t>
      </w:r>
    </w:p>
    <w:p>
      <w:r>
        <w:t>368. The provision for TI to receive a one-time payment as a contractual entry cost in Easy Fiber would not have a binding effect capable of generating wholesale customer lock-in mechanisms. According to TI, the payment of this contribution at the time of signing the offer guarantees the OAO's commitment to remunerate, at least in part, the investments made by TI for its benefit. Its non-reimbursement would therefore not constitute a penalty for early withdrawal, but "a partial remuneration of investments made on a presumption that did not occur (the purchase of a certain number of lines by the OAO)"271. However, TI also added that, contrary to what was requested by some participants in the market test, it would not be possible to further reduce the percentage incidence of the one-time payment. In fact, "if a long-term contract with volume discounts did not provide adequate mechanisms to guarantee (at least) in part the purchase and consequent remuneration of the investments made, it would in fact no longer be binding for the OAO"272.</w:t>
      </w:r>
    </w:p>
    <w:p>
      <w:r>
        <w:t>369. With reference to the conduct of abusive exploitation of privileged information held by TIM regarding network activities, in the memorandum of October 31, 2018, TI first emphasized that Agcom Resolution No. 396/18/CONS would have demonstrated the legitimacy of Telecom Italia's conduct regarding the use of privileged commercial data273. Furthermore, according to TI, Agcom also stated that the cases in which such malpractice occurred would be reduced in percentage terms, thus being "a marginal and irrelevant phenomenon from a competitive point of view, which cannot even potentially produce an exclusionary effect"274.</w:t>
      </w:r>
    </w:p>
    <w:p>
      <w:r>
        <w:t>370. TI also highlighted that the aforementioned Agcom resolution did not reveal elements concerning conduct directly attributable to TIM, as it was instead demonstrated that the numbers from which the commercial calls to OAO customers originated were assigned to private citizens or to subjects who "qualified themselves as TIM agencies," but who "market services not only for TIM but also for other operators"275.</w:t>
      </w:r>
    </w:p>
    <w:p>
      <w:r>
        <w:t>371. According to TI, in addition to internal personnel, both from TI and from OAO, the unauthorized leakage of privileged data can also be attributed to personnel from third-party companies (call centers and network companies) that work for both and can also harm TI itself, which has indeed filed criminal complaints for the malpractice.</w:t>
      </w:r>
    </w:p>
    <w:p>
      <w:r>
        <w:t>372. TIM also intended to provide a reply to the report sent by FW regarding cases of malpractice276. TIM criticized some aspects of the report prepared by the company Protoviti on behalf of FW, which would have contributed to highlighting an overestimated number of cases of illicit use of network information. In particular, it was highlighted that the first question posed in the survey conducted by Protoviti was the following: "Were there calls from TIM in the days following the report of the fault?" However, an affirmative answer to this question would not prove any illicit use of the data since TIM is required to call the Fastweb user either to schedule a technical intervention at home (if necessary to resolve the fault) or to ascertain the resolution of the fault remotely and the actual proper functioning of the user's line. In fact, the trouble ticket transmitted by the third operator to Telecom also includes the customer's phone number.</w:t>
      </w:r>
    </w:p>
    <w:p>
      <w:r>
        <w:t>373. On April 15, 2019, TIM submitted an additional defense memorandum, in which it essentially denied the continuation of the autonomous investment plan in the Infratel areas of tenders 1 and 2, provided elements regarding the conduct of strategic use of privileged information, and submitted an economic analysis document prepared by an external consultant containing assessments regarding the modification of investment plans in the context of Infratel tenders and the marketing of retail offers with non-replicable conditions.</w:t>
      </w:r>
    </w:p>
    <w:p>
      <w:r>
        <w:t>374. Regarding the retail conduct of illicit use of privileged information, TI argued that it is a phenomenon attributable not to an exclusionary intent but to the existence of an irregular "secondary" market for customer lists exchanged between external commercial partners of TI and other telephone operators. This illicit traffic of confidential information generates competitive harm to all operators. TI itself, in fact, would not only not benefit from it but would also be a victim.</w:t>
      </w:r>
    </w:p>
    <w:p>
      <w:r>
        <w:t>375. On October 3, 2018, TI informed Agcom, in a letter submitted as an attachment to the memorandum, that it had received hundreds of reports in 2017 and had noted an increase in reports in the first half of 2018, from its subscribers who complained of being contacted by alleged TIM representatives or other operators, receiving commercial proposals more.</w:t>
      </w:r>
    </w:p>
    <w:p>
      <w:r>
        <w:rPr>
          <w:b/>
        </w:rPr>
        <w:t>[Pages 118–120]</w:t>
      </w:r>
    </w:p>
    <w:p>
      <w:r>
        <w:t>120 BULLETIN NO. 10 OF MARCH 9, 2020</w:t>
      </w:r>
    </w:p>
    <w:p>
      <w:r>
        <w:t>advantageous in the face of non-existent price increases or technical problems of TI. Some of the numbers from which such calls originated would also coincide with the numbers of calls subject to similar reports from other operators.</w:t>
      </w:r>
    </w:p>
    <w:p>
      <w:r>
        <w:t>376. According to TI, it is not even plausible that the malpractice under examination has spread due to an omissive behavior by TI. In fact, there have been initiatives undertaken by TI on the matter since 2016, aimed at curbing the phenomenon, including criminal complaints filed with the Milan Prosecutor's Office. Lastly, following Agcom's intervention with resolution 396/18/CONS277, TI has taken further measures to prevent the improper use of wholesale data for commercial contact purposes. In particular, TI has reduced the number of internal users who have access to systems containing privileged data; has activated a system for tracking customer data viewing operations; has introduced measures for the protection of data related to customer contact necessary for verifying service disruptions; and has activated systems to monitor any anomalous access. Furthermore, TI has proposed to use a work order encryption system, within the framework of the technical table established by Agcom with the aforementioned resolution no. 396/18/CONS.</w:t>
      </w:r>
    </w:p>
    <w:p>
      <w:r>
        <w:t>377. Regarding the change in investment plans made by TI in the context of the Infratel tenders, TI has argued that the autonomous investment strategy decided at the end of 2016 for the white areas did not have an anti-competitive intent. It would rather be the legitimate attempt of a company to react to a significant change in the competitive prospects existing in the market, following the entry of the Enel Group and, above all, the news of the award of the first tender to the new infrastructure competitor Open Fiber in January 2017. The possibility of rationally reacting to changes in the competitive landscape is compatible with TIM's position of special responsibility.</w:t>
      </w:r>
    </w:p>
    <w:p>
      <w:r>
        <w:t>378. The investments planned by TI within the Cassiopea project, according to TIM, were the result of profitability analyses that confirmed their economic sustainability. At the same time, since this autonomous plan for covering the white areas involved the use of FTTC technologies and, in part, LTE, which would guarantee lower performance levels of services to the final customer compared to those of the Open Fiber network, according to TI, the profitability of both investments would not have diminished.</w:t>
      </w:r>
    </w:p>
    <w:p>
      <w:r>
        <w:t>379. Regarding the allegations concerning the lack of replicability requirements for some promotional offers of TIM during the period 2017-18, TI has provided analyses supporting the thesis of the replicability of such offers by alternative operators as well. Similarly, the conditions provided for in the event of early withdrawal would not be abusive and would not be suitable to generate undue customer lock-in mechanisms.</w:t>
      </w:r>
    </w:p>
    <w:p>
      <w:r>
        <w:t>380. TIM has, in particular, presented the results of a price analysis conducted in response to some of the requests received from the complainants regarding certain characteristics of the price test. This analysis was indeed carried out for each promotional offer rather than for the offer family, as instead provided by the price test model set out in Agcom resolution no. 584/16/CONS. The related results have been reported both for a contractual stay horizon of 36 months and 24 months. The checks carried out have returned a positive net present value for all the promotions examined and subject to the reports over a horizon of 36 months and 24 months, which would prove the existence of replicability requirements. The only exception applied to the so-called "Summer Promo," but only in cases where this promotion is combined with the other promotional offer "Limited Edition" and considering a relevant period of 24 months.</w:t>
      </w:r>
    </w:p>
    <w:p>
      <w:r>
        <w:t>381. Finally, on April 17, 2019, TIM submitted a second economic memorandum prepared by Prof. Michele Grillo. This document provides further defensive elements regarding the infrastructure investment decisions made by TIM between the end of 2016 and the beginning of 2017 in relation to the white areas of the first two Infratel tenders. According to the thesis presented in this memorandum, the change in strategy made by TIM with the forecast of an autonomous investment plan in the white areas would not constitute an abuse of dominant position. TIM's choices, in fact, would represent the natural way of reacting within a specific competitive context, characterized by the comparison between networks with different technological quality (TIM's FTTC network vs. Open Fiber's FTTH network).</w:t>
      </w:r>
    </w:p>
    <w:p>
      <w:r>
        <w:t>382. The white areas in question would constitute an "unsustainable natural monopoly," that is, a market for which economic doctrine prescribes the establishment of a legal reserve in favor of the monopolist, so that the economic sustainability of such an efficient arrangement is not structurally undermined by the opportunistic entry of other operators with cherry-picking strategies. Protection from competition, in this case, serves to prevent the residual demand relative to the cherry picker from being met by the monopolist at even higher costs and prices.</w:t>
      </w:r>
    </w:p>
    <w:p>
      <w:r>
        <w:t>383. In this case, according to the arguments made by Prof. Grillo, the absence of regulatory intervention, such as the establishment of a legal reserve for Open Fiber's investments, should not constitute the premise for imposing on TI a special antitrust responsibility in defining its investment choices. The fact that TI participated in the Infratel tenders did not preclude the possibility of evaluating an adjustment of infrastructure investment plans. Therefore, any exclusion of Open Fiber from the market attributable to TI's investment decisions should be interpreted as the result of ordinary competitive comparison as it can occur under the described market conditions.</w:t>
      </w:r>
    </w:p>
    <w:p>
      <w:r>
        <w:t>384. On July 17, 2019, following the sending of the Communication of Investigative Findings to the Parties, TIM submitted a study conducted by the external consultant Arthur D. Little, concerning the interruption of TIM's autonomous coverage plan in the white areas of the first two Infratel tenders following the initiation of the procedure by the Authority.</w:t>
      </w:r>
    </w:p>
    <w:p>
      <w:r>
        <w:t>385. In particular, Arthur D. Little extracted data related to the cabinets activated from August 1, 2017, to May 25, 2019, to which the corresponding covered addresses were then associated. These addresses were then cross-referenced with the addresses that from the Infratel dataset were classified as "black" (i.e., not included in "white areas" of tenders 1 and 2 of Infratel). The results of the analysis would confirm TIM's assumption of a precautionary standstill on the coverage plan for the white areas, as only a little over 4% of the cabinets activated during the considered period would be entirely in the white areas of tenders 1 and 2. However, of these, about 27% would consist of cabinets that, while located in white areas, would have been activated by TIM in the period following the initiation of the present procedure as they fall under the old tender calls "BL - broadband" and "BUL - ultra-broadband" or would be part of the "direct model" tenders of Infratel. The remaining part of the cabinets that are entirely white would be attributable to the physiological level of approximation with which estimates were made to assign the qualification "white" or "black" in TIM's database, based on central areas and not on cabinet areas.</w:t>
      </w:r>
    </w:p>
    <w:p>
      <w:r>
        <w:t>386. Arthur D. Little also conducted an analysis on the cabinets that TIM had already installed before the initiation of the procedure, in the white areas of tenders 1 and 2 of Infratel. Again, the results would confirm TIM's declared commitment to interrupt the Cassiopea plan. Of the cabinets installed, in practice, none would have ever been activated, in statistical terms.</w:t>
      </w:r>
    </w:p>
    <w:p>
      <w:r>
        <w:t>387. Finally, on September 20, 2019, TIM submitted a further detailed defensive memorandum. Firstly, it is noted that TIM contested the approach of the CRI as it would endorse a subjective notion of illegality, distancing itself from the jurisprudence on abuse of dominant position, which would instead require the demonstration of the existence of market behaviors with objective exclusionary suitability, without limiting itself to the observation of intent. Furthermore, having outlined a complex and unitary anti-competitive strategy, according to TIM, the unfoundedness or erroneous identification of even just one of the allegations would necessarily lead to considering the entire accusatory construction unfounded. Below, the most significant elements included in the memorandum under examination will be reported.</w:t>
      </w:r>
    </w:p>
    <w:p>
      <w:r>
        <w:t>i. The relevant market</w:t>
      </w:r>
    </w:p>
    <w:p>
      <w:r>
        <w:t>388. With reference to the relevant market for wholesale network access services, in its final memorandum, TIM reiterated the thesis that the services included in the relevant market would be exclusively those provided on ultra-broadband networks, while xDSL access services, that is, provided on copper networks (broadband), should be excluded.</w:t>
      </w:r>
    </w:p>
    <w:p>
      <w:r>
        <w:t>389. According to TIM, in fact, in recent years there would be a massive replacement of broadband access services. As stated on this point by the CRI, TIM has acknowledged that, from the perspective of the final customer, operators are unable to charge higher prices for ultra-broadband service offers. However, it has been highlighted that, nonetheless, operators prefer to purchase upstream more expensive ultra-broadband access services, "for fear that the latter understand the qualitative difference between xDSL and FTTx services and change provider to take advantage of the different, more performing service." Therefore, "all operators are willing to charge iso-price retail rates for new services (even though much more expensive for them) just to maintain the relationship with the customer."</w:t>
      </w:r>
    </w:p>
    <w:p>
      <w:r>
        <w:t>390. At a technical level, it would be relevant that fiber networks offer performance that is not comparable to other access technologies under at least four parameters capable of characterizing services under normal traffic conditions, such as: (i) downstream transmission speed and (ii) upstream, (iii) latency (i.e., the time taken to transmit a single unit of information), and (v) transmission efficiency. Such discontinuity would also exist between broadband ADSL services and connections based on the hybrid fiber-copper FTTC network, especially regarding the functionality of enjoying audiovisual content.</w:t>
      </w:r>
    </w:p>
    <w:p>
      <w:r>
        <w:rPr>
          <w:b/>
        </w:rPr>
        <w:t>[Pages 121–123]</w:t>
      </w:r>
    </w:p>
    <w:p>
      <w:r>
        <w:t>BULLETIN NO. 10 OF MARCH 9, 2020 123</w:t>
      </w:r>
    </w:p>
    <w:p>
      <w:r>
        <w:t>ii. The Cassiopea Project</w:t>
      </w:r>
    </w:p>
    <w:p>
      <w:r>
        <w:t>391. TIM argued that the Authority, also based on a recent ruling281, would have the burden of proving the exclusionary suitability of each individual contested conduct, even in the case where a complex strategy is contested in violation of Article 102 TFEU.</w:t>
      </w:r>
    </w:p>
    <w:p>
      <w:r>
        <w:t>392. Specifically regarding the autonomous coverage plan for white areas, the so-called Cassiopea project, TIM reiterated the rationality and profitability of the planned investments and contested the existence of an obligation to wait three years before being able to formulate a modification to its investment plans in the white areas. The economic rationality of Cassiopea would also be demonstrated by the investments made by other operators, even those smaller than TIM, in the white areas with their own networks.</w:t>
      </w:r>
    </w:p>
    <w:p>
      <w:r>
        <w:t>393. In particular, TIM highlighted the legitimacy of an adequate reaction to the competitive challenge posed by OF's market entry. The profitability and rationality of Cassiopea would be confirmed by the results of studies conducted by TIM between March and May 2017. In a process that TIM described as successive adjustments, once the more burdensome central areas were excluded, the Cassiopea project would have shown sustainable profitability.</w:t>
      </w:r>
    </w:p>
    <w:p>
      <w:r>
        <w:t>394. According to TIM, the CRI does not contain an analysis of the effects of the Cassiopea project on competition in the market, which, in this case, would instead be necessary to provide sufficient evidence of unlawful behavior. The autonomous coverage plan, in fact, would not constitute a violation per se of the competition protection regulations, as there would be no obligation for TIM to refrain from investments in the white areas for three years from the public consultation.</w:t>
      </w:r>
    </w:p>
    <w:p>
      <w:r>
        <w:t>395. Furthermore, TIM pointed out that, even before OF's market entry, it had consistently communicated to Infratel the progressive development of its industrial plans, putting it in a position to react promptly to the failure to comply with the three-year deadline for modifying the industrial plans. However, Infratel never contested either the violation of the three-year period or, more generally, TIM's ability to invest in the white areas, creating a legitimate reliance on the legality of the Cassiopea Project.</w:t>
      </w:r>
    </w:p>
    <w:p>
      <w:r>
        <w:t>396. The Infratel tenders were not delayed as a result of TIM's conduct. On the contrary, OF decided to submit a bid for the second tender, with economic values not dissimilar from the bid submitted for the first tender, even though it was aware of the fact that TIM intended to proceed with an autonomous coverage plan for those areas of the national territory.</w:t>
      </w:r>
    </w:p>
    <w:p>
      <w:r>
        <w:t>397. In any case, TIM noted that it intends to re-establish collaborative relations with OF, with a view to a faster development of ultra-broadband networks. Already in August 2018, TIM concluded an agreement with OF for the transfer of laying infrastructures; in June 2019, TIM then signed a contract with OF for the granting of exclusive usage rights (IRU) on dark fiber backhaul.</w:t>
      </w:r>
    </w:p>
    <w:p>
      <w:r>
        <w:t>iii. Sham litigation</w:t>
      </w:r>
    </w:p>
    <w:p>
      <w:r>
        <w:t>398. According to TIM, the legal initiatives, both judicial and extrajudicial, undertaken in the context of the Infratel tenders were not proposed with the intent to delay the tenders nor, therefore, to hinder OF's entry into the relevant market, as evidenced by the fact that these are not unreasonably numerous initiatives, nor pretextual, but rather based on serious legal grounds.</w:t>
      </w:r>
    </w:p>
    <w:p>
      <w:r>
        <w:t>399. The actions in question did not cause any delay in the conduct of the Infratel tenders nor, consequently, did they have any effect on the timing of the infrastructure plans of the awarded OF.</w:t>
      </w:r>
    </w:p>
    <w:p>
      <w:r>
        <w:t>iv. Wholesale pricing strategies</w:t>
      </w:r>
    </w:p>
    <w:p>
      <w:r>
        <w:t>400. According to TIM, the pricing initiatives concerning the VULA FTTH service and the new Easy Fiber offer cannot be considered predatory. On the contrary, they would allow for full remuneration of the underlying supply costs; moreover, these offers were not selective, but applicable to all operators throughout the national territory where UBB infrastructures were present. There would be, in any case, no effects arising from such pricing conduct since, as certified by the auditing firm Arthur D. Little for TIM, the Easy Fiber offer was not purchased by third operators, while, at the contested price of €15.04, only a few hundred VULA FTTH lines would have been sold.</w:t>
      </w:r>
    </w:p>
    <w:p>
      <w:r>
        <w:t>401. Regarding the repricing of VULA FTTH, in particular, TIM emphasized that no excessive estimates of the penetration rate of the high-priced service profile had ever been provided to Agcom. In fact, as shown in the presentation to Agcom on April 3, 2017, submitted as an attachment to the defense memorandum, TIM had hypothesized in its model for the higher profile a purchase rate of 3% and not 16% as per Agcom resolution no. 105/17/CIR, so that 97% of purchases would have related to the lower service profile, namely the 1000/100, the only one commercially appealing. In TIM's view, the price reduction was based solely on the reduction of the underlying supply costs. It would instead have been Agcom that hypothesized penetration estimates for the 1000/500 profile such that the prices proposed by TIM would have been compatible with the level of supply costs for the VULA FTTH service established by Agcom resolution no. 623/15/CONS and in force at the time of TIM's price reformulation.</w:t>
      </w:r>
    </w:p>
    <w:p>
      <w:r>
        <w:t>402. TIM clarified that subsequently Agcom revised the penetration estimates for the high-priced service, reducing them from 16% to 10%282. In any case, the tariff reconfiguration of VULA FTTH would not have had any effect on the growth of lines sold by OF, as TIM would have sold only a few hundred lines in VULA FTTH.</w:t>
      </w:r>
    </w:p>
    <w:p>
      <w:r>
        <w:t>403. Also regarding the new version of the Easy Fiber offer, TIM noted that it was simply reacting to competitive pressures with full industrial rationality, contesting OF for customers with an above-cost offer, aimed at remunerating investments.</w:t>
      </w:r>
    </w:p>
    <w:p>
      <w:r>
        <w:t>v. Absence of effects from wholesale conduct</w:t>
      </w:r>
    </w:p>
    <w:p>
      <w:r>
        <w:t>404. Regarding the evidence concerning the effects of wholesale pricing conduct reported in the CRI, and in particular with reference to the comparison of the rate of lines sold by TIM and OF in the period 2016-18, TIM observed that: a) no cabinet of the Cassiopea Project was activated in the white areas, consequently no FTTC line was sold there; b) only a few hundred VULA FTTC lines were activated with the contested new Easy Fiber offer; c) the price of VULA FTTC was not contested during this proceeding; d) only a few hundred VULA FTTH lines were sold at the price of €15.04.</w:t>
      </w:r>
    </w:p>
    <w:p>
      <w:r>
        <w:t>405. Therefore, the slowdown in the sales rate of lines by OF would not be attributable to TIM's anti-competitive strategy but rather to the progressive saturation of the potential demand reached by the new entrant's network, as it is limited in territorial extension and still expanding compared to TIM's FTTC network, which is now almost completely finished.</w:t>
      </w:r>
    </w:p>
    <w:p>
      <w:r>
        <w:t>vi. Conducts in the retail market</w:t>
      </w:r>
    </w:p>
    <w:p>
      <w:r>
        <w:t>406. According to TIM, the CRI's recognition of the replicability of the offers by competing operators should have led to the complete overcoming of the remaining allegations made by the Authority regarding the retail services market.</w:t>
      </w:r>
    </w:p>
    <w:p>
      <w:r>
        <w:t>407. Regarding the conduct of customer lock-in, TIM first highlighted that the internal documents collected during the inspection would not have probative value, as they were drafted by TIM personnel assigned to marketing, in which the term "lock-in" would have a much more generic meaning than the antitrust one, coinciding with the concept of customer loyalty gained through various means, including network reliability, service quality, and efficient customer care.</w:t>
      </w:r>
    </w:p>
    <w:p>
      <w:r>
        <w:t>408. In any case, TIM argued that: a) the total exit costs required by TIM were not such as to make migration to another operator unprofitable for its customers; b) the exit costs required would always have been subject to absolute informational transparency towards customers at the time of signing TIM's offers; c) the share of demand invested by offers including binding mechanisms would have been extremely low; d) the exit costs required by TIM would respond to an objective necessity, as they are connected to the costs of customer acquisition.</w:t>
      </w:r>
    </w:p>
    <w:p>
      <w:r>
        <w:t>409. According to TIM, moreover, the provision of immediate economic benefits (discounts for access to fiber in the first period of contractual permanence) in exchange for exit costs necessary to recoup the operator's expenses incurred to acquire the customer would be physiological. In fact, the possibility of spreading these costs would be beneficial for the consumer, as it would allow for optimizing the impact of initial costs for joining the service.</w:t>
      </w:r>
    </w:p>
    <w:p>
      <w:r>
        <w:t>410. TIM provided the results of economic analyses conducted by external consultants according to which the contested offers were abstractly unsuitable and concretely incapable of producing an unlawful lock-in effect on customers, as competing operators were able to market and have effectively marketed offers that more than compensated for switching costs. The exit rates of customers recorded by TIM would be high and incompatible at least with a successful pre-emption strategy based on binding offers.</w:t>
      </w:r>
    </w:p>
    <w:p>
      <w:r>
        <w:t>411. Regarding the instrumental repricing conduct of the wholesale offer to achieve undue competitive advantages in the retail market, TIM noted that retail offers passed the replicability tests and, therefore, such conduct did not produce harmful effects on competition.</w:t>
      </w:r>
    </w:p>
    <w:p>
      <w:r>
        <w:t>412. On the phenomenon of the instrumental use of privileged network information for commercial purposes, TIM reiterated that the first point of information leakage would be the technical structure of the alternative operator. Moreover, for reasons of cost savings, external call centers are often located abroad. Any disloyal employees of foreign call centers do not have to fear disciplinary and criminal consequences as the detection and repression of such offenses abroad is virtually impossible. Another possible point of information leakage is represented</w:t>
      </w:r>
    </w:p>
    <w:p>
      <w:r>
        <w:rPr>
          <w:b/>
        </w:rPr>
        <w:t>[Pages 124–126]</w:t>
      </w:r>
    </w:p>
    <w:p>
      <w:r>
        <w:t>126 BULLETIN NO. 10 OF MARCH 9, 2020</w:t>
      </w:r>
    </w:p>
    <w:p>
      <w:r>
        <w:t>from network companies used by operators for repair and activation interventions. To block such exit routes, TIM would have no other tool than to prevent operators and their partners from accessing the company databases concerning customers who have experienced service disruptions, but this would not be possible.</w:t>
      </w:r>
    </w:p>
    <w:p>
      <w:r>
        <w:t>413. However, TIM has provided evidence of initiatives taken to counter this phenomenon, including reports to the prosecutors of Rome and Milan regarding anomalous access to its network databases. For example, a strong polarization of traffic accessing the network database has been detected, coming from specific IP addresses and accounts. According to TIM, such anomalies would be proof that some employees of alternative operators are downloading and then unlawfully exploiting for profit the lists of customers reporting a line fault. Furthermore, TIM has noted that it is itself a victim of this phenomenon, having received in a few months several hundred reports from its customers who claimed to have been targeted with commercial proposals for switching from TIM to another operator while a service disruption or line activation was ongoing.</w:t>
      </w:r>
    </w:p>
    <w:p>
      <w:r>
        <w:t>414. According to TIM, the physical separation of the information systems of the Wholesale management and the commercial departments is such that the commercial staff cannot access the systems dedicated to wholesale services, where information related to alternative operators and their customers is stored.</w:t>
      </w:r>
    </w:p>
    <w:p>
      <w:r>
        <w:t>415. TIM has adopted a series of initiatives aimed at countering the phenomenon of malpractice, even after Agcom Resolution No. 396/18/CONS, with which the regulator ordered TIM to establish a set of measures aimed at preventing the misuse of wholesale assurance data by parties who unlawfully use the data of customers who have requested repair interventions for faults or degradations on their line. Agcom has also established a technical table with TIM and other operators with the mandate to modify processes by avoiding the inclusion, on the wholesale portal, of customer data that are not necessary for the assurance process, where potentially functional to the unlawful activities subject to this provision.</w:t>
      </w:r>
    </w:p>
    <w:p>
      <w:r>
        <w:t>vii. Absence of conditions for the application of sanctions and compliance program</w:t>
      </w:r>
    </w:p>
    <w:p>
      <w:r>
        <w:t>416. TIM has observed that, in this case, the prerequisites for the imposition of a sanction would not be met. Firstly, there would be no evidence of the seriousness and objective suitability to produce anti-competitive effects of the examined conduct. None of TIM's conduct would have had effects on the market, and moreover, a collaborative attitude maintained by TIM towards Infratel and OF throughout the reference period should be highlighted.</w:t>
      </w:r>
    </w:p>
    <w:p>
      <w:r>
        <w:t>417. In any case, even if TIM's defense thesis were not accepted, since the ongoing procedure presents a rather complex legal and factual context as well as a specific and significant complexity of the contested case, the Authority should consider the imposition of a symbolic sanction, pursuant to point 33 of the Authority's Guidelines on sanctions.</w:t>
      </w:r>
    </w:p>
    <w:p>
      <w:r>
        <w:t>418. TIM has finally stated that it has implemented a specific antitrust compliance program since 2016. This program allows for a series of initiatives aimed at risk analysis and mapping; the adoption of rules of conduct and internal procedures to manage antitrust risk; and the carrying out of specialized training activities. The formal adoption of the Code of Conduct by the Board of Directors and the appointment of the Compliance Program Manager would be elements suitable to unequivocally testify to the company's willingness, with greater strength than in the past, to recognize antitrust compliance as an integral part of the corporate culture, the involvement and support of top management, and the continuous and lasting commitment to respect the compliance program. Therefore, TIM has requested that the Authority positively evaluate the antitrust compliance program, recognizing the related mitigating circumstance in the event of the imposition of a sanction.</w:t>
      </w:r>
    </w:p>
    <w:p>
      <w:r>
        <w:t>V. THE OPINION OF THE AUTHORITY FOR GUARANTEES IN COMMUNICATIONS</w:t>
      </w:r>
    </w:p>
    <w:p>
      <w:r>
        <w:t>a) The content of the Agcom opinion</w:t>
      </w:r>
    </w:p>
    <w:p>
      <w:r>
        <w:t>419. In the opinion issued pursuant to Article 1, paragraph 6, letter c), no. 11, of Law No. 249/97, received by the Authority on January 30, 2020, Agcom expressed considerations regarding the main aspects of the procedure. Below, the most relevant evaluations will be reported.</w:t>
      </w:r>
    </w:p>
    <w:p>
      <w:r>
        <w:t>420. Regarding the relevant markets, Agcom shared the Authority's conclusions about the product scope and made some considerations regarding the geographical dimension.</w:t>
      </w:r>
    </w:p>
    <w:p>
      <w:r>
        <w:t>421. Agcom agreed with the product scope of the relevant markets, both the wholesale market and the retail market, recalling what was noted in this regard in the last resolution on the analysis of fixed network access markets283. On the other hand, this is an analysis in line with the assessments made by the Authority in the initiation provision and confirmed in this closing provision. In particular, Agcom agreed that, for the purposes of procedure A514, the distinction between market 3a and market 3b is not relevant, in line with the assessments made by the Authority. Furthermore, with reference to the time frame subject to procedure A514, Agcom agreed on the inclusion in a single market of broadband and ultra-broadband services, given the substitutability relationship that exists between the two types of fixed network access and also agreed on the absence of substitutability, from the demand side, between narrowband services and broadband/ultra-broadband services.</w:t>
      </w:r>
    </w:p>
    <w:p>
      <w:r>
        <w:t>422. Similar agreement was expressed regarding the definition of the geographical perimeter of the relevant markets identified by the Authority, limited to the period subject to the procedure. On this point, Agcom also highlighted that, during the last market analysis procedure completed, related to the three-year period 2019-2021, some new elements emerged compared to what was noted in the previous market analysis related to the period 2015-2018. For the first time, in fact, Agcom, with Resolution 348/19/CONS, identified a geographical area in which no significant market power held by TIM was found, concerning the Municipality of Milan, where regulatory obligations imposed on TIM by the previous Resolution 623/15/CONS were therefore removed284.</w:t>
      </w:r>
    </w:p>
    <w:p>
      <w:r>
        <w:t>423. Furthermore, Agcom highlighted that, also with Resolution 348/19/CONS, there has been, since 2019, an opening to forms of differentiation of regulatory remedies on a geographical basis. Indicators of competitiveness have been defined that allow for the identification of "Contestable Municipalities," i.e., municipalities in which the imposition of less stringent regulatory remedies compared to the rest of the national territory would be sufficient.</w:t>
      </w:r>
    </w:p>
    <w:p>
      <w:r>
        <w:t>424. Regarding the dominant position, Agcom expressed agreement with the Authority's assessments, arguing, however, that TIM does not have a dominant position in the municipalities "where the competitive conditions identified in Resolution 348/19/CONS"285 are found, presumably referring to the criteria defined to identify Contestable Municipalities.</w:t>
      </w:r>
    </w:p>
    <w:p>
      <w:r>
        <w:t>425. With specific regard to the retail market, while also agreeing on the persistence of a dominant position held by TIM, Agcom noted that in the period 2016-2018, TIM's market share increased slightly, only from 2016 to 2017, and then decreased in 2018-2019. More specifically, in its opinion, Agcom highlighted that TIM's "retail share in the UBB services market increases from 2016 to 2017 (by 0.4%) […] but then decreases from 2017 to 2019"286. In particular, analyzing the trend of this market share during 2017, Agcom observed that, against an increase of 3.8% in the period 31/12/2016-30/09/2017, a reduction of the same share of 3.4% was recorded in the last quarter of the year, which nevertheless resulted in an annual increase of 0.4%.</w:t>
      </w:r>
    </w:p>
    <w:p>
      <w:r>
        <w:t>426. Therefore, during 2017, there would have been an increase in the share of UBB lines held by TIM of about 4% over nine months (from December 2016 to September 2017), followed by a reduction of the same share of about 3.5% over a quarter, from September 2017 to December 2017. Regarding the market share of December 2017, in particular, Agcom specified that it had proceeded with "a reclassification of the data provided by operators, necessary to ensure the homogeneity and comparability of the data"287. Consequently, if this data was at 48% as indicated by Agcom in its Communications Observatory No. 1 of 2018, following the aforementioned reclassification, carried out during 2019, the same data was found to be equal to 43.4%.</w:t>
      </w:r>
    </w:p>
    <w:p>
      <w:r>
        <w:t>427. In relation to wholesale conduct, Agcom emphasized that it has adopted pro-competitive measures that should be taken into account within the framework of procedure A514.</w:t>
      </w:r>
    </w:p>
    <w:p>
      <w:r>
        <w:t>428. On the conduct of repricing of VULA FTTH, Agcom specified that it considered the cost model of VULA FTTH defined with Resolution No. 623/15/CONS in order to identify the economic conditions of VULA FTTH prices for the year 2017. Therefore, Agcom did not use the cost model proposed by TIM, which would have implied a significant reduction in the cost of providing the VULA FTTH service, in TIM's hope of obtaining authorization for prices of this service that are significantly lower. With Resolution 105/17/CONS, Agcom had initiated a public consultation on the new VULA FTTH prices presented by TIM and, on that occasion, limited itself to noting that these prices corresponded to a distribution of volumes for which the "bulk of activations (84%) was concentrated on the most asymmetric profile 1000/100 Mbps, conversely about 16% of activations was concentrated on the profile with higher uplink performance"288. Subsequently, following the public consultation, based on the data of</w:t>
      </w:r>
    </w:p>
    <w:p>
      <w:r>
        <w:rPr>
          <w:b/>
        </w:rPr>
        <w:t>[Pages 127–129]</w:t>
      </w:r>
    </w:p>
    <w:p>
      <w:r>
        <w:t>BULLETIN NO. 10 OF MARCH 9, 2020 129</w:t>
      </w:r>
    </w:p>
    <w:p>
      <w:r>
        <w:t>Based on the acquired final data, Agcom has restructured the distribution of volumes, reducing the estimable accesses for the most expensive profile 1000/500Mbps to 10% (down from the initial 16%) and has approved higher prices than those proposed by TIM. In any case, Agcom has reminded that the VULA FTTH lines sold by TIM in the period 2017-18 were only a few thousand.</w:t>
      </w:r>
    </w:p>
    <w:p>
      <w:r>
        <w:t>429. Regarding TIM's wholesale offer called Easy Fiber, Agcom expressed agreement with the competitive concerns raised by the Authority, highlighting that with resolution 87/18/CIR this offer was not approved. Furthermore, in Agcom's opinion, it should be noted that during the period of non-approval of Easy Fiber, TIM had only signed a few contracts with smaller operators for a few thousand lines. These contracts were canceled following the adoption of the aforementioned resolution.</w:t>
      </w:r>
    </w:p>
    <w:p>
      <w:r>
        <w:t>430. According to Agcom, therefore, regarding the aforementioned wholesale conduct, the interventions adopted during the present proceeding would have contributed to preventing or limiting the ex post restrictive effects on competition.</w:t>
      </w:r>
    </w:p>
    <w:p>
      <w:r>
        <w:t>431. Agcom has therefore emphasized that it has also intervened on the two retail conduct cases of TIM. Regarding the lock-in of the final clientele, Agcom recalled the measures established with resolution 348/18/CONS, which established the principle of consumer choice freedom regarding terminal equipment such as modems. According to Agcom, as a result of this resolution, TIM would have made its modems interoperable with other retail access services without additional costs. With resolution 487/18/CONS, moreover, Agcom adopted guidelines on the methods of disconnection and transfer of users, establishing, among other things, that contracts including promotional offers cannot have a duration exceeding 24 months, just as the duration of the installment of accessory service costs cannot exceed 24 months. Following these measures, TIM had to revise its withdrawal policies used in the promotional offers marketed during the period 2016-18.</w:t>
      </w:r>
    </w:p>
    <w:p>
      <w:r>
        <w:t>432. Agcom's intervention with the aforementioned resolution 487/18/CONS would also have been particularly effective in countering lock-in, also considering the fact that it was adopted in the months of 2018 when it would have been plausible to expect the realization of the lock-in effects attributed to TIM's offers.</w:t>
      </w:r>
    </w:p>
    <w:p>
      <w:r>
        <w:t>433. Regarding the phenomenon of so-called malpractice, Agcom confirmed the existence of such practices, noting that TIM's customers have also been affected. On the other hand, analyzing the possible points of leakage of network information, it appears that sensitive data on network activity management is not exclusively available to TIM, but is also known to other operators. In this case as well, Agcom intervened, contesting TIM for a violation of confidentiality obligations regarding transmitted information, for failing to adopt all necessary measures to curb the phenomenon.</w:t>
      </w:r>
    </w:p>
    <w:p>
      <w:r>
        <w:t>434. TIM then presented a proposal for commitments in response to this contestation, the most significant measure concerning the extension to provisioning activities of the encryption protocol for sensitive data, already imposed by Agcom on TIM with resolution 396/18/CONS concerning only assurance activities. TIM's commitments were approved by Agcom with resolution 420/19/CONS, also establishing the initiation of a discussion table with operators aimed at identifying common rules on customer contact methods.</w:t>
      </w:r>
    </w:p>
    <w:p>
      <w:r>
        <w:t>435. In this sense, Agcom has argued that its aforementioned interventions have contributed to eliminating or significantly reducing the restrictive effects of TIM's retail conduct.</w:t>
      </w:r>
    </w:p>
    <w:p>
      <w:r>
        <w:t>130 BULLETIN NO. 10 OF MARCH 9, 2020</w:t>
      </w:r>
    </w:p>
    <w:p>
      <w:r>
        <w:t>436. In its opinion, finally, Agcom did not express any consideration regarding the conduct of regulatory gaming and the adoption of disruptive legal actions against the tenders issued by Infratel.</w:t>
      </w:r>
    </w:p>
    <w:p>
      <w:r>
        <w:t>VI. EVALUATIONS</w:t>
      </w:r>
    </w:p>
    <w:p>
      <w:r>
        <w:t>437. The elements acquired during the proceeding show that TIM has designed and implemented a complex anti-competitive strategy, consisting of various conduct, carried out both in the wholesale market and in the retail market, where TIM historically holds a dominant position.</w:t>
      </w:r>
    </w:p>
    <w:p>
      <w:r>
        <w:t>438. Such conduct has been adopted in order to improperly maintain the dominant position in the wholesale access services market and in the retail services market, hindering the entry of a new infrastructure competitor.</w:t>
      </w:r>
    </w:p>
    <w:p>
      <w:r>
        <w:t>439. TIM's strategy has been articulated in various conduct that have produced restrictive effects on the two relevant markets of wholesale access services and telecommunications services to the final customer. In the white areas, through instrumental changes to investment plans and disruptive legal initiatives, TIM has placed obstacles to Infratel's infrastructure investment plan. In the remaining part of the territory, it has pursued a design of pre-emption of the contestable demand pool from other operators, in order to drain the customer base that could be acquired by competing operators. In the wholesale market, throughout the national territory, TIM has proposed renewed offer conditions for ultra-broadband wholesale access services, even with prices below costs. In the retail market, TIM has introduced promotional offers including binding contractual conditions (lock-in).</w:t>
      </w:r>
    </w:p>
    <w:p>
      <w:r>
        <w:t>a) The relevant markets</w:t>
      </w:r>
    </w:p>
    <w:p>
      <w:r>
        <w:t>440. In the context of a proceeding for abuse of dominant position, the definition of the relevant market constitutes an essential preliminary factor for measuring the strength of market power that will then be the subject of investigation.</w:t>
      </w:r>
    </w:p>
    <w:p>
      <w:r>
        <w:t>441. The competitive analysis, in the phase of defining the relevant market, aims to delineate a "place" identified by commodity and geographical coordinates where a set of producers exert mutual competitive constraints. The relevant market, therefore, can be considered as the territory within which the market power exercisable by companies must be measured and analyzed, and the competitive distortions caused by the conduct carried out by companies must be verified.</w:t>
      </w:r>
    </w:p>
    <w:p>
      <w:r>
        <w:t>442. The elements analyzed in the investigative findings and fully recalled here allow for the identification of two relevant markets where TIM has carried out the conduct under examination:</w:t>
        <w:br/>
        <w:t>a. the market for wholesale access services to the fixed ultra-broadband network, of national size, also referred to as the wholesale market;</w:t>
        <w:br/>
        <w:t>b. the market for retail telecommunications services on the fixed ultra-broadband network, of national size, also referred to as the retail market.</w:t>
      </w:r>
    </w:p>
    <w:p>
      <w:r>
        <w:t>443. The market for wholesale access services to the network includes both physical and virtual ultra-broadband services. In fact, on the demand side of this market, where alternative operators to TIM that purchase wholesale access services and TIM's retail commercial divisions are located, physical and virtual ultra-broadband access services are required. Customer-operators procure these services to the extent that they maximize the territory coverage where they can prepare offers of ultra-broadband services aimed at the final customer. On the supply side, the possibility of purchasing local network access services from operators other than TIM is very limited. If the price of physical access services were to increase, alternative operators could shift demand to virtual access services, even at the cost of incurring significant unrecoverable fixed costs related to proprietary network assets that would remain unused. If the price of virtual access services were to increase, alternative operators purchasing them would not be able to replace them with physical access in the short term, having to first invest in additional proprietary infrastructure.</w:t>
      </w:r>
    </w:p>
    <w:p>
      <w:r>
        <w:t>444. The relevant access services market includes ultra-broadband services but does not include narrowband services. In fact, especially with regard to data transmission services, broadband access differs substantially from narrowband access in terms of technical characteristics and utility that it can offer to the final customer. On the demand side, therefore, narrowband and broadband access services are not substitutable and fall within distinct markets. The development of ultra-broadband and the growing demand for transmission bandwidth have further widened the differences in the performance of the services provided compared to those offered on narrowband.</w:t>
      </w:r>
    </w:p>
    <w:p>
      <w:r>
        <w:t>445. In its defense submissions, TIM criticized the definition of the relevant markets made by the Authority in the initiation measure, both in terms of product qualification and geographical scope. According to the Party, in fact, the wholesale product market should be limited to the market for ultra-broadband wholesale access services FTTx289; therefore, it would be necessary to eliminate from the relevant market the wholesale broadband access services provided by the infrastructure operator through the copper local access network (which mainly consist of ULL and copper bitstream services). This criticism was made based on the alleged low substitutability between the two types of access (copper vs. fiber) that would determine the existence of distinct markets.</w:t>
      </w:r>
    </w:p>
    <w:p>
      <w:r>
        <w:t>446. Furthermore, from a geographical point of view, TIM believes that the market should be limited to the areas subject to Infratel's intervention or, "in the alternative, to the geographical areas reached by fiber in its various configurations"290.</w:t>
      </w:r>
    </w:p>
    <w:p>
      <w:r>
        <w:t>447. The criticisms expressed by TIM regarding the definition of the relevant wholesale market are to be rejected. It is believed, in fact, that both the wholesale access services market and the retail services market must consistently contain both broadband and ultra-broadband services, especially if the reference time horizon, as in this case, refers to the period 2016-2018. The substitutability and the architectural and logical contiguity between the two types of services, especially considering the comparison between ADSL (broadband) and FTTC (ultra-broadband) services, is quite evident.</w:t>
      </w:r>
    </w:p>
    <w:p>
      <w:r>
        <w:t>448. In this regard, it must be considered sufficient to note that consumers, largely and, in any case, in a "critical" quantity relative to total demand, appear to express strongly imbalanced preferences in favor of price convenience, to the extent that telecommunications operators cannot set higher prices for ultra-broadband services compared to 289 FTTx (fiber to the x) is an acronym that generally indicates the family of hybrid access networks (FTTE, FTTC, FTTB) and fiber optic (FTTH). Of these network architectures, only FTTC, FTTB, and FTTH networks can be considered ultra-broadband (capable of download connections exceeding 30Mbps). 290 See doc. 55, TIM's defense submission of November 3, 2017.</w:t>
      </w:r>
    </w:p>
    <w:p>
      <w:r>
        <w:rPr>
          <w:b/>
        </w:rPr>
        <w:t>[Pages 130–132]</w:t>
      </w:r>
    </w:p>
    <w:p>
      <w:r>
        <w:t>132 BULLETIN NO. 10 OF MARCH 9, 2020</w:t>
      </w:r>
    </w:p>
    <w:p>
      <w:r>
        <w:t>a those in force for broadband connectivity offers. In the market, in fact, offers for broadband services of the ADSL type, with asymmetric data transmission speeds in download and upload, are easily found, presenting price levels fully comparable to those of fiber optic connection offers (ultra-broadband), with even symmetric data transmission speeds291.</w:t>
      </w:r>
    </w:p>
    <w:p>
      <w:r>
        <w:t>449. This circumstance is not denied by TIM, which in its concluding memorandum noted that operators are willing to apply retail iso-price tariffs for new ultra-broadband services even if solely for the purpose of maintaining the customer relationship292. The substantial invariance between the prices of broadband and ultra-broadband retail service offers would be practiced by the majority of operators active in the market, although there are significant price differences for operators in procuring wholesale ultra-broadband access services rather than broadband. The price differences, of course, are attributable to the differing underlying costs of a wholesale broadband access service and an ultra-broadband service. However, it should be noted that, for the years under analysis, the substitutability from the perspective of final consumers between broadband and ultra-broadband access has been sufficient to induce operators not to substantially modify the prices of final services in light of higher wholesale costs.</w:t>
      </w:r>
    </w:p>
    <w:p>
      <w:r>
        <w:t>450. FTTx accesses do not represent a distinct product from broadband accesses; rather, they configure a natural technological evolution that, along TIM's network, has gradually occurred, replacing copper with fiber optics for additional components of the transport network first, and then of the local access network. The services for the final consumer that can be offered by ADSL accesses or FTTx accesses are largely overlapping, as in a typical gradual process of technological replacement.</w:t>
      </w:r>
    </w:p>
    <w:p>
      <w:r>
        <w:t>451. The low propensity shown by consumers to recognize a premium price for enjoying a higher data transmission speed where both traditional broadband (ADSL) offers and offers based on connection to a fiber optic network (FTTC or FTTH) are present is attributable to the existence of a sufficient degree of substitutability, such as to consider the market for copper and fiber optic wholesale access services as unique. This demand behavior could also be explained by the lack of perception, whether correct or not, especially on the part of residential customers, of a related premium quality of service resulting from the transition to fiber optic offers, in light of a higher price. It is evident, therefore, that if operators were to charge (appreciably) higher prices for ultra-broadband services than for broadband services, consumers would still continue to choose the latter for a significant period of time.</w:t>
      </w:r>
    </w:p>
    <w:p>
      <w:r>
        <w:t>452. In the absence of a further significant increase in demand for services that require large network capacities (band-hungry services), the coexistence between ADSL and FTTx accesses is destined to last. As of September 2018, over 62% of active fixed lines in Italy were still connected to a copper access, and 54% of active broadband and ultra-broadband lines were connected in copper293. Consequently, wholesale access services to the broadband and ultra-broadband network are still to be considered as belonging to the same relevant market, particularly regarding the time period relevant to the proceeding.</w:t>
      </w:r>
    </w:p>
    <w:p>
      <w:r>
        <w:t>453. Furthermore, it is noted that the plan for the shutdown of exchanges and the copper network presented by TIM, put out for public consultation by the regulator and approved by resolution no. 348/19/CONS of Agcom294, includes the following timetable.</w:t>
      </w:r>
    </w:p>
    <w:p>
      <w:r>
        <w:t>TIM Exchange Shutdown Plan</w:t>
        <w:br/>
        <w:t>Year Open to ULL Not Open to ULL</w:t>
        <w:br/>
        <w:t>2020 0 318</w:t>
        <w:br/>
        <w:t>2021 0 5850</w:t>
        <w:br/>
        <w:t>2022 0 0</w:t>
        <w:br/>
        <w:t>2023 510 0</w:t>
        <w:br/>
        <w:t>TOT. 510 6168</w:t>
        <w:br/>
        <w:t>Source: Elaborations based on data from Agcom Resolution no. 348/19/CONS.</w:t>
      </w:r>
    </w:p>
    <w:p>
      <w:r>
        <w:t>454. About 92% of the exchanges designated for the so-called switch-off, those that will be closed and where copper network access services (ULL, copper bitstream) will no longer be available, are not open to ULL. These are the exchanges where disaggregated access services to the local copper network (i.e., broadband access services) have never been offered by TIM and which, in the shutdown plan, will be directly merged into a smaller number of exchanges where only ultra-broadband access services (mostly, VULA FTTC, SLU, NGA bitstream, and FWA) will be offered.</w:t>
      </w:r>
    </w:p>
    <w:p>
      <w:r>
        <w:t>455. Only 510 exchanges open to ULL will be subject to shutdown, but only in 2023. In practice, the vast majority of exchanges where the majority of broadband access services on the copper network are currently available will remain active, while of these, only 510 exchanges will be shut down in 2023, when it is plausible to expect a significant reduction in the spread of copper connections. Therefore, TIM itself considers the volumes of active connections on the broadband network to still be significant and, in any case, such that a complete migration to ultra-broadband offers by customers currently on broadband connections is not expected in the immediate future.</w:t>
      </w:r>
    </w:p>
    <w:p>
      <w:r>
        <w:t>456. Moreover, in Italy, the consumption of services requiring very high bandwidth is still in an early phase of diffusion, and their penetration rate appears to be lagging behind other European countries. For example, as of December 31, 2018, only 17% of Italians were users of a video-on-demand service, compared to 20% of the French and 28% of the Germans295. At this stage, therefore, it must be considered at least premature to classify broadband services in a market distinct from that of ultra-broadband services, especially with reference to the time period 2016-2018.</w:t>
      </w:r>
    </w:p>
    <w:p>
      <w:r>
        <w:t>457. The substitutability between the two types of fixed line access is evidenced by the trend in prices for ultra-broadband connections. If it were a new and distinct product, ultra-broadband connections should be marketed at a higher price than broadband connections. In fact, to provide such services to final consumers, operators must incur significant costs to upgrade networks and equipment. Moreover, being an innovative service, it should initially attract primarily pioneering consumers, with the highest willingness to spend.</w:t>
      </w:r>
    </w:p>
    <w:p>
      <w:r>
        <w:t>458. However, analyzing the historical series of the price index for internet services, which combines broadband and ultra-broadband, it is noted that from September 2016 to September 2018, two years during which active ultra-broadband connections grew, there was a decrease of about 3% in prices296. From the available data, it appears that from December 2016 to September 2018, broadband connections (lines with download speeds below 30Mbps) decreased by 3.19 million units while ultra-broadband connections (lines with download speeds equal to or greater than 30Mbps) increased by 4.69 million units297. Therefore, it must be noted that the decrease in prices recorded during the same period cannot be attributed to a decrease in the customer base with broadband connections, which, on the contrary, decreased less than the increase in active ultra-broadband lines. These data also demonstrate that operators are unable to charge higher prices for ultra-broadband offers compared to those for broadband connections, which is precisely what typically occurs when there are sufficiently substitutable products in the market.</w:t>
      </w:r>
    </w:p>
    <w:p>
      <w:r>
        <w:t>459. Recently, Agcom has also reaffirmed the uniqueness of the market for broadband and ultra-broadband services, basing its analysis on the circumstance that, from the perspective of final demand, consumers continue to consider the two types of service significantly substitutable. In the latest market analysis cycle, the regulator updated the analysis on the substitutability of broadband and ultra-broadband services, noting that "despite the technological and market evolution that has occurred in recent years and that is presumably expected during the time horizon of this market analysis, the Authority considers the conditions of substitutability found in the previous market analysis to be substantially unchanged among the various broadband access services, functional for defining the corresponding relevant wholesale markets"298. In the previous resolution on market access analysis, Agcom had indeed identified a single relevant market for retail broadband access services encompassing all fixed network access technologies available in the market299.</w:t>
      </w:r>
    </w:p>
    <w:p>
      <w:r>
        <w:rPr>
          <w:b/>
        </w:rPr>
        <w:t>[Pages 133–135]</w:t>
      </w:r>
    </w:p>
    <w:p>
      <w:r>
        <w:t>BULLETIN NO. 10 OF MARCH 9, 2020 135</w:t>
      </w:r>
    </w:p>
    <w:p>
      <w:r>
        <w:t>460. As for the geographical dimension, there are currently no significant differences in competitive conditions that would allow for the deduction of the existence of multiple markets within the national territory. TIM is the only operator with a widely distributed network infrastructure throughout the national territory, both for broadband and ultra-broadband. The specific situation in the Municipality of Milan, where an alternative ultra-broadband access network to that of TIM has long existed, does not allow for a geographical segmentation of the national market at this time. In fact, it is noted that even in the peculiar Milanese context, TIM enjoys a strong degree of independence from a competitive standpoint, being equipped, in any case, as the incumbent operator in the market, with its own access network. In this sense, even in this context, TIM has a competitive condition that is nonetheless different from the rest of the operators active in the retail market, as the latter do not have widespread and capillary access network infrastructures throughout the national territory.</w:t>
      </w:r>
    </w:p>
    <w:p>
      <w:r>
        <w:t>461. In general, moreover, the operators active in Italy and, above all, TIM's main competitors, show an interest in offering telecommunications services throughout the national territory rather than only in specific areas.</w:t>
      </w:r>
    </w:p>
    <w:p>
      <w:r>
        <w:t>462. The elements mentioned above therefore allow for the confirmation of the definition of the markets as stated above, namely:</w:t>
        <w:br/>
        <w:t>a. the market for wholesale access services to the fixed broadband and ultra-broadband network, of national size (wholesale market);</w:t>
        <w:br/>
        <w:t>b. the market for retail telecommunications services on fixed broadband and ultra-broadband network, of national size (retail market).</w:t>
      </w:r>
    </w:p>
    <w:p>
      <w:r>
        <w:t>b) The dominant position of TIM</w:t>
      </w:r>
    </w:p>
    <w:p>
      <w:r>
        <w:t>463. A dominant position grants a company the ability to act independently, generally without regard to the choices of competitors, customers, or suppliers. Such conditions prevail when, for example, due to its market share, accumulated know-how, degree of control over the supply channels of production factors or the distribution channels of production, a company can independently set prices, control production or distribution for a significant share of the products.</w:t>
      </w:r>
    </w:p>
    <w:p>
      <w:r>
        <w:t>464. According to established antitrust jurisprudence, a dominant position exists in a market when the company holding it is able to exercise economic power capable of hindering the persistence of effective competition in a given market and has the ability to behave in a generally independent manner with respect to competitors, customers, and, ultimately, consumers300.</w:t>
      </w:r>
    </w:p>
    <w:p>
      <w:r>
        <w:t>465. The Commission's Communication concerning the "Guidelines on the Commission's priorities in applying Article 82 of the EC Treaty to the abusive behavior of dominant companies aimed at excluding competitors"301 established that the structural factors constituting the dominant position are essentially identified in the size of the market share, especially if significant and persistent over time, as well as in the existence of barriers to entry for new operators.</w:t>
      </w:r>
    </w:p>
    <w:p>
      <w:r>
        <w:t>300 See established jurisprudence starting from the judgment of the Court of Justice of February 14, 1978 (case C - 27/76, United Brands).</w:t>
      </w:r>
    </w:p>
    <w:p>
      <w:r>
        <w:t>301 In O.J.E.U., C 45, of February 24, 2009.</w:t>
      </w:r>
    </w:p>
    <w:p>
      <w:r>
        <w:t>136 BULLETIN NO. 10 OF MARCH 9, 2020</w:t>
      </w:r>
    </w:p>
    <w:p>
      <w:r>
        <w:t>466. In line with the principles established by the cited jurisprudence and antitrust application practice, it is believed that in the identified relevant markets, namely the wholesale access services market and the retail telecommunications services market, TIM holds a dominant position.</w:t>
      </w:r>
    </w:p>
    <w:p>
      <w:r>
        <w:t>467. TIM's shares in the identified relevant markets, both wholesale and retail, unequivocally demonstrate the persistence of a clear dominant position, even with a strengthening of TIM's share in the ultra-broadband retail access segment which, in perspective, could allow TIM to reinforce its dominant position in the retail market. TIM's market power can be considered almost monopolistic with reference to passive access services, that is, to services providing access to the physical components of the network. In this competitive context, in fact, 92.56% of active lines in 2016 were served by TIM's network302. A market share not very different from that observed previously, in 2014, when the analogous market share was 95.35% of active lines303.</w:t>
      </w:r>
    </w:p>
    <w:p>
      <w:r>
        <w:t>468. The dominance observed in passive access services to the network constitutes a decisive element in the overall consideration of the market power attributable to TIM along the entire production chain of fixed telecommunications. In fact, passive access services represent the primary production factor underlying both the provision of active access services (VULA, bitstream) and the activation of service offers to the final customer. The economic power that TIM can exercise over the offer of wholesale physical access services, in particular, is persistent over time, thus being a structural element not only of the single market but of the entire fixed telecommunications industry in Italy.</w:t>
      </w:r>
    </w:p>
    <w:p>
      <w:r>
        <w:t>469. The almost monopolistic control of the offer of wholesale physical access services (sub-market 3a) is also capable of raising significant barriers to entry in the related offer of virtual network access services (sub-market 3b), compressing the intensity of competition in the overall wholesale access services market. In fact, alternative operators can establish a competitive offer of virtual access services only by preliminarily purchasing physical access services from TIM.</w:t>
      </w:r>
    </w:p>
    <w:p>
      <w:r>
        <w:t>470. On this point, it is worth recalling how TIM's interest in more advanced technological choices, such as the development of FTTH network development plans, emerged substantially only after OF entered the market, when the dynamic structural balance was called into question and the possibility of establishing more intense infrastructural competition in fixed network markets was felt. Moreover, in the inquiry on broadband, conducted jointly by the Authority and Agcom, the absence of adequate incentives to invest in next-generation networks was evident. On that occasion, it was noted that "during the inquiry, Telecom Italia did not present significant investment projects in FTTB/H networks"304.</w:t>
      </w:r>
    </w:p>
    <w:p>
      <w:r>
        <w:t>302 Data from Agcom resolution no. 613/18/CONS.</w:t>
      </w:r>
    </w:p>
    <w:p>
      <w:r>
        <w:t>303 Data from Agcom resolution no. 623/15/CONS.</w:t>
      </w:r>
    </w:p>
    <w:p>
      <w:r>
        <w:t>304 See IC48, Inquiry on static and dynamic competition in the access services market and on investment prospects in broadband and ultra-broadband telecommunications networks, November 8, 2014, par. 48) of the executive summary.</w:t>
      </w:r>
    </w:p>
    <w:p>
      <w:r>
        <w:t>BULLETIN NO. 10 OF MARCH 9, 2020 137</w:t>
      </w:r>
    </w:p>
    <w:p>
      <w:r>
        <w:t>471. The "internal" market incentives, thus configured, for investments in ultra-broadband networks were found to be insufficient, so much so that the two Authorities noted that "in the absence of a real competitive threat as a driver of investments, innovation choices driven by the search for incremental profit, in the time perspective of private investors, may prove insufficient to promote collective welfare. In particular, the "market failure" may concern both the geographical dimension of infrastructure development and the level and timing of technological developments"305.</w:t>
      </w:r>
    </w:p>
    <w:p>
      <w:r>
        <w:t>472. TIM's dominant position in the wholesale services market, therefore, is such that there were not sufficient incentives to achieve adequate technological advancements in network infrastructures. Such incentives only appeared after OF entered the market.</w:t>
      </w:r>
    </w:p>
    <w:p>
      <w:r>
        <w:t>473. Finally, TIM's dominance in the offer of wholesale access services also reflects on the related market of retail telecommunications services on fixed network, broadband, and ultra-broadband. Certainly, in this relevant market, competitive pressure has developed more intensely and, over the years, TIM's market share has decreased. However, the share of active retail lines absorbed is still sufficient to consider TIM's dominant position persistent even in the retail market. Moreover, in recent years, the contraction of the market share held by TIM has slowed down and begins to show a certain degree of persistence, typical of a dominant position.</w:t>
      </w:r>
    </w:p>
    <w:p>
      <w:r>
        <w:t>474. As of September 2018, in fact, 44.5% of active retail broadband and ultra-broadband lines were on TIM's network, compared to 45.9% in December 2016306. In the growing segment of ultra-broadband retail offers, TIM's share of active lines is even higher, at 46.9% in December 2017307. Thus, even in the offer of services to end consumers, TIM still holds a dominant position.</w:t>
      </w:r>
    </w:p>
    <w:p>
      <w:r>
        <w:t>c) TIM's abusive strategy</w:t>
      </w:r>
    </w:p>
    <w:p>
      <w:r>
        <w:t>475. The documentation acquired during the investigation has outlined a single and complex abusive strategy in violation of Article 102 TFEU implemented by TIM. This abusive strategy, articulated in multiple behaviors carried out in the wholesale market and the retail market, aims to hinder the entry into the market of a new operator equipped with fixed network infrastructure and to unduly preserve the previous degree of market power of the incumbent.</w:t>
      </w:r>
    </w:p>
    <w:p>
      <w:r>
        <w:t>476. In particular, TIM's strategy can be explained along two lines, namely:</w:t>
        <w:br/>
        <w:t>a) delaying and ultimately preventing the entry into the market of a new infrastructure competitor in the white areas, through the strategic alteration of investment plans and disruptive legal initiatives, and in the rest of the territory, through the improper use of the leverage of wholesale service offer prices;</w:t>
        <w:br/>
        <w:t>b) unduly preserving the dominant position in the wholesale access services market and in the retail services market, even in the current competitive phase characterized by the gradual migration of customers to ultra-broadband service offers.</w:t>
      </w:r>
    </w:p>
    <w:p>
      <w:r>
        <w:t>305 See IC48, Inquiry on static and dynamic competition in the access services market and on investment prospects in broadband and ultra-broadband telecommunications networks, November 8, 2014, par. 60) of the executive summary.</w:t>
      </w:r>
    </w:p>
    <w:p>
      <w:r>
        <w:t>306 Data from Agcom resolution no. 613/18/CONS.</w:t>
      </w:r>
    </w:p>
    <w:p>
      <w:r>
        <w:t>307 Data from Agcom resolution no. 613/18/CONS.</w:t>
      </w:r>
    </w:p>
    <w:p>
      <w:r>
        <w:rPr>
          <w:b/>
        </w:rPr>
        <w:t>[Pages 136–138]</w:t>
      </w:r>
    </w:p>
    <w:p>
      <w:r>
        <w:t>138 BULLETIN NO. 10 OF MARCH 9, 2020</w:t>
      </w:r>
    </w:p>
    <w:p>
      <w:r>
        <w:t>477. The conduct carried out by TIM in the wholesale and retail service markets thus constitutes a single abusive exclusionary strategy aimed at hindering the entry into the market of a new operator equipped with fixed network infrastructure and at unduly preserving the incumbent's previous degree of market power. Essentially, TIM's conduct represents, in fact, a reaction to the entry of the Enel Group into the fixed telecommunications markets, announced in November 2015, and is aimed at generating competitive advantages to the detriment of OF, through the creation of strategic barriers to the entry of new competitors.</w:t>
      </w:r>
    </w:p>
    <w:p>
      <w:r>
        <w:t>478. In the white areas, the change in the industrial plan and the legal actions to obstruct have delayed the conclusion of the tender procedures of Infratel, while TIM has achieved significant alternative coverage of the areas that were the subject of public intervention in just a few months, in order to strategically and credibly preemptively occupy the market available to the concessionaire, with technologically suboptimal investments.</w:t>
      </w:r>
    </w:p>
    <w:p>
      <w:r>
        <w:t>479. This strategic design has extended to the entire national market, where the new wholesale offers for VULA FTTH and the Easy Fiber offer have been proposed in order to tie the maximum share of fixed lines to TIM's network before the FTTH coverage announced by OF became available, also investing in mechanisms for locking in wholesale customers: "an aggressive strategy in the fiber market [...] aimed at depriving scale from the infrastructure competitors, putting their sustainability at risk in the medium/long term"308. A reconfiguration of the wholesale access service offer, therefore, is not aimed at preparing a proper competitive reaction to the entry into the market of a new infrastructure competitor but rather at producing its exclusion from the market.</w:t>
      </w:r>
    </w:p>
    <w:p>
      <w:r>
        <w:t>480. On the other hand, it is TIM itself that, in an internal document from September 2017, presents the lines of the new "strategic plan" 2018/20, defining the coverage plans in ultra-broadband networks in the white areas as revised after OF's entry into the market as "overbuilt UBB roll-out plan not fully demand driven"309. Essentially, TIM attempted to block the potential development of an infrastructure competitor across the entire national territory, even with inefficient strategic investments, that is, not fully justified by the extent of contestable demand in the white areas. Moreover, TIM acknowledged that the Cassiopea project compromised the Group's institutional relationships: "Cassiopea project jeopardize relationships with Government and relevant Authorities"310.</w:t>
      </w:r>
    </w:p>
    <w:p>
      <w:r>
        <w:t xml:space="preserve">308 Cf. ISP661, annex p. 9.  </w:t>
        <w:br/>
        <w:t xml:space="preserve">309 Cf. ISP969, annex p. 8.  </w:t>
        <w:br/>
        <w:t>310 Cf. ISP969, annex p. 8.</w:t>
      </w:r>
    </w:p>
    <w:p>
      <w:r>
        <w:t>BULLETIN NO. 10 OF MARCH 9, 2020 139</w:t>
      </w:r>
    </w:p>
    <w:p>
      <w:r>
        <w:t>481. In 2015, in implementation of the national ultra-broadband plan, Infratel conducted a public consultation to identify the white areas, that is, those in which no private operator would invest in the following three years. In 2016, after obtaining from the European Commission a compatibility judgment of the project with European state aid regulations, Infratel announced the first two tenders for the construction of an ultra-broadband network in the white areas311, concerning most of the Regions.</w:t>
      </w:r>
    </w:p>
    <w:p>
      <w:r>
        <w:t>482. For both tenders, TIM actively participated, at least in the initial phase. For the first tender, in addition to qualifying, it also submitted a bid, coming in second compared to Open Fiber's offer. For the second tender, after obtaining qualification to participate, it did not submit a bid, choosing to unexpectedly change its overall approach in the white areas, with the announcement of an autonomous coverage plan with FTTC and mobile networks (TIM press release of March 23, 2017), in order to hinder OF's entry into the market, a new infrastructure competitor.</w:t>
      </w:r>
    </w:p>
    <w:p>
      <w:r>
        <w:t>483. At the same time (late 2016 – early 2017), TIM prepared a maneuver to redefine the technical and economic conditions of the main ultra-broadband wholesale service offers, valid for the entire national territory, aimed at preemptively occupying the contestable market from Open Fiber, through the new Easy Fiber offer and the reconfiguration of the VULA FTTH offer profiles.</w:t>
      </w:r>
    </w:p>
    <w:p>
      <w:r>
        <w:t>484. TIM's conduct in the wholesale access service market, therefore, aimed to pursue a pre-emption of demand, through an opportunistic reduction of prices for some wholesale services, the introduction of offers suitable for locking in wholesale customers (Easy Fiber), and the instrumental modification of investment plans in the white areas, even after Open Fiber was awarded the first tender announced by Infratel. The documentation on file explicitly characterizes the purposes of TIM's conduct. For example, it is noted that in an email exchange from March 2017, while analyzing the new Easy Fiber offer, it is specified that "The objectives [...] are to: Halt the autonomous infrastructure of OLOs [...]; Drain market from EOF"312.</w:t>
      </w:r>
    </w:p>
    <w:p>
      <w:r>
        <w:t>485. At the same time, the conduct adopted in the retail service market, consisting of promotional offers including elements of lock-in for the final customer, allowed TIM to acquire a significant percentage, exceeding its market share, of the new activated connections, projecting, after a long time, TIM into a growth trend in retail market share.</w:t>
      </w:r>
    </w:p>
    <w:p>
      <w:r>
        <w:t>486. The strategic purpose of the lock-in conduct in the retail market is the same as that of the wholesale conduct: to occupy the maximum possible share of ultra-broadband demand, in order to minimize the pool of potential demand available for Open Fiber and for other current and potential competing operators of TIM in the wholesale access service market. From this perspective, it should be noted that about 54% of the total growth of active fixed lines with connections of at least 30Mbps in 2017 was absorbed by TIM313. Considering that the demand for wholesale services related to active lines of TIM customers is substantially captive with respect to access services from other operators, it can be assumed that less than half of the activations of UBB lines in 2017 and, therefore, prospectively, were contestable by Open Fiber in terms of providing the related wholesale access services.</w:t>
      </w:r>
    </w:p>
    <w:p>
      <w:r>
        <w:t>487. The conduct carried out by TIM in the wholesale and retail service markets, therefore, constitutes a single abusive exclusionary strategy aimed at hindering the entry into the market of a new operator equipped with fixed network infrastructure and at unduly preserving the incumbent's previous degree of market power.</w:t>
      </w:r>
    </w:p>
    <w:p>
      <w:r>
        <w:t xml:space="preserve">d) TIM's conduct in the wholesale access service market  </w:t>
        <w:br/>
        <w:t>i. Regulatory gaming and instrumental legal actions</w:t>
      </w:r>
    </w:p>
    <w:p>
      <w:r>
        <w:t>488. TIM's actions begin to take on a restrictive form of competition immediately after learning of the news of the Enel Group's entry into the wholesale access service market. Subsequently, especially from the end of 2016, the conduct carried out by TIM is characterized by a "total" strategic and operational approach, primarily aimed at obstructing the implementation of public investment plans in the white areas and the permanence in the market of a new infrastructure competitor even in the remaining part of the national territory314.</w:t>
      </w:r>
    </w:p>
    <w:p>
      <w:r>
        <w:t>489. At the highest decision-making levels of the company, immediately after OF's entry into the market at the end of 2015, it was decided to implement an aggressive shift in the way of relating to stakeholders, including competitors and public authorities (Infratel) managing the procedures for covering the territory with UBB networks in market failure areas. Behind this change in attitude, later made explicit in various internal documents illustrating the new strategic lines indicated in the industrial plan 2017/19 launched in February 2017, is the intention to adopt an overall more muscular approach, even considering the risk of committing administrative offenses. In the industrial plan 2017/19, in fact, it was noted, in the introduction, the need to abandon a business model deemed [omitted]315.</w:t>
      </w:r>
    </w:p>
    <w:p>
      <w:r>
        <w:t>490. The event that marked a structural break in the dynamic competitive arrangements of the market for TIM is the announcement, at the end of 2015, by the Enel Group to enter the telecommunications market, with a project aimed at realizing the FTTH fiber optic network in 271 Italian cities and a business model based exclusively on the offer of wholesale access services, so-called wholesale only. It is known, in fact, that the Italian fixed telecommunications industry has traditionally been characterized by low or absent infrastructure competition, unlike how the market has been structured regarding mobile network telecommunications316. For TIM, Enel's entry into the market is news of</w:t>
      </w:r>
    </w:p>
    <w:p>
      <w:r>
        <w:t xml:space="preserve">313 Source: elaborations on data from the Agcom communications observatory.  </w:t>
        <w:br/>
        <w:t xml:space="preserve">314 In November 2016, some of TIM's top executives were engaged in evaluating a profound and sudden change of strategy in the white areas: "let's assume we wanted to cabling part of the Infratel areas autonomously Avoid all the ifs and buts, it can't be done, etc..." Cf. doc. ISP316.  </w:t>
        <w:br/>
        <w:t xml:space="preserve">315 Cf. ISP52, annex p. 4.  </w:t>
        <w:br/>
        <w:t>316 Italy also suffers from the historical absence of a cable network infrastructure, which in other European countries provides a significant share of fixed ultra-broadband accesses. Already in January 2014, on average 18% of the total broadband connections</w:t>
      </w:r>
    </w:p>
    <w:p>
      <w:r>
        <w:rPr>
          <w:b/>
        </w:rPr>
        <w:t>[Pages 139–141]</w:t>
      </w:r>
    </w:p>
    <w:p>
      <w:r>
        <w:t>BULLETIN NO. 10 OF MARCH 9, 2020 141</w:t>
      </w:r>
    </w:p>
    <w:p>
      <w:r>
        <w:t>absolute relevance: "This initiative can represent a strong discontinuity in the national infrastructural landscape and requires a careful impact assessment on the NGAN project of Telecom Italia"317. The announcement of Enel's entry plan was then realized with the establishment of Open Fiber, a company tasked with the construction of FTTH network infrastructures and controlled 50% by Enel and 50% by Cassa Depositi e Prestiti. Open Fiber participated in the tender procedures called by Infratel for the infrastructure of white areas with ultra-broadband networks, subsequently winning the published tenders.</w:t>
      </w:r>
    </w:p>
    <w:p>
      <w:r>
        <w:t>491. The entry of Open Fiber, with an important project for territorial coverage, represented a concrete competitive threat for TIM, potentially capable of undermining the established market power, especially regarding the wholesale access services market. Already in December 2015, just a few days after Enel's announcement, TIM initiated an internal discussion on what reaction should be taken to adequately face the new competitive challenge, deciding to immediately focus on [omissis]318. It seems that a push emerged within the company, which became evidently predominant during 2016, that managed to impose the adoption of an aggressive approach as a reaction to the changed competitive scenario, instead of a physiological path of legitimate (and, from TIM's perspective, somehow, necessary) competitive countermeasures. An overall attitude of TIM, regarding the entry of OF into the market, that appears to be in contrast with the obligation to assume and practice the special responsibility that a dominant company is required to uphold.</w:t>
      </w:r>
    </w:p>
    <w:p>
      <w:r>
        <w:t>492. In fact, as a reaction to the announced market entry of the Enel Group, TIM initially prefers to conduct in-depth analyses to "counter or direct ENEL's strategic decision"319. There were weeks and months of intense analytical activity within TIM, between late 2015 and early 2016, during which multiple possible initiatives were analyzed, all aimed at countering the entry project of OF from the outset. Internally, the initiation of instrumental negotiations with Metroweb and Enel was even proposed, to then open disputes in case of failure of the same surreptitious negotiations320.</w:t>
      </w:r>
    </w:p>
    <w:p>
      <w:r>
        <w:t>493. From the documentation acquired, it clearly emerges that, by the end of 2016, when the first two tenders called by Infratel concerning most of the Regions had already been initiated, TIM intended to accelerate the activities to be undertaken, in an increasingly open opposition to the public intervention planned in the market failure areas. Although TIM fully participated in the complex and articulated administrative procedure that led to the Infratel tenders, its strategic effort was rapidly overturned, directing it more towards actions that would prevent the successful outcome of the procedures called by Infratel. Under this broad aspect, it is not secondary to note that the white areas, although constituting a residual share of the total demand for fixed telecommunications services, generate a significant share (approximately 30%) of TIM's revenues, considering that in these territories competing offers from other operators are often completely absent, even in the retail market. TIM's specific concern for this market segment thus derives precisely from the expected loss, proportionally more significant than that expected in the remaining part of the territory, of wholesale revenues that would result from the construction of a fiber optic network through the concessions put to tender. In general, however, TIM perceives a risk of losing market leadership over investment and technological choices; a risk that, however, it attempts to counter with unlawful conduct.</w:t>
      </w:r>
    </w:p>
    <w:p>
      <w:r>
        <w:t>494. The instrumental nature of TIM's decision to invest independently in white areas, first only in the regions of the second tender and then in all the white areas included in the first two Infratel tenders, is evident from many of the documents found during the inspections, in which, as seen, the profitability analyses of such investments are reported. Indeed, as found from the acquired documentation summarized above, TIM's internal analyses also confirmed what the incumbent itself had claimed during the public consultation held by Infratel precisely to identify the white areas eligible for direct public intervention, authorized by the Commission under the State aid regulations (decision of June 30, 2016 - SA 41647). In particular, the analyses conducted internally by TIM confirmed the absence of economic sustainability requirements for investments in FTTH networks (and often also in FTTC, regarding the so-called cluster D - rural areas) in the white areas: "The analyses conducted highlighted the following elements:</w:t>
        <w:br/>
        <w:t>- Confirmation of the lack of economic return in investing in UBB networks in areas D with any technology;</w:t>
        <w:br/>
        <w:t>- Confirmation of the lack of economic return in investing in areas C to implement coverage with the performance and capillarity requirements set by the Infratel Tenders (speed of 100/s Mb down and 50/s Mb up)321.</w:t>
      </w:r>
    </w:p>
    <w:p>
      <w:r>
        <w:t>495. A positive economic return from the investment was found by TIM only for some areas C but exclusively if a "FTTC eVDSL technology with performance speeds &gt;= 30 Mb down and 15 Mb up was implemented – thus without guaranteeing the same technical conditions imposed in the Infratel tenders"322. However, even in this case, the capital return rate would have been identified by TIM's analyses "at 6% - 8%. We are also calculating the return of the direct investment with FTTH technology, but, based on the initial analyses, there do not seem to be returns sufficient to guarantee the profitability of an autonomous plan that would lead to the suspension of public intervention"323. Moreover, even temporarily setting aside the issue of the deliberate use of a suboptimal technological solution as a means of abusive exercise of its market power, with reference only to the clusters C with a positive internal return rate of the investment in FTTC, it must also be noted that the cost of capital (WACC) identified by Agcom for the provision of wholesale access services was equal to 8.77%324, thus greater than the return rate (6%-8%) that TIM had calculated for the investment in FTTC networks in the clusters C.</w:t>
      </w:r>
    </w:p>
    <w:p>
      <w:r>
        <w:t>496. On the other hand, even from the defensive documents filed by TIM, the absence of economic conditions that could justify the sudden change in TIM's coverage plans in the white areas emerges. In the economic memorandum of April 15, 2019, in fact, TIM states that the Cassiopea plan underwent subsequent adjustments, from March to May 2017. From the documentation, it appears that only after optimally delimiting (for TIM) the perimeter of the areas to be covered did TIM's investment become profitable from an economic perspective. In particular, it is noted that even in April 2017, when the Cassiopea plan had already been initiated in the execution phase, the net present value of the investment was negative.</w:t>
      </w:r>
    </w:p>
    <w:p>
      <w:r>
        <w:t>[Omissis]</w:t>
      </w:r>
    </w:p>
    <w:p>
      <w:r>
        <w:t>497. The expected return from the investment became positive only by limiting the coverage to a number of areas significantly lower than the initial releases of the plan. In other words, TIM minimized the amount of resources it intended to invest in an economically unjustified initiative, according to a logic of progressive refinement, in order to preemptively occupy, moreover with the use of suboptimal technological solutions, only the areas of greater value included in the perimeter of the white areas. These areas were still sufficient to jeopardize the expected investment from the concessionaire, considering that they were the only areas capable of favoring a positive cash flow.</w:t>
      </w:r>
    </w:p>
    <w:p>
      <w:r>
        <w:t>498. The sudden change in strategy in the white areas, formally communicated to Infratel at the end of December 2016, appears primarily directed, and explicitly stated in the acquired documents325, to inhibit the continuation of the second tender procedure as well as to call into question the entire argumentative framework underlying the planned public intervention for the realization of UBB networks in the white areas. An economic analysis and administrative procedure framework to which TIM, as a dominant operator, had certainly contributed significantly. Since TIM is, in fact, the dominant operator in the white areas, it is plausible to believe that, during the public consultation of Infratel, the information on the industrial plans for the following three years provided by TIM played a decisive role in identifying the areas eligible for public intervention. Moreover, TIM initiated an investment plan, alternative in the white areas to that of the concessionaire, which also provided for the use of structurally inferior technological solutions to those required by Infratel in the tenders, even partially employing mobile coverage in LTE technology in the most expensive areas, to provide a fixed-type ultra-broadband access.</w:t>
      </w:r>
    </w:p>
    <w:p>
      <w:r>
        <w:t>324 Cf. Agcom resolution no. 623/15/CONS, titled "Identification and analysis of the markets for fixed network access services (markets no. 3a and 3b of the European Commission recommendation no. 2014/710/EU and no. 1 of recommendation no. 2007/879/EC)", of November 5, 2015.</w:t>
      </w:r>
    </w:p>
    <w:p>
      <w:r>
        <w:t>325 Among others, cf. doc. ISP110.</w:t>
      </w:r>
    </w:p>
    <w:p>
      <w:r>
        <w:rPr>
          <w:b/>
        </w:rPr>
        <w:t>[Pages 142–144]</w:t>
      </w:r>
    </w:p>
    <w:p>
      <w:r>
        <w:t>144 BULLETIN NO. 10 OF MARCH 9, 2020</w:t>
      </w:r>
    </w:p>
    <w:p>
      <w:r>
        <w:t>499. The change in strategic approach in the context of Infratel's tenders for white areas, from full and active participation in the procedures to the preparation of an autonomous coverage plan, appears primarily aimed at hindering alternative infrastructure investments and discouraging market entry by Open Fiber.</w:t>
      </w:r>
    </w:p>
    <w:p>
      <w:r>
        <w:t>500. Especially after the news, received at the end of January 2017, that the first tender was provisionally awarded to the new entrant, TIM's conduct seems to become even more aggressive. This hypothesis is confirmed by what is reported by TIM itself, not only in the numerous documents found during the inspection activities but also within the economic memorandum submitted on April 15, 2019. In this document, TIM stated that after learning, at the end of January 2017, that all lots of the first Infratel tender had been awarded to Open Fiber, it would take note of the [omissis]326. Therefore, it is undeniable that TIM decided to change its investment strategy in the white areas definitively after learning that it was not the awarded party in the context of a public tender called after a long procedural process, including an authorization procedure by the European Commission, of public intervention in light of European State aid regulations. Such conduct is undeniably attributable to an attempt to neutralize an important public investment intervention to promote the infrastructure with ultra-broadband networks in the most disadvantaged areas in terms of density economies.</w:t>
      </w:r>
    </w:p>
    <w:p>
      <w:r>
        <w:t>501. After the award of the first tender to Open Fiber, in fact, TIM extended its autonomous coverage plan in FTTC/LTE (the so-called Cassiopea project) to the entire pool of white areas, including those covered by the recently awarded tender, in a logic that does not seem plausible to consider correctly competitive. As shown above, the Cassiopea project aimed to cover only the areas within the white areas that presented greater profitability, in a cream skimming perspective, unusually attributable, however, in this case, to the dominant operator.</w:t>
      </w:r>
    </w:p>
    <w:p>
      <w:r>
        <w:t>502. On this last point, it is deemed necessary to clarify that, even if one were to share the thesis presented by TIM in its economic memorandum of April 17, 2019327, namely that such territories exhibited characteristics of natural monopoly, the territory of the white areas could not in any case be considered a market area in which the monopolist enterprise should be entirely preserved from the competitive process, from a regulatory perspective of safeguarding allocative efficiency that goes beyond the purpose of this assessment. In fact, contrary to the interpretative hypothesis contained in the aforementioned economic memorandum - according to which in the white areas, not being subject to a legal reserve (legal monopoly), TIM's conduct would not be scrutinizable from the perspective of the special responsibility of the operator in a dominant position - it must be noted that, even in a monopoly context, thanks to the tenders called by Infratel, a competitive confrontation took place for the market in which even TIM itself participated, to a certain extent.</w:t>
      </w:r>
    </w:p>
    <w:p>
      <w:r>
        <w:t>503. Competition in these territories, however, should not be considered relegated and necessarily exhausted in the competition for the market generated by Infratel's tenders. In fact, the Authority has never established an absolute prohibition for TIM to make investments in the white areas.</w:t>
      </w:r>
    </w:p>
    <w:p>
      <w:r>
        <w:t>In this context, the disruptive reformulation of the infrastructure investment plan carried out by TIM at the end of 2016 has been contested, within a design that the examined documents allow us to consider opportunistic. As noted in several documents acquired in the file and reported above, it was observed that TIM's decision to proceed with autonomous coverage of the white areas was made: a) although profitability analyses had not yielded positive results, except for a few territories and for less innovative technological solutions; b) in contrast to the indications provided by TIM itself to Infratel, a few months earlier, during the public consultation held to identify the white areas.</w:t>
      </w:r>
    </w:p>
    <w:p>
      <w:r>
        <w:t>504. On this last aspect, it is highlighted that for the purposes of this assessment, only TIM's opportunistic conduct in the context of Infratel's tenders is relevant. The investigation focused, in fact, on TIM's decision to proceed with autonomous coverage of the white areas that were the subject of Infratel's tenders, even though the profitability analyses carried out by TIM itself confirmed the absence of conditions for the economic viability of a private investment.</w:t>
      </w:r>
    </w:p>
    <w:p>
      <w:r>
        <w:t>505. Contrary to what TIM claimed in its defense memoranda, it was found that the investment plans submitted by TIM to Infratel during the public consultation in 2015/16, which covered a three-year time horizon, indicated the absence of conditions for the economic sustainability of private investments in the white areas. Furthermore, a few months later, TIM proceeded with an autonomous coverage plan for those areas while the tenders called by Infratel were ongoing, attempting to artificially assert a claimed change in the profitability conditions of investments in ultra-broadband networks in the same white areas. Therefore, the failure to comply with a three-year period of the investment plans presented during the public consultation is not contested as a prerequisite for the assessment of the infringement. On the contrary, what is relevant here is solely the fact that TIM unilaterally modified the UBB coverage plans for the areas subject to Infratel's tenders 1 and 2, with declared and incontrovertible anti-competitive purposes, as evidenced by the documentation acquired in the records.</w:t>
      </w:r>
    </w:p>
    <w:p>
      <w:r>
        <w:t>506. In this last perspective, the only one relevant in this provision, it is believed that TIM's conduct in the context of the overall procedure carried out by Infratel for the publication of tenders for the white areas is relevant under Article 102 TFEU, as it has been aimed at hindering the entry of an infrastructure competitor into the white areas, through TIM's attempt to surreptitiously demonstrate the absence of conditions to proceed with public intervention to support investments in the white areas. In this sense, the conduct under examination must be considered a primary component of the overall strategic design implemented by TIM. The modification of the coverage plans for the white areas that TIM implemented at the end of 2016, in fact, implies making investment choices that contradict the coverage plans indicated in the public consultation to Infratel, despite TIM being aware that such decisions would necessitate demonstrating the subsequent economic viability of investments characterized by negative profitability. In expressing the intention to modify its approach in the white areas, in fact, TIM questioned the need to: “clearly explain why direct investments at that time were not deemed profitable”328.</w:t>
      </w:r>
    </w:p>
    <w:p>
      <w:r>
        <w:t>507. Nevertheless, even wanting to remain within the economic context of an unsustainable natural monopoly, as outlined by TIM in its economic memorandum329, in this case, it is highlighted that the conditions for ordinary "competition between networks" are not detectable. In fact, in line with what is described in the economic literature on strategic investments, as soon as TIM learned with certainty of the imminent arrival of a new and concrete competitive threat, it decided to make an unprofitable investment in production capacity based on a suboptimal technological solution, aimed (as seen from the documents cited above) at discouraging the entry of Open Fiber, with the typical perspective of recovering in the future with a higher profitability rate, once the exclusionary design was achieved. In this sense, the alleged beneficial effects that, according to TIM, even a strategic investment would be capable of producing are not relevant.</w:t>
      </w:r>
    </w:p>
    <w:p>
      <w:r>
        <w:t>508. Although it is reiterated that in the context of this provision, the circumstance that the white areas are characterized or not by elements of natural monopoly is not relevant, it is intended to clarify that, even admitting the thesis presented by TIM regarding the existence of such natural monopoly conditions330, the modification of TIM's investment plans, made based on the expected and actual outcomes of Infratel's tenders, would present a greater degree of seriousness from a competitive perspective. In fact, in this hypothesized market context, the Cassiopea plan would certainly have an exclusionary and disruptive effect on the investments planned by Infratel, given that the sustainability (moreover, only thanks to public contribution) of a single investment in ultra-broadband networks in those areas would need to be noted.</w:t>
      </w:r>
    </w:p>
    <w:p>
      <w:r>
        <w:t>509. From the acquired documents, it also appears clear that TIM is fully aware of the risks of illegality it has decided to face. In fact, it is acknowledged that it will be necessary to explain "why those areas were deemed unprofitable at the time to decide not to cover them"331. In other passages, even risks of incurring criminal complaints for the hypothesis of auction disturbance crimes332 are even foreseen.</w:t>
      </w:r>
    </w:p>
    <w:p>
      <w:r>
        <w:t>510. In addition to the renewed investment plan, the new strategic direction followed by TIM in the white areas is accompanied by other initiatives, having the same final objectives of obstructing the conduct of the tenders and the entry of an infrastructure competitor. TIM, in fact, publicly announced in March 2017, while the tenders were ongoing, that the autonomous coverage of the white areas would be completed by 2018. Thus, it made explicit its ultimate intention to cover the areas subject to public intervention ahead of the concessionaire, albeit with technologically inferior networks compared to the standards necessary to meet the performance levels required by the tender.</w:t>
      </w:r>
    </w:p>
    <w:p>
      <w:r>
        <w:t>511. The project also included the preparation of offers inclusive of lock-in mechanisms, which would allow capturing potential customers before more performant offers on Infratel's network were activated. On this last point, it is recalled that from the minutes of TIM's Board of Directors on March 23, 2017, the then CEO responded to an observation made regarding the technological inferiority of the FTTC solution compared to the FTTH architecture.</w:t>
      </w:r>
    </w:p>
    <w:p>
      <w:r>
        <w:rPr>
          <w:b/>
        </w:rPr>
        <w:t>[Pages 145–147]</w:t>
      </w:r>
    </w:p>
    <w:p>
      <w:r>
        <w:t>BULLETIN NO. 10 OF MARCH 9, 2020 147</w:t>
      </w:r>
    </w:p>
    <w:p>
      <w:r>
        <w:t>The request from the Infratel tenders states that "the difference in speed would not actually be perceivable by an average user, who would instead appreciate the increase (in the quality of performance, editor's note) compared to what they currently have with ADSL, at a substantially unchanged price, resulting in a lock-in effect of the existing customer base"333. The pre-emption of the market as the ultimate goal of TIM's initiatives in the white areas is evident from numerous passages within the inspection documentation334.</w:t>
      </w:r>
    </w:p>
    <w:p>
      <w:r>
        <w:t>512. Since, therefore, the average consumer, as also noted by TIM in some documents acquired in the file, particularly residential, would not be able to perceive a difference in terms of service quality between FTTC access and FTTH access, as in both cases there would be a significant improvement compared to the current connections available in the white areas, essentially, TIM has adopted a program for the pre-emption of customers present in the white areas on its FTTC and LTE infrastructure, so that the concessionaire (Open Fiber) would find the market already saturated.</w:t>
      </w:r>
    </w:p>
    <w:p>
      <w:r>
        <w:t>513. The anti-competitive strategy designed for the white areas has also been reinforced by TIM's conduct regarding the legal actions taken. The inspection documentation has provided evidence supporting the thesis of the instrumental nature and the unfoundedness of some of the initiatives undertaken by TIM against the market entry of the Enel Group and against the public investment program launched for the infrastructure of the white areas. In this case, indeed, it was possible to verify that some reports and appeals submitted by TIM were considered by the same promoters as inconsistent335. Among other things, none of these initiatives appear to have had significant developments favorable to TIM. Lastly, with the ruling of the Court of Justice of July 11, 2019336, the request for a preliminary ruling raised by the Council of State on TIM's appeal regarding the interpretation of Article 28, paragraph 2, Directive 2014/24/EU on public procurement was also rejected.</w:t>
      </w:r>
    </w:p>
    <w:p>
      <w:r>
        <w:t>514. Nevertheless, the legal actions initiated by TIM have caused delays in the awards and in the signing of the agreements related to the first two tenders issued by Infratel for the white areas. From March 7, 2017, the date on which Infratel officially announces the final award of the five lots of the first tender to Open Fiber, three more months pass before the concession contract can be signed (June 16, 2017). In the meantime, in fact, in addition to appeals to administrative justice, on May 25, 2017, TIM had also sent Infratel a document containing a warning not to definitively sign the concession contract with Open Fiber in relation to the first tender.</w:t>
      </w:r>
    </w:p>
    <w:p>
      <w:r>
        <w:t xml:space="preserve">333 Cf. doc. ISP18, annex p. 4.  </w:t>
        <w:br/>
        <w:t xml:space="preserve">334 Among others, see the aforementioned doc. ISP18.  </w:t>
        <w:br/>
        <w:t>335 In its defense memorandum of September 20, 2019, TIM argued that the initiatives were not all without result, as, with Resolution No. 88/17/CIR, Agcom resolved a dispute in favor of TIM. However, it must be noted that TIM's request of September 2016, pursuant to Article 9, Legislative Decree No. 33/2016, Article 23 CCE, and Resolution No. 226/2015, reported to Agcom the alleged application by E-distribuzione S.p.A. of technical and economic conditions for access to electrical infrastructures that were not compliant with the principles of transparency, non-discrimination, fairness, and reasonableness. Clearly, therefore, the aforementioned matter is not at all relevant to the issues concerning the tender procedures issued by Infratel. In fact, in this case, unlike the other appeals and reports, TIM's initiative could not have had effects on the timing of the tenders.</w:t>
      </w:r>
    </w:p>
    <w:p>
      <w:r>
        <w:t>336 Judgment of the Court of Justice EU of July 11, 2019 (case C-697/17).</w:t>
      </w:r>
    </w:p>
    <w:p>
      <w:r>
        <w:t>148 BULLETIN NO. 10 OF MARCH 9, 2020</w:t>
      </w:r>
    </w:p>
    <w:p>
      <w:r>
        <w:t>515. Above all, the legal actions taken by TIM are capable of generating an overall climate of uncertainty that allows TIM to immediately implement about 30% of the coverage planned by the Cassiopea plan for the white areas of tenders 1 and 2 of Infratel337. Therefore, opposing unfounded litigation initiatives has left TIM with a time window of primary importance in the perspective of the exclusionary strategy. In practice, even before the first of the agreements with the successful bidder was signed, TIM had already executed 30% of the planned investments in terms of installed cabinets.</w:t>
      </w:r>
    </w:p>
    <w:p>
      <w:r>
        <w:t>516. The pricing scheme for wholesale access services that had been devised for Cassiopea also seems to include lock-in elements, with the provision of discounts for alternative operators in exchange for adherence to multi-year contracts, to the extent that TIM spoke of: [omissis]338.</w:t>
      </w:r>
    </w:p>
    <w:p>
      <w:r>
        <w:t>517. Regarding the elements that emerged during the investigation, the arguments and counterarguments provided by TI in its memoranda do not appear to affect the structure of the evidence presented by the reporters and collected during the inspection.</w:t>
      </w:r>
    </w:p>
    <w:p>
      <w:r>
        <w:t>518. The evidence collected during the inspections has provided significant support to the investigative hypotheses put forward by the Authority at the start of the procedure and for its objective extension. The behaviors exhibited by TI in the context of the Infratel tenders for the infrastructure of the white areas have proven to stem beyond any reasonable doubt from an anti-competitive design. Contrary to what TI has asserted in its memoranda on this point, indeed, the documents acquired during the inspection have confirmed that the decision to invest, first only in the areas of the second tender (December 2016) and then in all the white areas (March 2017 – Cassiopea project), is the result of the will to obstruct the ordinary conduct of the procedures, with the aim of blocking the market entry of a new infrastructure competitor and the construction of an alternative and technologically more advanced access network than TIM's copper network.</w:t>
      </w:r>
    </w:p>
    <w:p>
      <w:r>
        <w:t>519. The internal analyses conducted by TIM, in fact, had confirmed the lack of economic return on investment in the white areas with FTTH networks (the technology suitable for ensuring the download and upload performance required by the tenders) in the absence of public funding, consistent with the evaluations put forward by TIM during the public consultation regarding the same areas. Furthermore, the same analyses had highlighted the unsustainability of investment in FTTC networks, although less expensive than FTTH networks, in a significant portion of the white areas (cluster D and part of cluster C). Such profitability analysis results cannot, moreover, be surprising, considering that they concern territories characterized by low population density, admitted, indeed, to public intervention, in compliance with European regulations on state aid, at the end of a long evaluative process, and where even TIM considered it unsustainable to invest in ultra-broadband networks.</w:t>
      </w:r>
    </w:p>
    <w:p>
      <w:r>
        <w:t>520. The instrumental nature of TI's initiatives is also found in the decision to proceed with the coverage of portions of the territory even with LTE mobile networks to be used as access for fixed connections, where even the investment in FTTC networks had not proven profitable, solely for the purpose of providing any coverage that would allow for a preemptive market occupation before the construction of the concessionaire's infrastructures, in order to render public investments unsustainable.</w:t>
      </w:r>
    </w:p>
    <w:p>
      <w:r>
        <w:t>521. It is true what TI claims that the EU Communication 2013339 provides that the public authority may require entities presenting useful information for the mapping of the territory to enter into a contract that obliges them to adhere to such investment plans and that such a contract has never been requested by Infratel. However, in the procedure under examination, the discussion is not about TI's ability to freely develop its investment plans but rather the specific (instrumental) conduct exhibited by TI towards the contracting authority in the period following the announcement of the public tenders, when it was common knowledge that there would be an investment in the white areas through public intervention, with certain network performance requirements. A conduct aimed at preventing the possibility of the new entrant OF remaining in the market.</w:t>
      </w:r>
    </w:p>
    <w:p>
      <w:r>
        <w:t>522. The autonomous coverage plan for the white areas, after being announced, appears to have had a rapid implementation, which was then interrupted following the initiation of procedure A514 by the Authority (July 2017). In fact, according to the data provided by TIM, by July 2018, [1,000-10,000] cabinets340 had been installed, which TIM qualifies as "passed," meaning essentially ready for the initiation of the preparatory phases for the commercialization of services as the passive component of the infrastructure had already been completed.</w:t>
      </w:r>
    </w:p>
    <w:p>
      <w:r>
        <w:t>523. In the areas covered by passed cabinets, TIM autonomously decided, as a precautionary measure, after the initiation of the procedure, to block the investments announced within the Cassiopea project. In addition to the passed cabinets, in fact, TI declared that it had halted the installation of [10,000-30,000] additional cabinets, which it classified as frozen341. These are cabinets for which work had not even begun by the date of the initiation of the procedure, even in the presence of administrative permits already obtained from the competent local authorities.</w:t>
      </w:r>
    </w:p>
    <w:p>
      <w:r>
        <w:t>524. In just a few months, therefore, from March 23, 2017 (TIM press release announcing the Cassiopea plan) to July 2017 (notification of the initiation of the Authority's procedure), TIM had already achieved about 30% of the autonomous coverage planned in the white areas of tenders 1 and 2 of Infratel in terms of cabinets.</w:t>
      </w:r>
    </w:p>
    <w:p>
      <w:r>
        <w:t>525. The standstill adopted by TIM regarding the Cassiopea plan announced in March 2017 was then included, in different forms, in the two commitment proposals submitted pursuant to Article 14-ter of Law No. 287/1990. At the same time, however, TIM informed the municipalities that in the meantime had been covered with FTTC network in the white areas, that it was unable, due to the ongoing investigation at the Authority, to activate the services. In this regard, it suffices to consider that reports have been received by the Authority from the municipalities of Invorio, Antrodoco, Ispani, and Fombio, included in the white areas subject to the Infratel tenders, in which they requested clarification regarding TIM's thesis, according to which investments in ultra-broadband networks in such territories would not be activatable due to the ongoing procedure.</w:t>
      </w:r>
    </w:p>
    <w:p>
      <w:r>
        <w:t xml:space="preserve">339 Communication from the Commission containing Guidelines of the European Union for the application of state aid rules in relation to the rapid development of broadband networks (2013/C 25/01).  </w:t>
        <w:br/>
        <w:t xml:space="preserve">340 Cf. doc. 183.  </w:t>
        <w:br/>
        <w:t>341 Cf. doc. 183.</w:t>
      </w:r>
    </w:p>
    <w:p>
      <w:r>
        <w:rPr>
          <w:b/>
        </w:rPr>
        <w:t>[Pages 148–150]</w:t>
      </w:r>
    </w:p>
    <w:p>
      <w:r>
        <w:t>150 BULLETIN NO. 10 OF MARCH 9, 2020</w:t>
      </w:r>
    </w:p>
    <w:p>
      <w:r>
        <w:t>526. In particular, on October 5, 2018, a report was received from the Municipality of Invorio (NO). On this occasion, the mayor reported that "in December 2017 Telecom Italia completed the positioning of the new fiber optic network in the territory of the Municipality"342. TIM would therefore have completed the work but "never activated the service." TIM, in a letter to the Municipality of Invorio dated October 2, 2018, justified itself by stating that "the fiber optic coverage programs are currently under verification" due to the pending A514 procedure.</w:t>
      </w:r>
    </w:p>
    <w:p>
      <w:r>
        <w:t>527. Regarding this aspect, it is important to reiterate that there has never been any question, in the context of this proceeding, of an alleged prohibition for TIM to make investments in areas that had been the subject of public intervention by Infratel. The Authority has rather intended to contest the strategic and opportunistic conduct adopted by TIM within the tender procedures, certainly implemented also with strategic investments, with the unexpected change of coverage plan communicated to Infratel during ongoing tenders. As demonstrated by the documentation collected as reported above, TIM's autonomous coverage plan in the areas of Infratel's tenders 1 and 2 was adopted solely with an instrumental intent, aimed at surreptitiously inducing the interruption of the tender procedures by falsely demonstrating that the areas involved were not, in fact, characterized by sufficient market failure conditions to justify an investment funded by public funds.</w:t>
      </w:r>
    </w:p>
    <w:p>
      <w:r>
        <w:t>528. The unexpected change in TIM's strategic approach in areas that until that moment it had identified as needing public intervention for the development of ultra-broadband coverage rendered the ex post assumption of a standstill decision regarding the same new plan completely ineffective, at least for a reasonable time. Once the communication was made to Infratel and, even more so, after announcing it to the market, the restriction on the competitive process for the market, which Infratel had set up for the white areas, cannot be considered remediable by measures of (temporary) investment blocking. In this sense, therefore, the opposite thesis put forward by TIM to some municipalities covered by FTTC network during the proceeding, according to which the impossibility of proceeding with the activation of services would be attributable to the opening of the proceeding in question, must be rejected. In fact, given the investigative findings reported on the matter, it was a matter of investments made solely for the purpose of hindering the development of infrastructure competition and, only as such, subject to contestation by the Authority. Moreover, also for these reasons, the Authority had rejected the proposal for commitments presented by TIM, with resolution of November 20, 2018.</w:t>
      </w:r>
    </w:p>
    <w:p>
      <w:r>
        <w:t>529. Furthermore, it should be highlighted that TIM's strategy in the areas affected by the first two Infratel tenders has produced anti-competitive effects. To this end, it is noted that, also due to the aggressive conduct of TI, the concession to OF related to the first tender was signed only on June 16, 2017, despite the provisional award dating back to January 2017. In fact, as we have seen, in addition to the announcement of the new autonomous coverage plan, TI had regularly challenged all acts of the contracting authority, often including requests for precautionary protection and, on May 25, 2017, had sent an act containing the warning not to definitively sign the concession contract with Open Fiber in relation to the first tender.</w:t>
      </w:r>
    </w:p>
    <w:p>
      <w:r>
        <w:t>530. Therefore, one must not overlook the circumstance that, alongside the instrumental change of the investment plan in the white areas of Infratel's tenders 1 and 2, TIM undertook a series of legal initiatives that contested all possible aspects of the tender procedures, generating a heavily uncertain scenario regarding the concrete possibilities of completing the tender processes, from which the reports from Infratel to the Authority in 2017 arose. Appeals to the administrative judiciary and reports to the Commission (and to the Authority), as demonstrated by the evidence collected, must be considered primarily aimed at creating obstacles to the conduct of the tenders, having been expressly conceived within the [omissis]343 indicated as a strategic line following OF's entry into the market.</w:t>
      </w:r>
    </w:p>
    <w:p>
      <w:r>
        <w:t>531. In the absence of the Authority's intervention, the prolongation of TIM's obstructive action alongside the progression of the coverage provided for by the Cassiopea plan would have led, within a few months, to the possible failure of the intervention to support the development of ultra-broadband networks in the white areas. In these territories, TIM would have implemented a less efficient network and the outcomes of the competitive confrontation for the market formed in the context of Infratel's tenders would have been completely evaded.</w:t>
      </w:r>
    </w:p>
    <w:p>
      <w:r>
        <w:t>532. The instrumentality of TIM's overall strategic approach in the context of Infratel's tenders, as configured in the aftermath of the announced entry of Open Fiber into the market, can also be inferred from TIM's attitude towards the contracting authority, with repeated requests to update the mapping of the white areas during 2016, always justified by an alleged change in the competitive and infrastructural scenario. A continuous change in competitive conditions that, if understood in this way, would never have allowed, in practice, to define a map of the white areas and would never have led to an intervention to ensure the ultra-broadband infrastructure of such territories, with the resulting consequences in terms of lack of technological innovation and inability to achieve the objectives of the European Digital Agenda.</w:t>
      </w:r>
    </w:p>
    <w:p>
      <w:r>
        <w:t>533. The legal strategy is explicitly inserted into what representatives of TIM itself qualify as "corporate protection scenario vs the EOF initiative"344. For example, regarding the merits of the appeal for the annulment of resolution no. 120/16/CONS of Agcom, it is stated that "TI's defensive initiative would have a significant official impact on the timing and methods of implementation of the widely announced government initiatives for the development of ultra-broadband in the national territory"345, obviously with the intent of delaying them. Moreover, in a ruling that rejected one of TIM's appeals against certain aspects of the Infratel tender, the administrative judge stated that "The appeal and the additional grounds, directed against the Guidelines, the tender, the clarifications, the invitation letter, and the opinions on the last three acts mentioned, are overall inadmissible, due to lack of interest and concrete and current injury, as correctly deduced by Wind Tre spa, Infratel Italia spa, OpEn Fiber spa, AGCom, and Vodafone Italia spa"346.</w:t>
      </w:r>
    </w:p>
    <w:p>
      <w:r>
        <w:t>534. It can be stated that the conducts of regulatory gaming and sham litigation have been effectively combined by TIM as two productive factors, the output of which has consisted of a degree of restrictiveness of competition greater than the simple sum of the effects of the two conducts. Both have generated a level of uncertainty in the tender procedures that has seriously jeopardized investment in ultra-broadband networks in the white areas. If in just three months (March-June 2017) TIM achieved 30% of the coverage provided for by the Cassiopea project, in the absence of the Authority's intervention, the entire coverage plan, following the same execution speed, would have been completed by the end of 2017.</w:t>
      </w:r>
    </w:p>
    <w:p>
      <w:r>
        <w:t>ii. Pre-emption of contestable customers by OF</w:t>
      </w:r>
    </w:p>
    <w:p>
      <w:r>
        <w:t>535. The commercial maneuver that TI developed between the end of 2016 and the beginning of 2017, which favors an overall reconfiguration of the wholesale offer, can be framed as the second "wholesale arm" of TIM's anti-competitive strategy. On one hand, in fact, as seen, it is believed that TIM's conduct in the context of Infratel's tenders aimed to trigger the failure of the procedures themselves, preventing OF from entering that section of the market dominated by TIM. On the other hand, in the remaining part of the market, in non-white areas, TIM has pushed to completely reformulate the wholesale offer regarding FTTC and FTTH wholesale access services, particularly by making a significant reduction in VULA FTTH prices and introducing a new version of the Easy Fiber offer, including lock-in elements and significantly lower prices.</w:t>
      </w:r>
    </w:p>
    <w:p>
      <w:r>
        <w:t>536. In this regard, it is recalled that the new entrant operator OF has chosen a business model exclusively based on the provision of wholesale access services, with an investment plan that foresees the construction of an FTTH fiber optic access network. Therefore, FTTH access services, for which TI has launched a downward price maneuver, constitute the core of OF's commercial proposal. TIM, on the other hand, has invested in territory coverage with hybrid FTTC networks, considering this NGA network architecture sufficient to meet the connection needs expressed by the final clientele. TIM is also active in the retail services market as a vertically integrated operator.</w:t>
      </w:r>
    </w:p>
    <w:p>
      <w:r>
        <w:t>537. The evidence in the case file allows us to argue that between the end of 2016 and the beginning of 2017, TIM modified its infrastructural strategy, beginning to shift the focus from FTTC to FTTH. If, on one hand, this change of course is partly explainable by the observation that the competitive threat posed by OF began to become credible, on the other hand, it must be noted that the shift towards FTTH of the wholesale infrastructural and commercial strategy has exceeded the scope of a physiological and justified competitive reaction by TIM, integrating the typical elements of an abusive exclusionary conduct, adopted to the detriment of OF and other current and potential competitors of TIM in network services.</w:t>
      </w:r>
    </w:p>
    <w:p>
      <w:r>
        <w:t>538. TIM would have intended to adopt the new FTTH wholesale prices selectively, only in the areas where OF's access network is also present, but, under the regime of current regulatory obligations347, TIM did not have the possibility to differentiate the prices of regulated access services on a territorial basis. From the documentation acquired during the inspection, it appears that the opening towards forms of alleviation of this obligation of uniform prices on a national scale constituted one of the requests that TIM would have attributed the most importance to within the corporate position addressed to Agcom during the proceeding on the renewal of the analysis of access markets.</w:t>
      </w:r>
    </w:p>
    <w:p>
      <w:r>
        <w:t>347 Cf. Agcom Resolution no. 623/15/CONS of November 5, 2015.</w:t>
      </w:r>
    </w:p>
    <w:p>
      <w:r>
        <w:rPr>
          <w:b/>
        </w:rPr>
        <w:t>[Pages 151–153]</w:t>
      </w:r>
    </w:p>
    <w:p>
      <w:r>
        <w:t>BULLETIN NO. 10 OF MARCH 9, 2020 153</w:t>
      </w:r>
    </w:p>
    <w:p>
      <w:r>
        <w:t>539. Nevertheless, TIM appears aware that the geographical differentiation of wholesale prices could expose the company to concrete risks of investigative proceedings by Agcom (for the possible violation of current regulatory obligations) and the Authority (pre-emption of contestable customers by OF)348.</w:t>
      </w:r>
    </w:p>
    <w:p>
      <w:r>
        <w:t>540. In any case, to make the new wholesale commercial proposal compliant with the current regulatory constraints in terms of average access cost while remaining within the framework of homogeneous prices on a national scale, two new FTTH service profiles were submitted to Agcom on February 28, 2017.</w:t>
      </w:r>
    </w:p>
    <w:p>
      <w:r>
        <w:t>Download speed Upload speed Price/month</w:t>
        <w:br/>
        <w:t>FTTH 1000/100 1000 Mbps 100 Mbps €15.04</w:t>
        <w:br/>
        <w:t>FTTH 1000/500 1000 Mbps 500 Mbps €67.66</w:t>
      </w:r>
    </w:p>
    <w:p>
      <w:r>
        <w:t>541. These profiles replaced the existing ones. The 1000/500 profile presents a very high upload connection speed (500 Mbps) which, at most, meets the needs of a clientele with an extremely specific bandwidth requirement.</w:t>
      </w:r>
    </w:p>
    <w:p>
      <w:r>
        <w:t>542. In order to formally comply with the current average cost of VULA FTTH (€23.28 per month), the penetration rate of the 1000/500 profile had to be equal to 16% of the total VULA FTTH connections. An absolutely overestimated estimate, as evidenced by the documentation acquired in the case file and reported above. For example, from the documentation acquired during the inspection, it appears that some representatives of TIM claim that "Reasonably, 90/95% of activations will be on the low profile, so the price of that profile would be just below the average"349 and, therefore, not replicable by OF and by other equally efficient operators.</w:t>
      </w:r>
    </w:p>
    <w:p>
      <w:r>
        <w:t>543. Initially, it appears that TIM presented to Agcom the new FTTH prices estimating a penetration rate of the more expensive service equal to 3%350. However, this take-up estimate was based on an average cost level of providing the VULA FTTH service calculated with exclusive reference to the first thirty Italian cities, and was indeed equal to €[10–30], which is a lower level compared to the regulatory cost mix currently in force for access in VULA FTTH, correctly determined by Agcom with reference to the entire national territory. In this sense, the 3% take-up estimate, which at first glance might seem fully coherent from an economic standpoint, should be considered instrumental as it is based on an average cost of providing VULA FTTH specifically related to areas where costs are naturally lower than the national average (urban areas).</w:t>
      </w:r>
    </w:p>
    <w:p>
      <w:r>
        <w:t>348 "A geographical differentiation of the promotion, based on objective criteria such as the level of penetration/coverage expected/achieved, entails additional risks both from a regulatory and an antitrust perspective. From a regulatory standpoint, it may lead to a request for the extension of the promotion to all geographical areas (based on the assumption that the unit cost is substantially aligned in all cities). From an antitrust perspective, there is a greater risk that selective behavior may be deemed abusive." Cf. doc. ISP512, annex p. 8 and ISP585, annex p. 7.</w:t>
      </w:r>
    </w:p>
    <w:p>
      <w:r>
        <w:t>349 Cf. ISP512, annex p. 8.</w:t>
      </w:r>
    </w:p>
    <w:p>
      <w:r>
        <w:t>350 Cf. doc. 449, TIM's defense memorandum.</w:t>
      </w:r>
    </w:p>
    <w:p>
      <w:r>
        <w:t>154 BULLETIN NO. 10 OF MARCH 9, 2020</w:t>
      </w:r>
    </w:p>
    <w:p>
      <w:r>
        <w:t>544. With resolution 105/17/CONS351, Agcom had put to public consultation, among other things, the new service profiles for VULA FTTH mentioned above, noting, based on the data available at the time, that the new prices would be compatible with the level of the current average cost of provision if the 1000/500 profile had a take-up of 16%. Following the public consultation and the further data collected, with resolution no. 87/18/CIR, Agcom rejected the new prices, establishing, based on the analyses carried out on the actual consumption data, that the demand actually attributable to the 1000/500 profile was at most 10% of the VULA FTTH lines. In this way, Agcom concluded that the monthly fee for the VULA FTTH 1,000/100 profile should be equal to €17.25/month (compared to €15.04/month proposed by TIM) and for the VULA FTTH 1,000/500 Mbps profile equal to €77.57/month (compared to €67.66/month proposed by TIM).</w:t>
      </w:r>
    </w:p>
    <w:p>
      <w:r>
        <w:t>545. Therefore, the prices proposed by TIM and marketed during the public consultation procedure of Agcom were below the average costs of provision for the VULA FTTH service, unless unrealistic assumptions were made regarding the expected take-up value of the 1000/500 profile. If TIM had intended to at least meet the threshold of covering the average cost of providing the service, it would have had to significantly raise the price of the 1000/500 profile so that the price of the 1000/100 profile could continue to be proposed at €15.04; otherwise, the wholesale demand mix for FTTH services would no longer have been suitable to ensure compliance with the coverage of the average cost of access to the FTTH network as established and approved by Agcom in 2015.</w:t>
      </w:r>
    </w:p>
    <w:p>
      <w:r>
        <w:t>546. The proposal of a price for the VULA FTTH service, with the 1000/100 profile, at €15.04, even in the scenario favorable to TIM of an estimated take-up of demand equal to 10% of the total demand for the alternative 1000/500 profile, would indeed have required setting a price of at least €97 for the 1000/500 profile in order to comply with the cost constraint of the network defined by Agcom (€23.28)352, that is, a price even more implausible from the standpoint of the actual marketability of the proposal. Therefore, even considering a plausible take-up of 10%, TIM would have had to increase the price of the 1000/500 profile by approximately 44% compared to the proposed price (€97 versus €67). The numbers also clearly indicate that the service profile 1000/500 was designed in order to benefit from a cross-subsidy with the offer of real economic interest (service profile 1000/100), "financing" the economic sustainability of the price of €15.04 and its compatibility with the cost thresholds identified by the regulator.</w:t>
      </w:r>
    </w:p>
    <w:p>
      <w:r>
        <w:t>547. In practice, the new service profiles for VULA FTTH hypothesized for the pricing maneuver at the beginning of 2017, which foresee an increase to 100 Mbps of minimum upload data transmission speed, appear aimed at pursuing a dual purpose:</w:t>
        <w:br/>
        <w:t>a. hindering the spread of alternative offers from Open Fiber, imposing a downward leveling, below the respective costs, of the prices of VULA FTTH services with the aim of pre-empting contestable wholesale customers;</w:t>
        <w:br/>
        <w:t>b. obtaining benefits in terms of reduced strength of the replicability constraint on the prices of retail offers to the final clientele.</w:t>
      </w:r>
    </w:p>
    <w:p>
      <w:r>
        <w:t>351 Resolution Agcom no. 105/17/CONS of August 1, 2017, concerning "Initiation of the procedure regarding the approval of the reference offers of Telecom Italia for bitstream services on copper network and for NGA bitstream services, VULA service and related ancillary services, for the year 2017."</w:t>
      </w:r>
    </w:p>
    <w:p>
      <w:r>
        <w:t>352 Elaborations based on data from Agcom resolution 87/18/CIR of May 28, 2018.</w:t>
      </w:r>
    </w:p>
    <w:p>
      <w:r>
        <w:t>BULLETIN NO. 10 OF MARCH 9, 2020 155</w:t>
      </w:r>
    </w:p>
    <w:p>
      <w:r>
        <w:t>548. The reduction of prices and the modification of the service profiles of VULA FTTH aimed to devalue the worth of access services on the FTTH network, essentially equating the price of such services to those of VULA FTTC services, with the perspective of pre-empting wholesale customers that would restrict the pool of contestable demand from Open Fiber and generate downward pressure on prices and margins of OF.</w:t>
      </w:r>
    </w:p>
    <w:p>
      <w:r>
        <w:t>549. It must be noted that, in the absence of the constraint represented by the obligation to cover costs as defined at the regulatory level, the wholesale price reduction that TIM would have implemented would have been even more pronounced, as there would have been no need to configure a high-priced offer profile merely serving as a price stabilizer for the average price.</w:t>
      </w:r>
    </w:p>
    <w:p>
      <w:r>
        <w:t>550. In fact, it should be highlighted that the simulation analyses carried out by TIM prior to the presentation to Agcom of the new VULA FTTH service profiles were aimed at preparing a service profile that, thanks to technical conditions related to guaranteed performances oversized compared to the needs of the generality of customers, would manage to mask a severely downward pricing maneuver, and in particular below the level of provision costs, on the profile of real commercial interest, at €15.04.</w:t>
      </w:r>
    </w:p>
    <w:p>
      <w:r>
        <w:t>551. The 1000/100 profile, in fact, is the only one of real commercial interest, both for TIM and for OF. The reduction of the price of this service, until it is substantially equated with the price of the technologically inferior VULA FTTC service, aimed to undermine the competitiveness of OF's VULA service offer, which is based precisely on the FTTH network. In fact, the new price of €15.04 for VULA FTTH was lower than the price of OF's similar offer, which was approximately €16 per month per active line. The equivalence between the prices of VULA FTTC and FTTH is not economically sustainable, considering that the average monthly cost of a connection on the FTTH network is approximately 63% higher353.</w:t>
      </w:r>
    </w:p>
    <w:p>
      <w:r>
        <w:t>552. Since the estimate of a 16% take-up appeared implausible, Agcom, with resolution 87/18/CIR of June 28, 2018, rejected the prices proposed by TIM, establishing, based on the analyses carried out on the actual data, that the demand actually attributable to the 1000/500 profile is equal to 10% of the VULA FTTH lines. However, it should be noted that, during the approval of the aforementioned Agcom resolution no. 87/18/CIR, and precisely from the last quarter of 2017 until June 2018, TIM marketed VULA FTTH service offers that were not suitable to cover the costs of the network. These offers, in fact, were designed to hinder the competitiveness of the alternative wholesale offer from Open Fiber.</w:t>
      </w:r>
    </w:p>
    <w:p>
      <w:r>
        <w:t>553. Moreover, the documents in which TIM representatives express concerns about the economic rationality of such a wholesale strategy change are numerous. The reduction of VULA FTTH prices, in fact, among other things, would produce a net decrease in revenues projected by the industrial plan: "a negative impact over the Wholesale Plan period of approximately [-10 million - -30 million] has been estimated. This assessment takes into account the lower FTTH revenues resulting from the hypothesized price delta, only partially offset by the positive volume effect for the corresponding increase in demand"354. Furthermore, the equivalence between FTTH and FTTC prices could provoke phenomena of revenue cannibalization in the wholesale market, as customers would be induced to choose a service that is less costly.</w:t>
      </w:r>
    </w:p>
    <w:p>
      <w:r>
        <w:rPr>
          <w:b/>
        </w:rPr>
        <w:t>[Pages 154–156]</w:t>
      </w:r>
    </w:p>
    <w:p>
      <w:r>
        <w:t>156 BULLETIN NO. 10 OF MARCH 9, 2020</w:t>
      </w:r>
    </w:p>
    <w:p>
      <w:r>
        <w:t>553. The introduction of FTTH offers exacerbates the risk of cannibalization among offers as it "diminishes" differentiating elements such as the Minimum Guaranteed Bandwidth and upload speed; I would say this creates a risk that I fear requires an effort on your part to estimate... or a rationale to say that the risk is zero or very small”355.</w:t>
      </w:r>
    </w:p>
    <w:p>
      <w:r>
        <w:t>554. Despite a decrease in VULA FTTH prices being so significant that it could generate negative net returns even for TIM's own revenues, the new FTTH service and pricing profiles have been in effect since at least the last quarter of 2017.</w:t>
      </w:r>
    </w:p>
    <w:p>
      <w:r>
        <w:t>555. The defense proposed by TIM, according to which the material effects of this tariff restructuring would have been practically null, must also be rejected, as TIM would have sold only a few hundred lines before the prices were rejected by Agcom. On one hand, indeed, the number of lines sold could only have been few, considering the relatively short duration of the prices in question and the limited spread of TIM's FTTH offers. On the other hand, this reinforces the instrumental nature of the tariff maneuver in question, as it is demonstrated that it was not supported by economic rationality but aimed at triggering downward pressure on OF's prices and margins and artificially equating the perceived economic value of wholesale offers on FTTC and FTTH networks.</w:t>
      </w:r>
    </w:p>
    <w:p>
      <w:r>
        <w:t>556. In addition to "an aggressive strategy in the fiber market [...] aimed at depriving competitors of scale, putting their sustainability at risk in the medium/long term"356, the restructuring of TIM's FTTH wholesale offer constitutes an opportunity to explore further undue advantages. In the face of new retail commercial offers from competing operators for ultra-broadband services, TIM evaluates possible reductions in wholesale prices for related upstream services. This hypothesis appears to be supported by the Regulatory Affairs Directorate, which states that "There is an urgent need for further investigation to understand in particular the difference in SLU, VULA services, etc... that may affect replicability. The hypothesis is that alignment with commercial prices could give us interesting benefits in terms of replicability”357. Among the objectives of the repricing of wholesale prices, therefore, there seems to be the attainment of greater downward flexibility in the prices of retail fiber optic offers.</w:t>
      </w:r>
    </w:p>
    <w:p>
      <w:r>
        <w:t>557. The downward price maneuver for FTTH services is carried out despite TIM's awareness of the various risks associated with it. Firstly, as seen, TIM is aware of the risks of antitrust and regulatory illegality. Additionally, there are risks of revenue loss compared to the developed wholesale plan, also valued in the internal analyses, and of diminishing the greater value of the FTTH offer compared to FTTC services. These last two risks, of a commercial nature, make TIM's downward maneuver an economically inefficient choice, understandable only by the desire to restrict the pool of potential residual demand contestable by the new wholesale competitor.</w:t>
      </w:r>
    </w:p>
    <w:p>
      <w:r>
        <w:t>558. The reform of the VULA FTTH service profiles represented only one of the components of the overall repricing maneuver of the wholesale access service that TIM implemented at the beginning of 2017, which also involved the renewed proposal of the binding Easy Fiber offer.</w:t>
      </w:r>
    </w:p>
    <w:p>
      <w:r>
        <w:t>559. In April 2017, TIM prepared a document that reports the characteristic elements of the new Easy Fiber offer, which was then officially communicated to Agcom on April 27, 2017. As we have seen in the investigative findings, the new Easy Fiber provides for a monthly fee and a one-time entry cost for the subscribing operator, based on the number of accesses per plan and their distribution over the years. The unit fees are structured into four discount tiers, depending on the number of NGA lines that the wholesale customer operator commits to activate on TIM's network. Furthermore, the formula presents, for each tier, a specific price applicable to FTTC accesses of any speed, and another applicable to asymmetric FTTH accesses. There are no FTTC/FTTH mix limits for accesses per plan.</w:t>
      </w:r>
    </w:p>
    <w:p>
      <w:r>
        <w:t>Table 14. Easy Fiber Offer Plan</w:t>
        <w:br/>
        <w:t>Minimum quantities for FTTCab FTTH access to discount</w:t>
        <w:br/>
        <w:t>Unit fee Easy Unit fee Easy Fee</w:t>
        <w:br/>
        <w:t>Option agreement to agreement to</w:t>
        <w:br/>
        <w:t>Fiber equivalent Fiber equivalent</w:t>
        <w:br/>
        <w:t>5 years 7 years</w:t>
        <w:br/>
        <w:t>(net of UT) (net of UT)</w:t>
        <w:br/>
        <w:t>Premium &lt; 500,000 &lt;700,000 12.20 14.20 12.70 14.70</w:t>
        <w:br/>
        <w:t>Gold 500,000 700,000 11.95 13.95 12.45 14.45</w:t>
        <w:br/>
        <w:t>Platinum 750,000 1,000,000 11.70 13.70 12.20 14.20</w:t>
        <w:br/>
        <w:t>Diamond 1,000,000 1,500,000 11.45 13.45 11.95 13.95</w:t>
        <w:br/>
        <w:t>See ISP508, annex page 3.</w:t>
      </w:r>
    </w:p>
    <w:p>
      <w:r>
        <w:t>560. The restructuring of the Easy Fiber offer, therefore, is practically simultaneous with the reformulation of the VULA FTTH offer profiles. It is the new Easy Fiber, in fact, that must be considered as the effective tool of competitive pressure against Open Fiber. The wholesale offer in question had already been marketed, with different characteristics, in previous years, conceived before the entry into the market of a competing operator with national scale infrastructure. In practice, by binding the wholesale customer with an incentivizing mechanism consisting of a two-part intertemporal rate, Easy Fiber aimed to indirectly achieve a form of co-participation in investments in ultra-broadband networks by alternative operators, according to a logic of allocative efficiency.</w:t>
      </w:r>
    </w:p>
    <w:p>
      <w:r>
        <w:t>561. Furthermore, the new Easy Fiber formula would allow the customer operator to benefit from an additional discount, which depended on the percentage incidence of the accesses that the customer operator committed to bring within the Easy Fiber contract compared to the total number of its access lines held at the time of signing the agreement. The offer provided, in particular, the following three discount tiers.</w:t>
      </w:r>
    </w:p>
    <w:p>
      <w:r>
        <w:t>158 BULLETIN NO. 10 OF MARCH 9, 2020</w:t>
      </w:r>
    </w:p>
    <w:p>
      <w:r>
        <w:t>Table 15. Easy Fiber Offer Discounts</w:t>
        <w:br/>
        <w:t>Source: Resolution No. 87/18/CIR of Agcom.</w:t>
      </w:r>
    </w:p>
    <w:p>
      <w:r>
        <w:t>562. In the new competitive context that is slowly establishing itself following the entry of OF into the market, the competitive pressure resulting from OF's fiber optic investment plan, in general, appears more than sufficient as an incentive mechanism for TIM to engage in the development of new networks and in infrastructure investments. The provision of a wholesale offer according to the characteristics of the Easy Fiber proposal, therefore, which allows a contractual binding of an operator to TIM's wholesale offer for up to seven years, significantly reducing the breadth of the contestable customer base for OF, must be considered strongly anti-competitive, unless there is a strong reform of the elements most suitable for generating forms of lock-in of the wholesale customer.</w:t>
      </w:r>
    </w:p>
    <w:p>
      <w:r>
        <w:t>563. The introduction of such a conceived offer must be considered of absolute gravity, both in light of the findings reported above that have shown its genesis attributable entirely to a predatory and exclusionary intent, and by virtue of the fact that TIM is a dominant operator also in the retail services market, where it absorbs almost half of the demand. In such a context, the contestable demand from a competing operator in the wholesale market is already structurally and significantly reduced. Therefore, TIM, as a dominant operator, cannot introduce into the market an offer intended to generate a lock-in of an additional substantial share of the contestable residual wholesale customer base.</w:t>
      </w:r>
    </w:p>
    <w:p>
      <w:r>
        <w:t>564. On the other hand, compared to 2013-14 when the first version of Easy Fiber was marketed, at the time of proposing the new offer, in 2017, TIM's coverage of the territory with FTTC networks was already largely completed; according to available data, as of December 31, 2017, 86% of real estate units were covered by an NGA access that, in Italy, is almost exclusively attributable to TIM's FTTC network358. Therefore, even the original function of incentivizing investments of the Easy Fiber offer should already be considered historically exhausted.</w:t>
      </w:r>
    </w:p>
    <w:p>
      <w:r>
        <w:t>565. Finally, it should be noted that with resolution 87/18/CIR of May 28, 2018, Agcom did not approve the Easy Fiber offer as modified by TIM at the beginning of 2017 and communicated to the regulator on April 27, 2017. On that occasion, the regulator clarified "that it is favorable to such instruments, only where they do not constitute anti-competitive discrimination – to be understood with reference both to vertically integrated operators and to non-vertically integrated operators active only at the retail level or only at the wholesale level – but rather a way to reduce unit costs and for</w:t>
      </w:r>
    </w:p>
    <w:p>
      <w:r>
        <w:rPr>
          <w:b/>
        </w:rPr>
        <w:t>[Pages 157–159]</w:t>
      </w:r>
    </w:p>
    <w:p>
      <w:r>
        <w:t>BULLETIN NO. 10 OF MARCH 9, 2020 159</w:t>
      </w:r>
    </w:p>
    <w:p>
      <w:r>
        <w:t>to share investment risks with the result of increasing, for operators, the incentives for the rollout of optical fiber as well as to favor the migration process from legacy copper services to ultra-broadband services without depressing the incentives for competition and investments by a "wholesale only" operator359. Also for the regulator, "The contractual constraint proposed by TIM appears, therefore, decidedly critical, from an anti-competitive perspective, even for FTTC offers"360.</w:t>
      </w:r>
    </w:p>
    <w:p>
      <w:r>
        <w:t>The competitive effects of the new wholesale offer</w:t>
      </w:r>
    </w:p>
    <w:p>
      <w:r>
        <w:t>566. Also with regard to the Easy Fiber offer, TIM has argued that no restrictive effects on competition were produced, as during its validity period, prior to rejection by Agcom, only a few contracts had been signed with small operators that, in any case, TIM would have subsequently terminated following the withdrawal of the offer from the market. However, it is noted that the conduct of a company in a dominant position can constitute a violation of competition protection regulations even if it presents exclusively a potential anti-competitive nature. In the case of TIM's new wholesale rates, which were nonetheless on the market for almost a year, from October 2017 to August 2018361, it is represented that, beyond the intent, they fully had the capacity to produce exclusionary effects.</w:t>
      </w:r>
    </w:p>
    <w:p>
      <w:r>
        <w:t>567. The Easy Fiber offer, in TIM's intentions, aimed to ensure a massive migration to TIM's FTTC network of the customer base of the first three alternative operators (FW, VD, and WT), thanks to price discounts and lock-in mechanisms. In this way, TIM sought to reduce the pool of demand contestable by Open Fiber. As is known, the offer in question was not approved by Agcom, which, with resolution 87/18/CIR of May 28, 2018, rejected it.</w:t>
      </w:r>
    </w:p>
    <w:p>
      <w:r>
        <w:t>568. In order to obtain a measure of the potential effects of the market introduction of this wholesale offer, a simulation exercise was carried out, based on some initial assumptions:</w:t>
        <w:br/>
        <w:t>a. As of January 1, 2018, the main alternative operators (Fastweb, Vodafone, and Wind) subscribe to the Easy Fiber offer;</w:t>
        <w:br/>
        <w:t>b. From December 31, 2017, until the end of the forecast analysis period (December 31, 2024), TIM retains the same share of active ultra-broadband lines (46.9%);</w:t>
        <w:br/>
        <w:t>c. The operators that join Easy Fiber activate the lines provided for in the plan according to a uniform distribution over time;</w:t>
        <w:br/>
        <w:t>d. The total active ultra-broadband lines in the market during the period 2018-2024 grow, on an annual basis, by 9.3% (one-tenth of the growth rate for the period December 2016 – December 2017);</w:t>
        <w:br/>
        <w:t>e. Assumptions are considered for reaching the number of activated lines compared to the symmetric planned lines for the three operators;</w:t>
        <w:br/>
        <w:t>f. The three operators that join Easy Fiber choose the same discount plan;</w:t>
        <w:br/>
        <w:t>g. The active lines of TIM use TIM's network at the wholesale level.</w:t>
      </w:r>
    </w:p>
    <w:p>
      <w:r>
        <w:t>359 See Agcom resolution no. 87/18/CIR of June 28, 2018.</w:t>
        <w:br/>
        <w:t>360 See Agcom resolution no. 87/18/CIR of June 28, 2018.</w:t>
        <w:br/>
        <w:t>361 In August 2018, Agcom resolution no. 87/18/CRI was published, which ordered the rejection of such new wholesale offers.</w:t>
      </w:r>
    </w:p>
    <w:p>
      <w:r>
        <w:t>160 BULLETIN NO. 10 OF MARCH 9, 2020</w:t>
      </w:r>
    </w:p>
    <w:p>
      <w:r>
        <w:t>569. Hypothesis (f) allows estimating a measure of the strength of pre-emption and contractual lock-in even starting from the most prudent scenario: the three operators choose the "Gold" option362 and manage to activate only the minimum quantities provided in the plan to obtain the discount.</w:t>
      </w:r>
    </w:p>
    <w:p>
      <w:r>
        <w:t>570. By summing the Easy Fiber lines activated by alternative operators and the active lines of TIM, the percentage of "captive" ultra-broadband lines was estimated, i.e., those that cannot be contested by Open Fiber or another competing wholesale operator of TIM. In this case, the following situation is verified.</w:t>
      </w:r>
    </w:p>
    <w:p>
      <w:r>
        <w:t>Table 16. Market fill rates with Easy Fiber - case 1</w:t>
        <w:br/>
        <w:t>% captive lines out of total UBB fixed lines - assumption of reaching 100%</w:t>
        <w:br/>
        <w:t>Profile dec-18 dec-19 dec-20 dec-21 dec-22 dec-23 dec-24</w:t>
        <w:br/>
        <w:t>Gold 5 years 53.6% 59.1% 62.0% 64.0% 65.5%</w:t>
        <w:br/>
        <w:t>Gold 7 years 53.6% 59.1% 62.0% 64.0% 65.5% 66.6% 67.5%</w:t>
        <w:br/>
        <w:t>Platinum 5 years 56.9% 65.2% 69.5% 72.6% 74.8%</w:t>
        <w:br/>
        <w:t>Platinum 7 years 56.4% 64.4% 68.5% 71.3% 73.4% 75.1% 76.4%</w:t>
        <w:br/>
        <w:t>Diamond 5 years 60.3% 71.3% 77.1% 81.1% 84.0%</w:t>
        <w:br/>
        <w:t>Diamond 7 years 61.2% 73.1% 79.2% 83.6% 86.7% 89.1% 91.1%</w:t>
        <w:br/>
        <w:t>Source: Authority's elaborations on data from Agcom's communications observatory.</w:t>
      </w:r>
    </w:p>
    <w:p>
      <w:r>
        <w:t>571. In the previous table, the case of alternative operators who manage to meet the activation line targets set by the Easy Fiber plans is analyzed. Therefore, this is the most prudent assumption, as it is plausible to expect that operators would have joined the offer only in the face of a sufficiently high probability of exceeding the number of annual lines provided for in the plan, in order to also benefit from the additional benefits that Easy Fiber provided, namely the vouchers. However, even in this case, with the minimum number of activated lines in the plan compatible with joining Easy Fiber, it can be found that in the fourth year of the contract, the residual demand for wholesale services would have been less than 30% both with "Platinum" and with "Diamond." In the fifth year of the contract, the "Diamond" option would have left contestable only less than 20% of the ultra-broadband lines in the market.</w:t>
      </w:r>
    </w:p>
    <w:p>
      <w:r>
        <w:t>572. In the more realistic case, if a higher activation rate of lines is assumed, for example, 10% above the planned quotas, the pre-emption effect would appear even more intense.</w:t>
      </w:r>
    </w:p>
    <w:p>
      <w:r>
        <w:t>362 The "Premium" option of Easy Fiber, which provides for fewer lines in the plan than "Gold," is not considered of interest to the three main alternative operators as the minimum quantities make the option of interest only for smaller operators.</w:t>
      </w:r>
    </w:p>
    <w:p>
      <w:r>
        <w:t>BULLETIN NO. 10 OF MARCH 9, 2020 161</w:t>
      </w:r>
    </w:p>
    <w:p>
      <w:r>
        <w:t>Table 17. Market fill rates with Easy Fiber - case 2</w:t>
        <w:br/>
        <w:t>% captive lines out of total UBB fixed lines - assumption of reaching 110%</w:t>
        <w:br/>
        <w:t>Profile dec-18 dec-19 dec-20 dec-21 dec-22 dec-23 dec-24</w:t>
        <w:br/>
        <w:t>Gold 5 54.2% 60.3% 63.5% 65.7% 67.3%</w:t>
        <w:br/>
        <w:t>Gold 7 54.2% 60.3% 63.5% 65.7% 67.3% 68.6% 69.6%</w:t>
        <w:br/>
        <w:t>Platinum 5 57.9% 67.1% 71.8% 75.1% 77.5%</w:t>
        <w:br/>
        <w:t>Platinum 7 57.4% 66.1% 70.6% 73.8% 76.1% 77.9% 79.3%</w:t>
        <w:br/>
        <w:t>Diamond 5 61.6% 73.8% 80.1% 84.5% 87.8%</w:t>
        <w:br/>
        <w:t>Diamond 7 62.6% 75.7% 82.5% 87.2% 90.7% 93.4% 95.5%</w:t>
        <w:br/>
        <w:t>Source: Authority's elaborations on data from Agcom's communications observatory.</w:t>
      </w:r>
    </w:p>
    <w:p>
      <w:r>
        <w:t>573. The residual demand contestable by OF and other operators active in the provision of access services would vary from a minimum of 4-5% to a maximum of 30%. In this analysis, of course, the assumption that other operators could also have joined is not considered, not to mention that a share of the residual demand should reasonably be attributed to TIM, which, of course, would not sell wholesale services only through the Easy Fiber offer.</w:t>
      </w:r>
    </w:p>
    <w:p>
      <w:r>
        <w:t>574. Joining the Easy Fiber discount plans would have allowed locking in wholesale customers for an extended period of 5-7 years, precisely when Open Fiber should complete its investment in FTTH networks and acquire customers to finance reaching a minimum efficient scale that ensures its stable presence in the market. Easy Fiber also contains an additional binding element, beyond the time profile, consisting of the cost savings achievable by operators that join compared to the price of the VULA FTTC from the reference offer. In particular, these savings, in the case of reaching the thresholds of lines in the plan and the price of the VULA FTTC from the reference offer (OR) equal, at the time of the launch of the new Easy Fiber, to €15.02, can be estimated as follows.</w:t>
      </w:r>
    </w:p>
    <w:p>
      <w:r>
        <w:t>Table 18. Price savings with Easy Fiber compared to price from OR</w:t>
        <w:br/>
        <w:t>Discount on VULA FTTC price from OR per line</w:t>
        <w:br/>
        <w:t>Gold 5 -19.3%</w:t>
        <w:br/>
        <w:t>Gold 7 -19.3%</w:t>
        <w:br/>
        <w:t>Platinum 5 -21.0%</w:t>
        <w:br/>
        <w:t>Platinum 7 -21.0%</w:t>
        <w:br/>
        <w:t>Diamond 5 -22.7%</w:t>
        <w:br/>
        <w:t>Diamond 7 -22.7%</w:t>
        <w:br/>
        <w:t>Source: Authority's elaborations on data from Agcom's communications observatory and Agcom resolution no. 87/18/CIR.</w:t>
      </w:r>
    </w:p>
    <w:p>
      <w:r>
        <w:rPr>
          <w:b/>
        </w:rPr>
        <w:t>[Pages 160–162]</w:t>
      </w:r>
    </w:p>
    <w:p>
      <w:r>
        <w:t>162 BULLETIN NO. 10 OF MARCH 9, 2020</w:t>
      </w:r>
    </w:p>
    <w:p>
      <w:r>
        <w:t>575. These are cost savings that induce operators to contractually bind themselves to TIM for the time necessary to achieve the line migration objectives set out in the plan. In this way, Easy Fiber is suitable for favoring an exclusionary outcome to the detriment of OF and other current and potential infrastructure operators.</w:t>
      </w:r>
    </w:p>
    <w:p>
      <w:r>
        <w:t>576. The level of discount guaranteed by adherence to Easy Fiber compared to the reference offer price is such that the average supply costs of the VULA FTTC service estimated by Agcom, amounting to €14.32 per line per month at the time of the offer launch363, are not covered by the average prices resulting from the Easy Fiber plans.</w:t>
      </w:r>
    </w:p>
    <w:p>
      <w:r>
        <w:t>Table 19</w:t>
        <w:br/>
        <w:t>Minimum reduction of the average supply cost of the VULA FTTC service compatible with Easy Fiber prices</w:t>
      </w:r>
    </w:p>
    <w:p>
      <w:r>
        <w:t xml:space="preserve">Gold 5 18.2%  </w:t>
        <w:br/>
        <w:t xml:space="preserve">Gold 7 18.2%  </w:t>
        <w:br/>
        <w:t xml:space="preserve">Platinum 5 20.7%  </w:t>
        <w:br/>
        <w:t xml:space="preserve">Platinum 7 20.7%  </w:t>
        <w:br/>
        <w:t xml:space="preserve">Diamond 5 23.3%  </w:t>
        <w:br/>
        <w:t>Diamond 7 23.3%</w:t>
      </w:r>
    </w:p>
    <w:p>
      <w:r>
        <w:t>Source: Authority's elaborations on Agcom data.</w:t>
      </w:r>
    </w:p>
    <w:p>
      <w:r>
        <w:t>577. In particular, from the previous table, it can be noted that even if a gradual reduction path for the cost of the VULA FTTC service were hypothesized, a rather significant decrease would be necessary for the average prices resulting from adherence to Easy Fiber to become suitable to cover the underlying supply costs of the service. The supply cost of VULA FTTC would need to decrease by an average of 20% for the prices of Easy Fiber not to fall below the corresponding cost level.</w:t>
      </w:r>
    </w:p>
    <w:p>
      <w:r>
        <w:t>578. Furthermore, it is believed that the effects produced by the change in TIM's wholesale offer are not merely potential, as the repricing maneuver carried out by TIM has also generated appreciable and concrete restrictive effects, as can be deduced by observing the trend of wholesale service sales of OF and TIM during the period from OF's market entry to December 2018.</w:t>
      </w:r>
    </w:p>
    <w:p>
      <w:r>
        <w:t>579. In particular, starting from December 2016 and with an increase during 2017/18, the percentage of lines sold by OF compared to the total number of real estate units covered by Open Fiber shows a slowdown in the growth rate, precisely while the percentage of lines sold by TIM compared to the total number of real estate units covered by TIM's FTTC network shows a marked increase in the growth rate. While the sales curve on real estate units covered by OF seems to show a concave growth, the analogous sales curve of TIM on covered real estate units seems to take on a tendency towards convex growth.</w:t>
      </w:r>
    </w:p>
    <w:p>
      <w:r>
        <w:t>580. This change in the growth rate of activations manifests precisely during the time period in which TIM is developing the reform of the technical and economic conditions of the offers of the main wholesale access services, during 2017, with the new VULA FTTH profiles and the new Easy Fiber offer.</w:t>
      </w:r>
    </w:p>
    <w:p>
      <w:r>
        <w:t xml:space="preserve">Figure 4. Growth rates of fixed lines  </w:t>
        <w:br/>
        <w:t>Source: Elaborations on Open Fiber data, doc. 317.</w:t>
      </w:r>
    </w:p>
    <w:p>
      <w:r>
        <w:t>e) TIM's conduct in the retail telecommunications services market</w:t>
      </w:r>
    </w:p>
    <w:p>
      <w:r>
        <w:t>581. The evidence collected during the proceedings has confirmed the investigative hypotheses concerning TIM's conduct in the retail broadband and ultra-broadband access services market.</w:t>
      </w:r>
    </w:p>
    <w:p>
      <w:r>
        <w:t>582. TIM's anti-competitive strategy, aimed at hindering the entry of the Enel Group into the market and the establishment of a competitive market structure, also consists of the preparation of commercial offers in the retail market aimed at unduly preserving market share, primarily through the inclusion of lock-in mechanisms. The objective of this conduct is to prevent, in the new competitive scenario that investments in FTTH networks by Open Fiber should shape, the final clientele from being contestable by alternative operators who have chosen to source wholesale network resources from Open Fiber rather than from TIM, as has been the case so far.</w:t>
      </w:r>
    </w:p>
    <w:p>
      <w:r>
        <w:t>583. The demand for retail services absorbed by TIM's commercial divisions, which in the ultra-broadband service offers market segment has reached about 46.9% of the total active UBB lines as of December 31, 2017364, is already to be considered non-contestable for a wholesale competitor, as it is almost entirely captive to TIM's own network access services, since TIM retail generally uses its upstream infrastructure to serve the final clientele. In summary, with the conduct adopted also in the retail services market, TIM has attempted to strip the maximum share of contestable demand from the potential competitiveness of the new entrant Open Fiber and other infrastructure operators, in order to strengthen the effects of pre-emption and customer lock-in already pursued by wholesale conduct.</w:t>
      </w:r>
    </w:p>
    <w:p>
      <w:r>
        <w:t>584. From the investigative findings, summarized above, TIM's intent to exercise a pre-emption action on the final clientele appears indisputable, through the strengthening of elements of the offer capable of generating lock-in mechanisms in the face of extremely advantageous contractual economic conditions for customers in the initial phase of temporal permanence (generally, during the first twelve months). TIM has structured promotional offers in such a way as to acquire the maximum share of potential clientele interested in UBB connection offers, in order to unduly restrict the share of clientele contestable by competing operators in the retail market and make the entry of an infrastructure competitor unsustainable. Promoting lock-in mechanisms appears particularly serious, especially if it is a conduct carried out by an operator in a dominant position, during a dynamic transformation phase of the competitive structure of the market, in the transition from broadband offers to ultra-broadband connections.</w:t>
      </w:r>
    </w:p>
    <w:p>
      <w:r>
        <w:t>585. Specifically, during the period 2016-19, TIM marketed a series of promotional offers that featured a structure of contractual and tariff conditions suitable for generating customer lock-in. These offers included the mandatory inclusion of the modem, initially, and the TIM Expert service, later, as the main binding contractual element. The contractual conditions provided by these offers integrate a conduct of market pre-emption of broadband and ultra-broadband services and customer lock-in with the establishment of exit costs that induce customers to remain longer in the contract.</w:t>
      </w:r>
    </w:p>
    <w:p>
      <w:r>
        <w:t>586. In fact, no elements of economic rationality can be detected to foresee a differentiated duration for the installment period of the modem and for the minimum contractual permanence period necessary to benefit from promotional prices, other than those consisting of the intent to generate a contractual lock-in mechanism, as has been repeatedly stated by TIM in the strategic lines of the 2017/19 industrial plan. Of particular seriousness, then, must be considered the circumstance that the differentiation between the modem installment periods and the minimum contractual permanence period is capable of inducing the final customer to distorted consumption choices, who in this way is unable to correctly determine, at the time of choosing the service offer, what the real degree of lock-in they are facing is and the true level of switching costs they will incur to change their fixed connection service provider.</w:t>
      </w:r>
    </w:p>
    <w:p>
      <w:r>
        <w:t>587. Therefore, the promotional offers placed on the market by TIM during the period 2016-19 have introduced undue contractual lock-in phenomena, which have allowed TIM to recover market shares, especially in the ultra-broadband connection segment. The bundled sale of the 364 Source: Agcom resolution 613/18/CONS.</w:t>
      </w:r>
    </w:p>
    <w:p>
      <w:r>
        <w:rPr>
          <w:b/>
        </w:rPr>
        <w:t>[Pages 163–165]</w:t>
      </w:r>
    </w:p>
    <w:p>
      <w:r>
        <w:t>BULLETIN NO. 10 OF MARCH 9, 2020 165</w:t>
      </w:r>
    </w:p>
    <w:p>
      <w:r>
        <w:t>The connection and modem sale and the TIM Expert service, as is evident, allowed TIM to pursue serious anti-competitive purposes in the retail services market.</w:t>
      </w:r>
    </w:p>
    <w:p>
      <w:r>
        <w:t>588. The offers in question passed the price tests for replicability verification365, also thanks to the inclusion of services (modem, TIM Expert) in bundled sales that increased the implicit costs for the consumer and, therefore, the real price. The consumer's expenditure for the goods/services bundled with the data connection allowed the average price to remain at levels suitable for passing the replicability tests.</w:t>
      </w:r>
    </w:p>
    <w:p>
      <w:r>
        <w:t>589. The same services bundled with the telecommunications services offer also served TIM to transform the real price of promotional offers into a two-part tariff, in order to concretely implement the strategic intentions of "development of Lock in mechanisms to increase customers’ loyalty and retention;"366.</w:t>
      </w:r>
    </w:p>
    <w:p>
      <w:r>
        <w:t>590. The effects of this lock-in strategy for demand for ultra-broadband services appear particularly severe. Analyzing the data related to the period under investigation, it is noted that the performances of TIM and alternative operators are heavily contrasted in terms of new customer acquisitions and market shares.</w:t>
      </w:r>
    </w:p>
    <w:p>
      <w:r>
        <w:t>591. On an annual basis, from December 2016 to December 2017, the available data shows the following situation.</w:t>
      </w:r>
    </w:p>
    <w:p>
      <w:r>
        <w:t>Table 20. Market share trends for offers with services ≥ 30 Mbit/s (%)</w:t>
        <w:br/>
        <w:t>Dec-2017 Diff. vs Dec 2016</w:t>
        <w:br/>
        <w:t>Tim 46.9 7</w:t>
        <w:br/>
        <w:t>Vodafone 21.3 -0.5</w:t>
        <w:br/>
        <w:t>Fastweb 22.3 -11.2</w:t>
        <w:br/>
        <w:t>Wind Tre 7.7 4.0</w:t>
        <w:br/>
        <w:t>Others 1.8 0.6</w:t>
        <w:br/>
        <w:t>Total 100.0 0.0</w:t>
        <w:br/>
        <w:t>Source: Agcom Resolution No. 613/18/CONS.</w:t>
      </w:r>
    </w:p>
    <w:p>
      <w:r>
        <w:t>592. During 2017, when TIM's retail offers containing the binding contractual conditions illustrated above were active, TIM significantly increased its share of customers365 who subscribed to offers with services that guarantee at least 30 Mbps in download (ultra-broadband services). That is, it absorbed a significant portion of the activations of new services, with the most substantial increase in market share among all operators, mainly at the expense of FW and VD but also of other operators, as can be observed from the data in the above table.</w:t>
      </w:r>
    </w:p>
    <w:p>
      <w:r>
        <w:t>593. The result appears particularly significant even when considering that not all net activations in 2017 achieved by alternative operators can be attributed to wholesale access services to the network acquired from TIM. A share, albeit minority, of customers was indeed acquired thanks to the availability of the alternative wholesale access services offer prepared by OF. In practice, therefore, the pre-emption of final demand for ultra-broadband services would have been even broader in the absence of OF's alternative wholesale offer.</w:t>
      </w:r>
    </w:p>
    <w:p>
      <w:r>
        <w:t>594. In this sense, the seriousness of TIM's conduct in the retail market appears particularly relevant, considering that the pre-emption of the most profitable demand segment, compared to wholesale conduct, managed to pursue a dual anti-competitive objective:</w:t>
        <w:br/>
        <w:t>a. to drain the pool of contestable residual demand from OF, maximizing the share of captive demand compared to alternative wholesale access service offers to that of TIM;</w:t>
        <w:br/>
        <w:t>b. to consolidate its dominant position also in the retail telecommunications services market, to the detriment of the competitiveness of the commercial proposals of other active operators. Two strategic purposes whose restrictive effects multiplied rather than merely summed, as one was capable of reinforcing the other. Such considerations provide further confirmation of the importance of protecting the development of competitive offers even in the wholesale fixed network access services market.</w:t>
      </w:r>
    </w:p>
    <w:p>
      <w:r>
        <w:t>595. In the same period considered, fixed lines active with speeds below 10 Mbps decreased by 1.57 million units (from 7 million in December 2016 to 5.43 million in December 2017; -22.4% year-on-year) while fixed lines active with speeds of at least 30 Mbps increased by 2.18 million units (from 2.34 million in December 2016 to 4.52 million in December 2017; +93% year-on-year)367. Essentially, 2017 was a year of significant expansion of ultra-broadband services among the final clientele and of acceleration of the migration process from broadband offers.</w:t>
      </w:r>
    </w:p>
    <w:p>
      <w:r>
        <w:t>596. The (anti)competitive pressure exerted by TIM with the deployment of offers containing lock-in mechanisms has significantly distorted the competitive process, as can be easily appreciated from the evidence presented in the following table.</w:t>
      </w:r>
    </w:p>
    <w:p>
      <w:r>
        <w:t>BULLETIN NO. 10 OF MARCH 9, 2020 167</w:t>
      </w:r>
    </w:p>
    <w:p>
      <w:r>
        <w:t>Table 21</w:t>
        <w:br/>
        <w:t>Comparison between TIM and the two main competing operators in the segment offers ≥ 30 Mbit/s</w:t>
        <w:br/>
        <w:t>No. lines Share No. lines Share No. lines Share</w:t>
        <w:br/>
        <w:t>TIM Vodafone Fastweb</w:t>
        <w:br/>
        <w:t>(million) (%) (million) (%) (million) (%)</w:t>
        <w:br/>
        <w:t>Dec-16 0.934 39.9 Dec-16 0.510 21.8 Dec-16 0.784 33.5</w:t>
        <w:br/>
        <w:t>Dec-17 2.120 46.9 Dec-17 0.963 21.3 Dec-17 1.008 22.3</w:t>
        <w:br/>
        <w:t>Growth Growth Growth</w:t>
        <w:br/>
        <w:t>127.0% 88.7% 28.5%</w:t>
        <w:br/>
        <w:t>activations activations activations</w:t>
        <w:br/>
        <w:t>Source: elaborations on Agcom data (communications observatory and resolution 613/18/CONS).</w:t>
      </w:r>
    </w:p>
    <w:p>
      <w:r>
        <w:t>597. The growth recorded by TIM is quite significant compared to the dynamics shown by the two main competitors in the ultra-broadband offers segment. About 54% of the total growth of active fixed lines with connections of at least 30 Mbps in 2017 was absorbed by TIM368. Moreover, this progression of UBB activations did not occur at the expense of the market share held in the segment of broadband lines with a maximum speed of 10 Mbps. In fact, this share increased by 2.2 percentage points year-on-year, reaching 65.2%369. Therefore, during a crucial year for market dynamics, during which there is a significant acceleration of the migration process from broadband lines to ultra-broadband lines, TIM launched a commercial attack that allows it to capture over half of the additional activated UBB lines.</w:t>
      </w:r>
    </w:p>
    <w:p>
      <w:r>
        <w:t>598. This situation continued into the early months of 2018. In March 2018, on an annual basis, TIM had recorded a market share growth for UBB accesses of 3.5 percentage points, against a reduction of 1% for VD and 5.4% for Fastweb370.</w:t>
      </w:r>
    </w:p>
    <w:p>
      <w:r>
        <w:rPr>
          <w:b/>
        </w:rPr>
        <w:t>[Pages 166–168]</w:t>
      </w:r>
    </w:p>
    <w:p>
      <w:r>
        <w:t>168 BULLETIN NO. 10 OF MARCH 9, 2020</w:t>
      </w:r>
    </w:p>
    <w:p>
      <w:r>
        <w:t>Table 22. Market share trends for offers with services ≥ 30 Mbit/s (%)</w:t>
        <w:br/>
        <w:t>Mar-2018 Diff. vs Mar 2017</w:t>
        <w:br/>
        <w:t>Tim 47.5 3.5</w:t>
        <w:br/>
        <w:t>Vodafone 20.8 -1.0</w:t>
        <w:br/>
        <w:t>Fastweb 19.4 -5.4</w:t>
        <w:br/>
        <w:t>Wind Tre 6.9 3.1</w:t>
        <w:br/>
        <w:t>Tiscali 0.6 0.5</w:t>
        <w:br/>
        <w:t>Linkem 0.0 0.0</w:t>
        <w:br/>
        <w:t>Others 4.7 -0.7</w:t>
        <w:br/>
        <w:t>Total 100.0 0.0</w:t>
        <w:br/>
        <w:t>Source: Agcom Communications Observatory.</w:t>
      </w:r>
    </w:p>
    <w:p>
      <w:r>
        <w:t>599. The greatest effects were recorded, therefore, in the period from the end of 2016 to the beginning of 2018. In fact, it should be noted that, since July 2017, when the Authority notified the initiation of the procedure in question, TIM had to act taking into account the ongoing investigative activity by the Authority, which from the outset also concerned the contractual conditions suitable for promoting customer lock-in.</w:t>
      </w:r>
    </w:p>
    <w:p>
      <w:r>
        <w:t>600. TIM's massive use of elements aimed at binding the customer (lock-in) in such promotional offers for an inefficient period of time has thus ensured an increase in market share. This was an objective pursued, in light of the corporate documents acquired in the file, in precise implementation of a customer lock-in strategy that had been central to TIM's industrial plans. A conduct that is strongly restrictive of competition, also because it was implemented during a transition phase from broadband offers to ultra-broadband connection offers.</w:t>
      </w:r>
    </w:p>
    <w:p>
      <w:r>
        <w:t>601. From the perspective of the effects of TIM's retail conduct, the analysis of the economic structure of such offers is particularly relevant. In particular, it can be noted that in cases concerning both offers including modems and those including the bundled sale service TIM Expert, the scheme proposed to consumers presents two recurring essential characteristics in all the different versions prepared by TIM:</w:t>
        <w:br/>
        <w:t>a. the use of a very aggressive penetration pricing, aimed at providing the consumer with the maximum favorable perception of the immediate economic convenience derived from joining the offer;</w:t>
        <w:br/>
        <w:t>b. a high incidence of costs attributable to the bundled goods and services compared to the overall expenditure and the expenditure related to telecommunications services (voice, internet).</w:t>
      </w:r>
    </w:p>
    <w:p>
      <w:r>
        <w:t>602. The two characteristics listed above, used simultaneously, appear suitable to promote a strong contractual lock-in mechanism for the consumer. It should be considered that, regarding the TIM Connect offer, for the first year of contractual permanence, the consumer would have paid €14.08 per month for the core component of the offer (telecommunications services), compared to €26.9 starting from the thirteenth month of permanence. In other words, the initial average price for joining the promotion was practically half of the regular price of the offer. A price so reduced that it can be traced back to a typical penetration pricing logic, aimed precisely at attracting the consumer into the contract.</w:t>
      </w:r>
    </w:p>
    <w:p>
      <w:r>
        <w:t>603. To this intertemporal pricing structure, there is added the strong incidence on the total expenditure of consumers, unjustifiable from an economic perspective (except in the context of a lock-in conduct), of the costs for the mandatory bundled goods and services (modem or TIM Expert). Always referring to the example of the TIM Connect offer, it is important to note that a consumer who chose a 24-month installment plan for the cost of TIM Expert, after two years of contractual permanence, would have paid TIM a total amount composed of 37% from expenses attributable to the installments of TIM Expert371. In other words, more than a third of the contractual expenditure expected for a 24-month permanence would have repaid a bundled service, and only the remaining part would have gone to remunerate the telecommunications services themselves (voice service and internet connection, primarily), although these latter, obviously, have significantly higher production costs than just the TIM Expert service.</w:t>
      </w:r>
    </w:p>
    <w:p>
      <w:r>
        <w:t>604. It is therefore evident that the price requested for the TIM Expert service (and, in the promotions prior to the Agcom resolution on the freedom of choice of terminal equipment, for the modem372) was not entirely justified by the underlying economic cost, but rather partly used as a tool to lower the price of core services and achieve a penetration effect. The user, attracted by a very convenient initial price, would have been induced to choose an excessively long contractual permanence period (four years) in order to benefit from the less costly installment of the TIM Expert cost, with a clear aim of customer lock-in.</w:t>
      </w:r>
    </w:p>
    <w:p>
      <w:r>
        <w:t>605. Regarding TIM Connect, in its economic memorandum of September 20, 2019, TIM examined the possibilities for a customer who had subscribed to this promotion in July 2018 to change operator 12 months later. This analysis is based on the assumption that only if the contractual exit costs are not more than offset by the savings resulting from changing operators can the lock-in be considered effective. In particular, TIM reported data related to the WT offer called "Fibra 1000" and concluded that the balance between costs and benefits for the consumer would be positive such that the user who had subscribed to TIM Connect could now find it convenient to join the WT Fibra 1000 offer.</w:t>
      </w:r>
    </w:p>
    <w:p>
      <w:r>
        <w:t>606. The analysis carried out by TIM in its economic memorandum of September 20, 2019, exclusively uses the assumptions of configuration of the two compared offers, TIM Connect and Fibra 1000, that maximize the gap between exit costs and savings from joining the competitor's offer. For example, it is assumed that the TIM Connect customer continues to pay €5 per month for the "1000Mega" option, even though this option is free for the first 12 months of the contract and can then be waived. Now, since the option is of actual utility only for users who are reached by FTTH accesses, one would expect that the consumer, on average, decides to deactivate the option after the 12 months of free promotion. In fact, even paying, in most cases, the consumer would not have been able to materially enjoy a higher quality connection, given that the coverage of the territory with accesses capable of providing a download speed of 1000 Mbps is still limited.</w:t>
      </w:r>
    </w:p>
    <w:p>
      <w:r>
        <w:t>607. Furthermore, the same customer, who would change operator after 12 months in TIM's hypothesis, would not take into account (and this is not considered in TIM's analysis) the circumstance that the activation cost of €120 for joining WT's "Fibra 1000" would be free only in the case of a minimum permanence of 24 months. In the case of early exit, the customer would have to pay WT the entire activation cost. Similarly, TIM's analysis did not consider the contractual provision that, in the case of a minimum permanence of 24 months, the modem included in the "Fibra 1000" offer from WT is paid in installments over 48 months at €5.99 per month. Consequently, in the event of withdrawal before 48 months, the customer would be required to pay the missing installments.</w:t>
      </w:r>
    </w:p>
    <w:p>
      <w:r>
        <w:t>608. Therefore, taking into proper account the possibility that the customer deactivates the "1000Mega" option and the installment mechanism for the modem provided in the case of joining the WT offer, the comparison between exit costs and savings from changing operators would yield a situation of full lock-in. In particular, assuming the consumer exits after 24 months (instead of after only 12 months as in TIM's analysis), which prudently allows not to take into account the incidence of the activation costs of the "1000Mega" option from TIM, the following results would be obtained.</w:t>
      </w:r>
    </w:p>
    <w:p>
      <w:r>
        <w:t>Table 23</w:t>
        <w:br/>
        <w:t>Costs of remaining in Tim Connect for an additional 24 months €768</w:t>
        <w:br/>
        <w:t>Costs of remaining in WT's Fibra 1000 for 24 months €787</w:t>
        <w:br/>
        <w:t>Source: Authority's calculations based on the contractual conditions of TIM Connect and Fibra 1000.</w:t>
      </w:r>
    </w:p>
    <w:p>
      <w:r>
        <w:t>609. The consumer, in the case of switching to Fibra 1000, would therefore save only 2.5% of the expenditure expected in the case of extending the contractual permanence in TIM Connect. A cost saving that is practically nonexistent from a statistical perspective, considering that the analysis is based on prospective payment flows and does not take into account the non-monetary costs associated with changing operators. In other words, the Fibra 1000 offer does not appear to represent a suitable alternative to overcome the restrictiveness of the exit costs expected for the consumer who has joined TIM Connect. Moreover, it is highlighted that the assumptions underlying these results are prudent, as the timing of the change of operator has been set in such a way as to neglect the impact of activation costs. In the event of withdrawal from Fibra 1000 before 24 months, in fact, considering also the activation costs, there would be no savings; rather, the consumer who chose to change offers from TIM Connect to Fibra 1000 would incur an expected increase in expenditure.</w:t>
      </w:r>
    </w:p>
    <w:p>
      <w:r>
        <w:t>610. In conclusion, it is believed that the promotional offers prepared by TIM during the period 2016-18 were the implementing tool of the strategic objective defined by TIM in its industrial plan for the retail market, namely customer lock-in.</w:t>
      </w:r>
    </w:p>
    <w:p>
      <w:r>
        <w:rPr>
          <w:b/>
        </w:rPr>
        <w:t>[Pages 169–171]</w:t>
      </w:r>
    </w:p>
    <w:p>
      <w:r>
        <w:t>BULLETIN NO. 10 OF MARCH 9, 2020 171</w:t>
      </w:r>
    </w:p>
    <w:p>
      <w:r>
        <w:t>611. Furthermore, it is believed that, during the validity of the wholesale service profiles later rejected by Agcom resolution 87/18/CIR (September 2017 – June 2018), with the lowering of wholesale access service prices, especially with the reintroduction of a particularly aggressive Easy Fiber offer against OF, as evidenced by the investigative findings373, TIM also explored opportunities to achieve unjustified advantages in retail offers, in order to have broader margins of flexibility compared to the prices applicable in the retail market for broadband and ultra-broadband telecommunications services.</w:t>
      </w:r>
    </w:p>
    <w:p>
      <w:r>
        <w:t>612. The greater downward flexibility of retail prices ensured by the repricing maneuver of wholesale access services was sought by TIM in order to increase the overall aggressiveness of the commercial proposal directed at the final clientele, always in the exclusionary perspective attributable to the anti-competitive strategy against OF. The pre-emption of demand for ultra-broadband retail telecommunications services allowed for the narrowing of the contestable market share, on the wholesale level, from OF and, above all, significantly increased the degree of risk regarding the prospective acquisition flows of new customers by OF.</w:t>
      </w:r>
    </w:p>
    <w:p>
      <w:r>
        <w:t>613. The commercial policies pursued by TIM through promotional offers aimed at blocking the contestability of the final clientele constitute a particularly serious violation of competition protection regulations, capable of generating restrictive effects to the detriment of the competitiveness of alternative operators in the retail market and, indirectly, to the detriment of OF.</w:t>
      </w:r>
    </w:p>
    <w:p>
      <w:r>
        <w:t>614. As for the so-called malpractice, it is noted that the evidence on file does not allow for the confirmation of the investigative hypothesis formulated in the objective extension provision, namely that the abusive strategy was also implemented through the use of privileged information regarding the clientele of alternative operators in the retail market.</w:t>
      </w:r>
    </w:p>
    <w:p>
      <w:r>
        <w:t>615. The elements collected, in fact, show a rather strong concern within TIM regarding the phenomenon in question.</w:t>
      </w:r>
    </w:p>
    <w:p>
      <w:r>
        <w:t>616. On this point, as mentioned above, in December 2017, the Regulatory Affairs Directorate, evidently aware of the possible repercussions of the phenomenon, observed that "if [...] behaviors in violation of current regulations are found, it will be necessary to take appropriate measures against their authors"374. The service disruptions and improper behaviors reported by competing operators would be subject to specific control and intervention activities by TIM. However, still in February 2018, it was stated that the [omitted]375, even if in reference to an episode that specifically concerned a possible case of malpractice suffered by TIM's commercial divisions.</w:t>
      </w:r>
    </w:p>
    <w:p>
      <w:r>
        <w:t>617. Therefore, it must be noted that there is an absence of elements suitable to attribute the responsibility for the phenomenon analyzed here to a deliberately anti-competitive intent of TIM. In this regard, the initiatives undertaken by TIM since 2016 to attempt to counter the phenomenon, with measures for the logical and physical separation of the information systems of the network management and commercial management376, are significant; this despite the fact that such actions have not yet produced an outcome suitable to bring the phenomenon back to physiological levels.</w:t>
      </w:r>
    </w:p>
    <w:p>
      <w:r>
        <w:t>618. The elements collected regarding this conduct during the investigation, therefore, do not allow for the consideration of the phenomenon of malpractice as attributable to the complex strategic design configured and implemented by TIM. In this case, in fact, there is no evidence that could link the manifestation of this phenomenon to the implementation of TIM's anti-competitive strategy.</w:t>
      </w:r>
    </w:p>
    <w:p>
      <w:r>
        <w:t>619. At the same time, TIM does not appear to be liable for inertia regarding the occurrence of the phenomenon, considering the numerous initiatives undertaken by TIM aimed at containing the risk of instrumental use of information on network activities.</w:t>
      </w:r>
    </w:p>
    <w:p>
      <w:r>
        <w:t>620. In this regard, it should be noted that, also in relation to this conduct, during the proceedings, Agcom intervened. In fact, with resolution no. 396/18/CONS, published on July 25, 2018, Agcom ordered TI to adopt a set of measures aimed at preventing the improper use of confidential wholesale data, also initiating a technical table with operators. Measures were therefore taken to counter the risk of illegal use of information on network assurance activities (maintenance and fault resolution), mainly consisting of the adoption of software programs for encrypting sensitive information and restricting the number of individuals authorized to access network databases, along with associated access tracking systems. These measures were also extended to information regarding provisioning activities (activation/deactivation of the line), with Agcom resolution 420/19/CONS of October 2019.</w:t>
      </w:r>
    </w:p>
    <w:p>
      <w:r>
        <w:t>f) Considerations regarding Agcom's opinion</w:t>
      </w:r>
    </w:p>
    <w:p>
      <w:r>
        <w:t>621. In relation to the opinion issued by Agcom and described above in its essential lines, the Authority first expresses appreciation for the interventions adopted by the regulator during the present proceedings and subsequently after its initiation. These resolutions established relevant measures regarding the wholesale conduct of instrumental redefinition of the technical and economic conditions of TIM's wholesale access service offer and the retail conduct of customer lock-in and improper use of information on network activities. Following the initiation of procedure A514 (June 28, 2017) by the Authority and its objective extension (February 14, 2018), Agcom indeed intervened on some components of the anti-competitive strategy implemented by TIM, providing a contribution to containing the restrictive effects on competition.</w:t>
      </w:r>
    </w:p>
    <w:p>
      <w:r>
        <w:t>622. With reference to the geographical qualification of the relevant markets, regarding which Agcom in its opinion intended to suggest the exclusion of contestable municipalities from the perimeter of areas where TIM holds a dominant position, it is deemed necessary to recall what was noted by Agcom in its market analysis resolution 348/19/CONS. The areas of contestable municipalities, in fact, presented a "competitive situation [...] such that a full distinction of these geographical areas is not justified, and thus the identification of distinct geographical markets from a regulatory perspective"377. Therefore, these municipalities, although Agcom noted a greater competitive dynamism in a prospective sense, were not considered distinct geographical markets. On the other hand, according to the aforementioned Agcom resolution, throughout the rest of the national territory, TIM confirmed holding significant market power, which required the imposition of ex ante regulatory obligations across the entire national territory, with the sole exception of the city of Milan.</w:t>
      </w:r>
    </w:p>
    <w:p>
      <w:r>
        <w:t>623. The data presented by Agcom in its market analysis resolution confirms the existence of a dominant position of TIM throughout the national territory. In this regard, it is worth recalling that, as of December 31, 2018, in the eleven largest Italian cities, excluding Milan (i.e., the municipalities with the most dynamic competitive conditions especially following the entry of OF), the market share held by TIM in sub-market 3a as of December 31, 2018, was well above 60%, except for the city of Perugia, where TIM's share was still 55%378.</w:t>
      </w:r>
    </w:p>
    <w:p>
      <w:r>
        <w:t>624. Therefore, the Authority believes, in line with these elements, that TIM's dominant position in the relevant markets still exists. On the other hand, if in the contestable municipalities Agcom had not found the continued existence of significant market power held by TIM during the last market analysis, the necessary regulatory prerequisite for the imposition of regulatory obligations, even if differentiated on geographical bases379, would have been lacking. The geographical differentiation of obligations, in fact, is carried out in application of the principle of proportionality and not in the absence of significant market power.</w:t>
      </w:r>
    </w:p>
    <w:p>
      <w:r>
        <w:t>625. Regarding Agcom's decision to consider the city of Milan a distinct geographical market from the rest of the national territory, the Authority, while not excluding that there may be a greater degree of competitiveness among wholesale access service offers in that area, nevertheless believes that the existence of this phenomenon today, however circumscribed and isolated, cannot assume a decisive character for the determination of the relevant market. It should also be noted that, from the data presented by Agcom in resolution 348/19/CONS, as of December 31, 2017, TIM held approximately 55% of the market 3a in Milan380. During 2018, this share decreased to 33%, considering only the so-called "merchant" segment, i.e., the lines exchanged net of self-production381. If the total market is considered, including self-production, as of December 2018 TIM still held almost half of the lines in the market 3a in Milan382. This means that even in the Milan area, TIM was still able to maintain a position of supremacy during the abuse.</w:t>
      </w:r>
    </w:p>
    <w:p>
      <w:r>
        <w:t>626. Therefore, the increase in the degree of competitiveness in the city of Milan appears to be a relatively recent phenomenon. In any case, it is highlighted that, unlike other operators present, TIM is the only competitor of OF in Milan to hold its own widespread network.</w:t>
      </w:r>
    </w:p>
    <w:p>
      <w:r>
        <w:rPr>
          <w:b/>
        </w:rPr>
        <w:t>[Pages 172–174]</w:t>
      </w:r>
    </w:p>
    <w:p>
      <w:r>
        <w:t>174 BULLETIN NO. 10 OF MARCH 9, 2020</w:t>
      </w:r>
    </w:p>
    <w:p>
      <w:r>
        <w:t>capillary across the remaining part of the national territory, as well as in the city of Milan itself. On this point, it is worth noting that the decision-making practice of the European Commission, in cases concerning fixed network telecommunications markets, applying the same European rules that are the subject of this proceeding, identifies the geographical scope of the relevant markets as having a national dimension383.</w:t>
      </w:r>
    </w:p>
    <w:p>
      <w:r>
        <w:t>627. With reference to the data provided by Agcom on TIM's market shares in the ultra-broadband line segment, the Authority takes note of the results arising from the reclassification carried out by Agcom in 2019 on the 2017 data, as a result of which TIM's market share of ultra-broadband lines as of December 31, 2017, was reduced to 43.4%, compared to the 48% originally indicated in the Communications Observatory No. 1 of 2018.</w:t>
      </w:r>
    </w:p>
    <w:p>
      <w:r>
        <w:t>628. It is noted, from the analysis of the aforementioned data, that during 2017 there was nonetheless a progression of the market share in question, equal to 0.4% on an annual basis of the UBB lines held by TIM in the retail market. Furthermore, the analysis of the trend of this share during 2017 appears worthy of consideration. In this regard, it should be noted that TIM's share growth occurred over a few months, from January 2017 to September 2017, amounting to approximately 4%, only to then decrease over the course of a single quarter, from September 2017 to December 2017, by 3.4%, according to the data indicated by Agcom in its opinion.</w:t>
      </w:r>
    </w:p>
    <w:p>
      <w:r>
        <w:t>629. Therefore, it is noted that the data provided by Agcom confirms the persistence of TIM's dominant position in both relevant markets and the effects of TIM's conduct on competition in the retail market. The data on market shares, wholesale and retail, at the time of the initiation of TIM's abusive strategy unequivocally indicate a dominant position. It is recalled, in fact, that at the end of 2016, at the initial moment of the infringement, TIM had the following market shares.</w:t>
      </w:r>
    </w:p>
    <w:p>
      <w:r>
        <w:t>Table 24. TIM's Market Shares</w:t>
        <w:br/>
        <w:t>Dec. 2016</w:t>
        <w:br/>
        <w:t>Market</w:t>
        <w:br/>
        <w:t>Wholesale access services 3a 92.56%</w:t>
        <w:br/>
        <w:t>Broadband and ultra-broadband 3b 54.43%</w:t>
        <w:br/>
        <w:t>Retail telecommunications services 45.90%</w:t>
        <w:br/>
        <w:t>Broadband and ultra-broadband</w:t>
        <w:br/>
        <w:t>Source: Agcom Resolution No. 613/18/CONS</w:t>
      </w:r>
    </w:p>
    <w:p>
      <w:r>
        <w:t>630. Regarding the effects, the analysis of the data reported in the Agcom opinion allows for the observation of a strong progression of TIM's market share of ultra-broadband lines for a good part of 2017, which slightly attenuates in the last part of the year, after the initiation of the present proceeding.</w:t>
      </w:r>
    </w:p>
    <w:p>
      <w:r>
        <w:t>631. Finally, regarding the contribution to containing the restrictive effects of competition that Agcom attributed to its interventions adopted during the A514 proceeding, the Authority believes it is necessary to clarify the following. First of all, the necessity felt by the regulator to undertake such numerous initiatives following the initiation of the A514 proceeding indicates that Agcom also perceived the seriousness of the analyzed conduct and felt the need to identify regulatory measures384. It should also be considered that the effects of TIM's conduct could only be partially expressed, as the Authority intervened promptly in relation to the temporal moment of the initiation of TIM's anti-competitive strategy. In any case, as extensively highlighted in this provision, there is abundant evidence regarding both the effects produced during the proceeding and the overall exclusionary restrictive potential attributable to the strategy implemented by TIM.</w:t>
      </w:r>
    </w:p>
    <w:p>
      <w:r>
        <w:t>g) The legal qualification of TIM's abusive strategy in violation of Article 102 TFEU</w:t>
      </w:r>
    </w:p>
    <w:p>
      <w:r>
        <w:t>632. The described conduct of TIM, although heterogeneous among themselves, can be collectively classified as a case of abuse of dominant position aimed at excluding a competitor in the wholesale market. Such conduct is all characterized by the pursuit of an unworthy objective of protection, namely that of altering the proper functioning of competitive dynamics in a market that is particularly strategic for the country's development, in a clear attempt to unjustifiably preserve its market power.</w:t>
      </w:r>
    </w:p>
    <w:p>
      <w:r>
        <w:t>633. As is well known, community jurisprudence has repeatedly stated that a conduct aimed at instrumentalizing or manipulating processes, or rules, or administrative procedures can be considered abusive, depending on the circumstances. The exercise of the right to take action and the right to participate in administrative proceedings can also be qualified as anti-competitive illicit acts. The Court of Justice has, in fact, recognized, in abstract, the possibility that recourse to litigation by a company in a dominant position against its competitors may constitute abusive conduct and be classified as anti-competitive illicit.</w:t>
      </w:r>
    </w:p>
    <w:p>
      <w:r>
        <w:t>634. The jurisprudence in this area has paved the way for an expansion of the figures of abuse of dominant position and, above all, has extended antitrust control to behaviors directed towards public institutions (judges, regulatory authorities, administrative authorities). In this context, a trend that is recorded both in the community legal system and in national legal systems is that of extending antitrust scrutiny to possible abuses of public regulation, even when this is certainly and fully legitimate.</w:t>
      </w:r>
    </w:p>
    <w:p>
      <w:r>
        <w:t>635. The Authority's practice, and the orientations of national administrative jurisprudence, show how this type of abuse has so far been identified in relation to the following types of conduct: a) the abuse of civil and administrative litigation against competitors (Pfizer case); b) the abuse of administrative procedures or measures aimed at ensuring exclusive rights (Pfizer case); c) the abuse of the administrative procedure tout court even when not aimed at ensuring market access (Coop Estense/Esselunga case, Aspen case). Finally, more recently, the Authority has also applied the theory of abuse of rights concerning the abuse of contractually recognized rights held by a company as exercised abusively due to the methods and timing associated with such exercise (SEA/ATA case).</w:t>
      </w:r>
    </w:p>
    <w:p>
      <w:r>
        <w:t>636. The Authority has indeed considered that "although the existence of a dominant position does not deprive the company that holds it of the right to protect its commercial interests and the ability to carry out, within reasonable limits, the acts it deems appropriate for the protection of such interests, a behavior aimed at strengthening its dominant position and abusing it is not permissible"385. It follows that behaviors that are abstractly legitimate from an antitrust perspective if carried out by a company that does not hold a dominant position may represent, instead, abuses if committed by a company in such a position. It is recalled that the company in a dominant position bears the "special responsibility" not to allow its behavior to hinder effective competition in the common market and that "according to a constant jurisprudence, the notion of abusive exploitation is an objective notion, which concerns the behaviors of the company in a dominant position aimed at influencing the structure of a market in which, precisely because the considered company operates, the degree of competition is already diminished, and that have the effect of hindering, using means different from those on which normal competition between products and services is based, founded on the performance of economic operators, the preservation of the degree of competition still existing in the market or the development of such competition"386.</w:t>
      </w:r>
    </w:p>
    <w:p>
      <w:r>
        <w:t>637. The Council of State has also stated on this point that: "It remains rather necessary, to complement this anti-competitive illicit, the presence of an exclusionary intent, to be ascertained indicatively as a quid pluris that adds to the summation of otherwise lawful behaviors. It is not a matter of assessing the legitimacy of acts in light of the various sectors of the legal system involved (as, in this case, appears to be - unless proven otherwise - regarding the urban-planning-construction sector where the corresponding behavior of the company from the present acts appears to have manifested in a non-illegal activity in the context of the administrative procedure); but of considering those conducts, although sectorally lawful, in light of their anti-competitive impact. A perspective in relation to which certain acts, even if legitimate from that sectoral point of view, take on the color of indicators of this disproportionate anti-competitive intent (as in the recent precedent No. 693 of 2014). Otherwise, the abuse of dominant position would be almost unconfigurable, thanks to the simple fact that it often consists of analytically lawful behaviors if viewed only in light of sectors of the legal system other than that of competition. The reciprocal relativity of sectoral legal systems makes it understandable that what is lawful from the perspective of one legal system may at the same time not be lawful from the perspective of another"387.</w:t>
      </w:r>
    </w:p>
    <w:p>
      <w:r>
        <w:t>638. Jurisprudence has also ruled on the relevance of the effects of abusive conduct, considering that: "The fact that the restrictive objective pursued has not actually been achieved is not in itself sufficient to consider that misleading statements are incapable of producing effects and that therefore they should not be sanctioned. In fact, as considered by the European Commission, if the objective suitability of a behavior to limit competition is established, its abusive nature cannot depend on the subsequent, random reactions of third parties. Moreover (AstraZeneca judgment, cited) the abusive nature of a behavior in light of Article 102 TFEU is not related to its compliance with other regulations, since abuses of dominant position 385 See, among others, judgment of the Council of State, Section VI, No. 1673 of April 8, 2014 (A437 - Coop Estense case). 386 See, among others, judgment of the Court of Justice EU of December 6, 2012, (case C-457/10P – AstraZeneca). 387 See judgment of the Council of State, Section VI, No. 1673 of April 8, 2014.</w:t>
      </w:r>
    </w:p>
    <w:p>
      <w:r>
        <w:rPr>
          <w:b/>
        </w:rPr>
        <w:t>[Pages 175–177]</w:t>
      </w:r>
    </w:p>
    <w:p>
      <w:r>
        <w:t>BULLETIN NO. 10 OF MARCH 9, 2020 177</w:t>
      </w:r>
    </w:p>
    <w:p>
      <w:r>
        <w:t>consist mainly of lawful behaviors in light of other sectors of the legal system, different from competition law (thus also this Section in the recent Pfizer case)”388.</w:t>
      </w:r>
    </w:p>
    <w:p>
      <w:r>
        <w:t>639. In light of the above, it is believed that there are sufficient elements to consider that TIM's conduct as a whole constitutes an abusive strategy with an exclusionary purpose through: a) the initiation of litigation against the regulatory measures underlying the Infratel tenders and all consequent tender acts; b) the request for modification of the scope and location of its investments which constitutes a contravention of factum proprium with respect to what TIM itself declared in the administrative procedure; c) the unilateral implementation of its investment plan despite the pendency of a public procurement procedure that provides for the realization of a significant public intervention in the same areas; d) the adoption of an aggressive commercial policy at both wholesale and retail levels with effects also on the retail market.</w:t>
      </w:r>
    </w:p>
    <w:p>
      <w:r>
        <w:t>640. The evidence collected during the investigation demonstrates that the litigations initiated by TIM, in addition to being unfounded and never reaching outcomes favorable to TIM's interests, have been defined from the outset by the company itself as "disturbance actions" aimed at slowing down the conduct of the tenders and the consequent entry of the competing concessionaire into the market; just as the reports submitted to national and community authorities appear to be supported solely by the purpose of questioning the very premises of the public intervention and, therefore, the legitimacy of the tender calls. To this end, TIM had, in fact, instrumentally communicated the unilateral modification of its investment plan in order to contest the identification of the market failure areas by Infratel while the tenders were already underway. The abundant internal inspection documentation of TIM unequivocally accounts for the abusive purposes underlying the company's conduct, making it unnecessary to examine individually the judicial initiatives not undertaken by TIM, which must be framed within an overall strategy pursued by the company since the entry of the Enel Group into the telecommunications market.</w:t>
      </w:r>
    </w:p>
    <w:p>
      <w:r>
        <w:t>641. Regarding the thesis outlined by TIM in its defense memorandum of September 20, 2019, according to which the Authority would have considered only a subjective notion of illegality without demonstrating the existence of market behaviors with concrete exclusionary consequences, it should be noted that national and European jurisprudence has, on several occasions, affirmed that the mere potential for a restrictive effect on competition is sufficient for conduct to constitute an abuse of a dominant position389. Therefore, even the circumstance that the exclusionary intent may not find concrete implementation does not necessarily matter for the purposes of establishing the infringement390.</w:t>
      </w:r>
    </w:p>
    <w:p>
      <w:r>
        <w:t>642. TIM's thesis, however, is not shareable because the conduct that formed the anti-competitive strategy has also produced concrete restrictive effects on competition, as shown above, in addition to presenting a strong potential for restrictiveness in dynamic terms, in the absence of an intervention by the Authority.</w:t>
      </w:r>
    </w:p>
    <w:p>
      <w:r>
        <w:t>178 BULLETIN NO. 10 OF MARCH 9, 2020</w:t>
      </w:r>
    </w:p>
    <w:p>
      <w:r>
        <w:t>VII. CONCLUDING CONSIDERATIONS</w:t>
      </w:r>
    </w:p>
    <w:p>
      <w:r>
        <w:t>643. From the analysis of the documentation collected during the procedure, it emerges that TIM has intentionally implemented a series of anti-competitive behaviors that, when considered as a whole, constitute a single exclusionary strategy qualifying as an abuse of a dominant position in violation of Article 102 TFEU. The conduct, carried out in the white areas and in the remaining part of the national market, is all aimed at unjustifiably preserving the wholesale and retail market power held by TIM, hindering the entry of Open Fiber into the market, preventing a transformation of the market under conditions of infrastructural competition, and impeding a regular competitive comparison among operators active in the retail services market during the transition from broadband connections to ultra-broadband connections. The evidence collected allows for the substantial validity of the investigative hypotheses formulated by the Authority at the initiation and objective extension of the procedure. More precisely, the investigation has allowed for outlining the existence of a complex anti-competitive strategy, composed of different behaviors, consisting of:</w:t>
      </w:r>
    </w:p>
    <w:p>
      <w:r>
        <w:t>Table 25. Conducts subject to procedure A514</w:t>
        <w:br/>
        <w:t>Regulatory gaming against Infratel Italia</w:t>
        <w:br/>
        <w:t>Conducts in the wholesale market Disturbance legal actions against Infratel Italia and OF</w:t>
        <w:br/>
        <w:t>Instrumental repricing of the wholesale offer against OF</w:t>
        <w:br/>
        <w:t>Promotional offers with elements of customer lock-in</w:t>
        <w:br/>
        <w:t>Conducts in the retail market</w:t>
      </w:r>
    </w:p>
    <w:p>
      <w:r>
        <w:t>644. The conduct carried out by TIM constitutes the executive component of a complex strategy aimed at hindering and, in this illicit design, definitively preventing the entry into the market of a new infrastructure competitor, also discouraging the potential future entry of other operators, through an exclusionary abuse of a dominant position.</w:t>
      </w:r>
    </w:p>
    <w:p>
      <w:r>
        <w:t>VIII. HARM TO COMMUNITY TRADE</w:t>
      </w:r>
    </w:p>
    <w:p>
      <w:r>
        <w:t>645. The abusive conduct subject to this provision falls within the scope of application of community competition law and, in particular, within the scope of Article 102 TFEU, concerning the prohibition of abuse of a dominant position, being potentially capable of harming intra-community trade. According to the Commission Communication 2004/C 101/07 – Guidelines on the notion of harm to trade between Member States under Articles 81 and 82 of the Treaty, the concept of harm to intra-community trade must be interpreted taking into account the direct or indirect, actual or potential influence on trade flows between Member States. According to this Communication, in particular, “where an undertaking holding a dominant position throughout a Member State commits exclusionary abuses, normally trade between Member States is likely to be harmed. Such abusive behavior will generally make it more difficult for competitors from other Member States to penetrate the market, in which case trade flows are likely to be harmed” (point 93)391.</w:t>
      </w:r>
    </w:p>
    <w:p>
      <w:r>
        <w:t>646. In this case, it is worth noting that the established abusive strategy concerns the entire national territory and is capable of limiting production and precluding or restricting access to the national market for those who intend to enter and/or operate in Italy to offer wholesale access services to the fixed broadband and ultra-broadband network and retail telecommunications services on the fixed broadband and ultra-broadband network. Moreover, it should be noted that among the operators currently active in the market, there are some entities also active in other Member States.</w:t>
      </w:r>
    </w:p>
    <w:p>
      <w:r>
        <w:t>647. Regarding the issue of investments in white areas, TIM's conduct consisting of attempting to preemptively occupy the market with a less expensive but technologically suboptimal network compared to the standards required by the Infratel tender calls, is also significant in the analysis of the potential harm to trade in the internal market of the European Union. In this regard, it appears significant that TIM's conduct could have prevented Italy from reaching a level of technological infrastructure comparable to the average of other Member States, jeopardizing the possibility of ensuring the achievement of the coverage and penetration objectives set by the European Digital Agenda.</w:t>
      </w:r>
    </w:p>
    <w:p>
      <w:r>
        <w:t>IX. SEVERITY AND DURATION OF THE INFRINGEMENT</w:t>
      </w:r>
    </w:p>
    <w:p>
      <w:r>
        <w:t>648. Article 15, paragraph 1, of Law No. 287/90 provides that the Authority, in cases of serious infringements, shall impose an administrative pecuniary sanction of up to ten percent of the turnover achieved by each company responsible for the infringement in the last financial year, considering the severity and duration of such infringements.</w:t>
      </w:r>
    </w:p>
    <w:p>
      <w:r>
        <w:t>649. Regarding the severity of the abuse committed by TIM, according to the Authority's practice, and in accordance with community guidelines, its assessment is determined by a plurality of elements that must be taken into account, such as the nature of the conduct, the importance of the company, and the context in which the behavior was carried out392.</w:t>
      </w:r>
    </w:p>
    <w:p>
      <w:r>
        <w:t>650. In this regard, it is noted that the behaviors carried out by TIM constitute a single and articulated exclusionary abusive strategy, as established by community and national antitrust law, capable of hindering the development of forms of infrastructural competition in the wholesale access services market to the fixed broadband and ultra-broadband network. In particular, the conducts that characterized the established abuse under examination have a potential anti-competitive effect capable of precluding access to the market for equally efficient competitors, severely jeopardizing their infrastructural investments. These conducts have also been implemented in the retail telecommunications services market, causing direct, current, and prospective harm to consumer welfare, who has had to face promotional offers including contractual lock-in mechanisms.</w:t>
      </w:r>
    </w:p>
    <w:p>
      <w:r>
        <w:t>651. Based on the above, it emerges, therefore, in accordance with community and national jurisprudential guidelines, that the strategy implemented by TIM, aimed at</w:t>
      </w:r>
    </w:p>
    <w:p>
      <w:r>
        <w:rPr>
          <w:b/>
        </w:rPr>
        <w:t>[Pages 178–180]</w:t>
      </w:r>
    </w:p>
    <w:p>
      <w:r>
        <w:t>180 BULLETIN NO. 10 OF MARCH 9, 2020</w:t>
      </w:r>
    </w:p>
    <w:p>
      <w:r>
        <w:t>obstructing the development of competition in the relevant wholesale and retail fixed-line telecommunications markets, broadband and ultra-broadband, constitutes a serious violation of the competition protection regulations. The seriousness is particularly evident with regard to conduct aimed at undermining public investments in white areas. In this case, in fact, TIM attempted to boycott a complex initiative aimed at ensuring that high-speed broadband connections were available throughout the national territory, in an attempt to artificially prolong a market structure characterized by a lack of incentives for technological and product innovation as well as by low competitiveness in the retail services market.</w:t>
      </w:r>
    </w:p>
    <w:p>
      <w:r>
        <w:t>652. As for the duration of the abuse, it is noted that the start date of the implementation phase of the anti-competitive strategy can be identified at least as of December 23, 2016, when TIM decided to send a formal communication letter to Infratel, while the tenders for the white areas were already underway, announcing a substantial modification of its coverage plans with ultra-broadband networks in the areas affected by the ongoing tenders393.</w:t>
      </w:r>
    </w:p>
    <w:p>
      <w:r>
        <w:t>653. Therefore, it is from December 23, 2016, that the "active" phase of TIM's exclusionary strategy in violation of Article 102 TFEU can be placed. It is during this time frame that all the conduct that makes up the strategy develops (regulatory gaming concerning the Infratel tenders, legal actions disrupting the Infratel tenders, reconfiguration of the offer conditions of the main wholesale access services and promotional retail offers with lock-in mechanisms). Some conduct (certainly the retail lock-in conduct) has not yet ceased.</w:t>
      </w:r>
    </w:p>
    <w:p>
      <w:r>
        <w:t>654. Regarding the modification of coverage plans during the Infratel tenders, it is believed that the fact that TIM blocked them after the notification by the Authority of the initiation of the A514 procedure (July 2017) is not relevant for the purposes of establishing the infringement, as the infrastructures that had meanwhile already been built by TIM exerted undue exclusionary competitive pressure on OF. In August 2018, TIM and OF signed an agreement that provides for the supply of laying and aerial infrastructures to OF. This event constitutes a first element of rupture of the behavior maintained by TIM towards the new entrant operator, consistent with what TIM declared during the final hearing before the College regarding TIM's intention to change its approach towards competition and infrastructural development in the market394.</w:t>
      </w:r>
    </w:p>
    <w:p>
      <w:r>
        <w:t>655. As for the other conduct, it is noted that:</w:t>
        <w:br/>
        <w:t>a. the pre-emption conduct carried out in the wholesale broadband and ultra-broadband access services market developed from February 28, 2017, the date of submission to Agcom of the new service profiles for VULA FTTH, to May 28, 2018 (but published on Agcom's website starting from June 22, 2018), the date of Agcom resolution no. 87/18/CIR which rejected the new prices for VULA FTTH proposed by TIM and the new version of the Easy Fiber offer;</w:t>
        <w:br/>
        <w:t>b. the customer lock-in conduct was initiated at least from February 20, 2017, when the Board of Directors of TIM approved the 2017-19 plan which included among its strategic lines the adoption of contractual lock-in for the competitive approach to the retail telecommunications services market395. This conduct, understood as the formulation of offers containing goods (modems) and services (e.g., TIM Expert) sold bundled as tools for customer lock-in, cannot be considered to have ceased yet;</w:t>
      </w:r>
    </w:p>
    <w:p>
      <w:r>
        <w:t>656. Therefore, it can be considered that the abusive strategy implemented by TIM since December 23, 2016, is still ongoing.</w:t>
      </w:r>
    </w:p>
    <w:p>
      <w:r>
        <w:t>657. TIM's exclusionary strategy continues to produce distorting effects on competition. For example, it can be considered that the acquisition of customers through commercial offers including lock-in mechanisms will continue, for some time after the abandonment of such commercial practices, to generate restrictive effects on competition. In fact, only over time will the market shares of operators active in the retail telecommunications services market be able to realign to the values that would have emerged had TIM's exclusionary strategy not been implemented. Consequently, the restrictive effects will continue to occur in the wholesale access services market for fixed-line broadband and ultra-broadband.</w:t>
      </w:r>
    </w:p>
    <w:p>
      <w:r>
        <w:t>X. QUANTIFICATION OF THE SANCTION</w:t>
      </w:r>
    </w:p>
    <w:p>
      <w:r>
        <w:t>658. Article 15, paragraph 1, of Law No. 287/90 provides that the Authority, in cases of serious infringements, taking into account their severity and duration, shall impose an administrative pecuniary sanction of up to ten percent of the turnover achieved by each company or entity in the last financial year closed prior to the notification of the warning adopted as a result of an investigative procedure.</w:t>
      </w:r>
    </w:p>
    <w:p>
      <w:r>
        <w:t>659. Regarding the relevant turnover for the purposes of the sanction, the Guidelines on the application of the criteria for quantifying the administrative pecuniary sanctions imposed by the Authority in application of Article 15, paragraph 1, of Law No. 287/90396 ("Guidelines") provide that sanctions "must be calculated based on the value of the sales of goods or services that are directly or indirectly the subject of the infringement, achieved by the company in the relevant market(s) in the last full year of participation in the same infringement (hereinafter, sales value) [...] If the data relating to turnover, referring to the last full year of participation in the infringement, is not made available by the company or is not reliable or sufficiently representative or, in any case, otherwise not determinable, the Authority will take into account any other information it deems relevant or appropriate."</w:t>
      </w:r>
    </w:p>
    <w:p>
      <w:r>
        <w:t>660. According to the Guidelines, the base amount of the sanction is obtained by multiplying a percentage of the sales value, determined based on the level of severity of the infringement, by the duration of the infringement.</w:t>
      </w:r>
    </w:p>
    <w:p>
      <w:r>
        <w:t>661. Regarding the sales value, it is observed that the conduct under examination concerns a complex anti-competitive strategy of TIM aimed at obstructing the entry into the market of infrastructural competitors in the following relevant markets:</w:t>
        <w:br/>
        <w:t>a. wholesale access services to the fixed-line broadband and ultra-broadband network, of national size, also referred to as the wholesale market;</w:t>
        <w:br/>
        <w:t>b. retail telecommunications services on fixed-line broadband and ultra-broadband, of national size, also referred to as the retail market.</w:t>
      </w:r>
    </w:p>
    <w:p>
      <w:r>
        <w:t>662. It is also believed that the sales value should refer to the year 2018, the last full year of implementation of the infringement. These data are also referable to the last approved financial statement of TIM, where the conduct subject to investigation is still ongoing. The sales value, divided between the two markets mentioned above, is shown in the following table.</w:t>
      </w:r>
    </w:p>
    <w:p>
      <w:r>
        <w:t>Table 26 – Sales Value (Euro)397</w:t>
        <w:br/>
        <w:t>TIM Specific Turnover</w:t>
        <w:br/>
        <w:t>wholesale market € [1-2] billion</w:t>
        <w:br/>
        <w:t>retail market € [2-3] billion</w:t>
        <w:br/>
        <w:t>TOTAL € [2-3] billion</w:t>
      </w:r>
    </w:p>
    <w:p>
      <w:r>
        <w:t>663. For the purposes of determining the base amount of the sanction, a specific percentage determined based on the severity of the violation may be applied to the sales value as determined above. In relation to the case at hand, this percentage has been set at [1-5%], as the conduct attributed to the Party constitutes a single and articulated strategy aimed at excluding competitors, both current and potential, in the relevant markets. In line with the Guidelines on sanctions, it is indeed believed that the strategy implemented by TIM constitutes a serious violation of the competition protection regulations, capable of precluding access to the market for equally efficient competitors, seriously jeopardizing their infrastructural investments. However, it has been taken into account that, subsequent to the opening of the procedure, TIM did not complete the implementation of the autonomous coverage plan developed for the white areas, also freezing the start of the commercialization of the network infrastructures already built before the initiation of the procedure.</w:t>
      </w:r>
    </w:p>
    <w:p>
      <w:r>
        <w:t>664. As for the duration of the infringement, it is believed that the temporal moment of the start of the implementation phase of the anti-competitive strategy can be identified at least as of December 23, 2016, when TIM decided to send a formal communication letter to Infratel, while the tenders for the white areas were already underway, announcing a substantial modification of its coverage plans with ultra-broadband networks in the areas affected by the ongoing tenders398. The abusive strategy implemented by TIM since December 23, 2016, is still ongoing regarding the retail lock-in conduct of the final customer. Therefore, the end of the infringement of Article 102 TFEU is set at the date of the procedural deadline for closing the phase.</w:t>
      </w:r>
    </w:p>
    <w:p>
      <w:r>
        <w:rPr>
          <w:b/>
        </w:rPr>
        <w:t>[Pages 181–183]</w:t>
      </w:r>
    </w:p>
    <w:p>
      <w:r>
        <w:t>BULLETIN NO. 10 OF MARCH 9, 2020 183</w:t>
      </w:r>
    </w:p>
    <w:p>
      <w:r>
        <w:t>of acquiring evidence, thus until September 25, 2019. Overall, therefore, the infringement has a duration of 2 years, 8 months, and 25 days.</w:t>
      </w:r>
    </w:p>
    <w:p>
      <w:r>
        <w:t>665. Based on the identified sales value, the duration (2 years, 8 months, and 25 days), and the percentage of [1-5%], the base amount of the fine amounts to what is shown in the following table:</w:t>
      </w:r>
    </w:p>
    <w:p>
      <w:r>
        <w:t>Table 27 – Base Amount of the Fine</w:t>
        <w:br/>
        <w:t>Base Amount</w:t>
        <w:br/>
        <w:t>TIM € 483,749,740.00</w:t>
      </w:r>
    </w:p>
    <w:p>
      <w:r>
        <w:t>666. Pursuant to Articles 19 and 23 of the Guidelines, the base amount of the fine, determined as described in the preceding paragraphs, may be reduced to take into account specific circumstances that mitigate the liability of the offender, with particular reference to the role played by the company in the infringement, the conduct it maintained during the investigation, as well as the efforts made by the agent to eliminate or mitigate the consequences of the infringement and the personality of the same, also in light of what is provided for by Article 11 of Law No. 689 of November 24, 1981.</w:t>
      </w:r>
    </w:p>
    <w:p>
      <w:r>
        <w:t>667. Among the mitigating circumstances, the Guidelines include "the adoption and compliance with a specific compliance program, adequate and in line with European and national best practices. The mere existence of a compliance program will not be considered a mitigating circumstance in itself, in the absence of evidence of an actual and concrete commitment to comply with what is provided in the same program (for example, through full involvement of management, identification of personnel responsible for the program, identification and assessment of risks based on the sector of activity and operational context, organization of training activities appropriate to the economic size of the company, provision of incentives for compliance with the program as well as disincentives for non-compliance, implementation of monitoring and auditing systems)."</w:t>
      </w:r>
    </w:p>
    <w:p>
      <w:r>
        <w:t>668. TIM has illustrated its existing compliance programs and the revisions adopted after the initiation of the proceedings. On this point, it is noted that the pre-existing programs did not effectively serve a preventive function against antitrust violations. In fact, the evidence acquired shows how figures at the top level of TIM's management were involved in the structuring of the abusive strategy. These elements show how the compliance programs adopted by TIM prior to the initiation of the proceedings were not suitable to make the value of competition an integral part of the corporate culture and policy. However, in light of the changes made to the compliance programs by TIM following the initiation of proceeding A514, it is deemed appropriate to apply a fine reduction of 5%.</w:t>
      </w:r>
    </w:p>
    <w:p>
      <w:r>
        <w:t>669. Furthermore, it is proposed to apply a second mitigating factor, equal to 15% of the base amount, considering the circumstance that, during the proceedings, TIM has not substantially marketed the new VULA FTTH service profiles and the new version of the Easy Fiber offer, except for a limited number of lines sold to a few smaller operators (and, in any case, not to Vodafone, Wind Tre, or Fastweb). Even the few Easy Fiber contracts signed were canceled by TIM following the lack of approval of the offer in question by Agcom (resolution 87/18/CIR).</w:t>
      </w:r>
    </w:p>
    <w:p>
      <w:r>
        <w:t>670. Following the application of the aforementioned mitigating circumstances, the amount of the fines thus defined is shown in the following table.</w:t>
      </w:r>
    </w:p>
    <w:p>
      <w:r>
        <w:t>Table 28. Application of Mitigating Circumstances</w:t>
        <w:br/>
        <w:t>Total Mitigating Factors Fine</w:t>
        <w:br/>
        <w:t>TIM 20% € 386,999,792.00</w:t>
      </w:r>
    </w:p>
    <w:p>
      <w:r>
        <w:t>671. Finally, based on point 34 of the Guidelines on sanctions, in the presence of "specific circumstances," the Authority may derogate from the application of the Guidelines themselves.</w:t>
      </w:r>
    </w:p>
    <w:p>
      <w:r>
        <w:t>672. In this perspective, it is believed that certain initiatives undertaken by TIM have allowed for a reduction of the full deployment of the restrictive effects of the exclusionary strategy, with reference to the retail telecommunications services market, where the majority share of specific revenue is concentrated. The actions taken by TIM appear capable of integrating the aforementioned "specific circumstances" referred to in Article 34 of the Guidelines, making a 70% reduction of the fine applicable.</w:t>
      </w:r>
    </w:p>
    <w:p>
      <w:r>
        <w:t>673. In fact, following the initiation of the proceedings by the Authority and the subsequent interventions made by Agcom concerning various aspects of the abusive strategy, it is believed that TIM has undertaken a set of initiatives that have contributed to reducing the impact of the conduct, in terms of dynamic perspective, on competition in the retail telecommunications services market. In particular, in this regard, also from the evidence collected during the investigation, it is noteworthy that TIM has shown attention to ensuring that promotional offers, even if inclusive of lock-in mechanisms, presented overall economic conditions replicable by other competing operators. Furthermore, regarding the lock-in conduct, TIM has modified the promotional offers including the modem or the service called "TIM Expert," that is, the offers that presented the most significant contractual lock-in elements.</w:t>
      </w:r>
    </w:p>
    <w:p>
      <w:r>
        <w:t>674. Therefore, the fine imposed on TIM is indicated below, which is less than 10% of the revenue from the last approved financial statement, in accordance with the provisions of Article 15, paragraph 1, Law No. 287/90.</w:t>
      </w:r>
    </w:p>
    <w:p>
      <w:r>
        <w:t>Table 29 – Final Fine</w:t>
        <w:br/>
        <w:t>Final Amount</w:t>
        <w:br/>
        <w:t>TIM € 116,099,937.60</w:t>
      </w:r>
    </w:p>
    <w:p>
      <w:r>
        <w:t>All of the above having been stated and considered:</w:t>
      </w:r>
    </w:p>
    <w:p>
      <w:r>
        <w:t>RESOLVES</w:t>
      </w:r>
    </w:p>
    <w:p>
      <w:r>
        <w:t>a) that the conduct carried out by Telecom Italia S.p.A. aimed at hindering the development of competition among fixed network infrastructures, also through the choice of suboptimal technological solutions, constitutes an abuse of a dominant position in violation of Article 102 TFEU;</w:t>
      </w:r>
    </w:p>
    <w:p>
      <w:r>
        <w:t>b) that Telecom Italia S.p.A. immediately cease the competition-distorting behaviors referred to in the previous letter a) and refrain in the future from engaging in similar behaviors to those subject to the infringement established in the preceding points;</w:t>
      </w:r>
    </w:p>
    <w:p>
      <w:r>
        <w:t>c) that, due to the reasons indicated in the motivation, an administrative pecuniary sanction of € 116,099,937.60 be applied to Telecom Italia S.p.A.;</w:t>
      </w:r>
    </w:p>
    <w:p>
      <w:r>
        <w:t>d) that Telecom Italia S.p.A. within one hundred and twenty days from the notification of this provision, communicate to the Authority, transmitting a specific written report, the initiatives adopted to comply with what is requested in the previous letter b).</w:t>
      </w:r>
    </w:p>
    <w:p>
      <w:r>
        <w:t>The administrative fine referred to in the previous letter c), considering the current difficulties of the production system arising from the COVID-19 epidemiological emergency, the high amount of the same, and in an entirely exceptional manner, must be paid by October 1, 2020, using the tax codes indicated in the attached F24 model with identifying elements, pursuant to Legislative Decree No. 241 of July 9, 1997.</w:t>
      </w:r>
    </w:p>
    <w:p>
      <w:r>
        <w:t>Payment must be made electronically with a debit from one's bank or postal account, through the home banking and CBI services provided by banks or Poste Italiane S.p.A., or by using the telematic services of the Revenue Agency, available on the website &lt;www.agenziaentrate.gov.it&gt;.</w:t>
      </w:r>
    </w:p>
    <w:p>
      <w:r>
        <w:t>After the aforementioned deadline, for the period of delay of less than six months, late payment interest must be paid at the legal rate starting from the day following the expiration of the payment deadline until the date of payment. In case of further delay in compliance, pursuant to Article 27, paragraph 6, of Law No. 689/81, the amount due for the imposed fine is increased by one-tenth for each semester starting from the day following the expiration of the payment deadline until the role is transmitted to the concessionaire.</w:t>
      </w:r>
    </w:p>
    <w:p>
      <w:r>
        <w:rPr>
          <w:b/>
        </w:rPr>
        <w:t>[Pages 184–186]</w:t>
      </w:r>
    </w:p>
    <w:p>
      <w:r>
        <w:t>186 BULLETIN NO. 10 OF MARCH 9, 2020</w:t>
      </w:r>
    </w:p>
    <w:p>
      <w:r>
        <w:t>for collection; in this case, the increase absorbs the late payment interest accrued during the same period. Immediate communication of the payments made must be given to the Authority, through the sending of a copy of the form certifying the payment made. Pursuant to Article 26 of the same law, companies that find themselves in economically disadvantaged conditions may request the installment payment of the penalty. This provision will be notified to the interested parties and published in the Bulletin of the Authority for the Guarantee of Competition and the Market. 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r>
    </w:p>
    <w:p>
      <w:r>
        <w:t>THE SECRETARY GENERAL THE PRESIDENT</w:t>
        <w:br/>
        <w:t>Filippo Arena Roberto Rustichelli</w:t>
      </w:r>
    </w:p>
    <w:p>
      <w:r>
        <w:t>BULLETIN NO. 10 OF MARCH 9, 2020 187</w:t>
      </w:r>
    </w:p>
    <w:p>
      <w:r>
        <w:t>CONCENTRATION OPERATIONS</w:t>
        <w:br/>
        <w:t>C12274 - EMMEEFFE LIBRI/CENTRO LIBRI</w:t>
        <w:br/>
        <w:t>Provision no. 28147</w:t>
        <w:br/>
        <w:t>THE AUTHORITY FOR THE GUARANTEE OF COMPETITION AND THE MARKET</w:t>
        <w:br/>
        <w:t>IN ITS MEETING of February 18, 2020;</w:t>
        <w:br/>
        <w:t>HEARD the Rapporteur Dr. Gabriella Muscolo;</w:t>
        <w:br/>
        <w:t>HAVING REGARD to Law No. 287 of October 10, 1990 and, in particular, Article 16, paragraph 8, which governs the extension of the deadline for the conclusion of the investigation initiated in relation to a concentration operation;</w:t>
        <w:br/>
        <w:t>HAVING REGARD to the D.P.R. No. 217 of April 30, 1998;</w:t>
        <w:br/>
        <w:t>HAVING REGARD to provision no. 28065B of January 14, 2020 with which the Authority decided to initiate an investigation, pursuant to Article 16, paragraph 4, of Law No. 287/90, against EmmeEffe Libri S.p.A., Centro Libri S.r.l., Messaggerie Italiane S.p.A. and Effe 2005 Gruppo Feltrinelli S.p.A.;</w:t>
        <w:br/>
        <w:t>HAVING REGARD to the request for information of February 7, 2020 with which information necessary for the evaluation of the concentration operation was requested from EmmeEffe Libri S.p.A., pursuant to Article 14, paragraph 2, of Law No. 287/90 and Article 9, paragraph 1, of D.P.R. No. 217/98;</w:t>
        <w:br/>
        <w:t>HAVING REGARD to the request of February 7, 2020, with which the company EmmeEffe Libri S.p.A., considering the impossibility of providing the requested information within the indicated deadline, requested an extension of the same deadline;</w:t>
        <w:br/>
        <w:t>CONSIDERING that the requested information, necessary for the evaluation of the case, cannot be acquired within the established terms and, therefore, fully evaluated within the current deadline for the conclusion of the procedure;</w:t>
        <w:br/>
        <w:t>THEREFORE CONSIDERED necessary to extend the deadline for the conclusion of the procedure pursuant to Article 16, paragraph 8, of Law No. 287/90;</w:t>
      </w:r>
    </w:p>
    <w:p>
      <w:r>
        <w:t>RESOLVES</w:t>
        <w:br/>
        <w:t>to extend the deadline for the conclusion of the procedure to March 16, 2020. This provision will be notified to the interested parties pursuant to Article 16, paragraph 3, of D.P.R. No. 217/1998.</w:t>
      </w:r>
    </w:p>
    <w:p>
      <w:r>
        <w:t>188 BULLETIN NO. 10 OF MARCH 9, 2020</w:t>
        <w:br/>
        <w:t>This provision will be published in the Bulletin of the Authority for the Guarantee of Competition and the Market.</w:t>
      </w:r>
    </w:p>
    <w:p>
      <w:r>
        <w:t>THE SECRETARY GENERAL THE PRESIDENT</w:t>
        <w:br/>
        <w:t>Filippo Arena Roberto Rustichelli</w:t>
      </w:r>
    </w:p>
    <w:p>
      <w:r>
        <w:rPr>
          <w:b/>
        </w:rPr>
        <w:t>[Pages 187–189]</w:t>
      </w:r>
    </w:p>
    <w:p>
      <w:r>
        <w:t>BULLETIN NO. 10 OF MARCH 9, 2020 189</w:t>
      </w:r>
    </w:p>
    <w:p>
      <w:r>
        <w:t xml:space="preserve">C12282 - ACCIAIERIE DI CALVISANO/CALEOTTO  </w:t>
        <w:br/>
        <w:t xml:space="preserve">Provision No. 28148  </w:t>
        <w:br/>
        <w:t>THE ANTITRUST AUTHORITY</w:t>
      </w:r>
    </w:p>
    <w:p>
      <w:r>
        <w:t xml:space="preserve">IN ITS MEETING of February 18, 2020;  </w:t>
        <w:br/>
        <w:t xml:space="preserve">HEARD the Rapporteur Dr. Gabriella Muscolo;  </w:t>
        <w:br/>
        <w:t xml:space="preserve">VIEWED Law No. 287 of October 10, 1990;  </w:t>
        <w:br/>
        <w:t xml:space="preserve">VIEWED D.P.R. No. 217 of April 30, 1998;  </w:t>
        <w:br/>
        <w:t xml:space="preserve">VIEWED the communication from Acciaierie di Calvisano S.p.A., received on January 23, 2020;  </w:t>
        <w:br/>
        <w:t>CONSIDERED the following:</w:t>
      </w:r>
    </w:p>
    <w:p>
      <w:r>
        <w:t xml:space="preserve">I. THE PARTIES  </w:t>
        <w:br/>
        <w:t xml:space="preserve">1. Acciaierie di Calvisano S.p.A. (hereinafter ADC) is an Italian company belonging to the Feralpi steel group, active in the production of billets and blooms in steel, semi-finished products that are used, including by group companies, for the production of wire rods, as well as for the production of special profiles, merchant bars, and rolled bars.  </w:t>
        <w:br/>
        <w:t xml:space="preserve">ADC is wholly controlled by Feralpi Siderurgica S.p.A., which is in turn wholly controlled by Feralpi Holding S.p.A.  </w:t>
        <w:br/>
        <w:t>During 2018, the Feralpi group achieved a total revenue of 1.3 billion euros, of which 500.4 and 643.7 million euros were from sales made in Italy and the rest of the European Union, respectively.</w:t>
      </w:r>
    </w:p>
    <w:p>
      <w:r>
        <w:t xml:space="preserve">2. Caleotto S.p.A. (hereinafter Caleotto) is an Italian company active in the production and marketing of high-quality wire rods obtained through the hot rolling of billets (also purchased from ADC) and intended for the automotive, fastener, spring, and drawing sectors.  </w:t>
        <w:br/>
        <w:t xml:space="preserve">Caleotto, which controls Arlenico S.p.A., is currently under joint control of both ADC and Duferco Italia Holding S.p.A., due to an equal division of the share capital and members of the Board of Directors of Caleotto.  </w:t>
        <w:br/>
        <w:t>Caleotto achieved a total revenue of 100.2 million euros during the 2018 financial year, approximately 95% of which was generated through sales in Italy.</w:t>
      </w:r>
    </w:p>
    <w:p>
      <w:r>
        <w:t xml:space="preserve">II. DESCRIPTION OF THE OPERATION  </w:t>
        <w:br/>
        <w:t>3. The communication in question concerns the acquisition by ADC of exclusive control of Caleotto, through the purchase of the share of capital held by Duferco Italia Holding S.p.A. (50%), thus transforming the control of the Feralpi group over Caleotto from joint to exclusive.</w:t>
      </w:r>
    </w:p>
    <w:p>
      <w:r>
        <w:t>190 BULLETIN NO. 10 OF MARCH 9, 2020</w:t>
      </w:r>
    </w:p>
    <w:p>
      <w:r>
        <w:t xml:space="preserve">III. QUALIFICATION OF THE OPERATION  </w:t>
        <w:br/>
        <w:t xml:space="preserve">4. The communicated operation, as it involves the acquisition of exclusive control of a company, constitutes a concentration pursuant to Article 5, paragraph 1, letter b), of Law No. 287/90.  </w:t>
        <w:br/>
        <w:t>It falls within the scope of application of Law No. 287/90, as the conditions set out in Article 1 of Regulation (EC) No. 139/2004 do not apply, and it is subject to the obligation of prior notification provided for by Article 16, paragraph 1, of Law No. 287/90, as the total revenue generated, in the last financial year at the national level, by the group of companies involved was over 498 million euros and the total revenue generated, in the last financial year at the national level, individually by at least two of the companies involved was over 30 million euros.</w:t>
      </w:r>
    </w:p>
    <w:p>
      <w:r>
        <w:t xml:space="preserve">IV. ASSESSMENT OF THE CONCENTRATION  </w:t>
        <w:br/>
        <w:t xml:space="preserve">The product market  </w:t>
        <w:br/>
        <w:t xml:space="preserve">5. From a commodity perspective, the sector affected by the operation in question is that of the production and sale of steel wire rods, in which the target company operates.  </w:t>
        <w:br/>
        <w:t xml:space="preserve">Steel products can indeed be distinguished from each other by various elements (chemical composition, characteristics, applications, semi-finished or not), by type of processing (hot or cold), by shape (long or flat), and by price characteristics, etc.  </w:t>
        <w:br/>
        <w:t xml:space="preserve">In this case, the distinct commodity scope of wire rod is identified, which is a long product.  </w:t>
        <w:br/>
        <w:t>Upstream, the market for billets is identified, produced by the acquiring group, which are semi-finished products used in the manufacture of other steel products, including wire rods.</w:t>
      </w:r>
    </w:p>
    <w:p>
      <w:r>
        <w:t xml:space="preserve">6. According to the Parties, it would also be possible to further distinguish between ordinary wire rods and high-quality wire rods, with the latter constituting a distinct product market in which Caleotto is active.  </w:t>
        <w:br/>
        <w:t xml:space="preserve">For the production of high-quality wire rods, a type of steel is indeed used that contains a predefined percentage of two alloys (chromium and carbon), which allow for an increase in product quality.  </w:t>
        <w:br/>
        <w:t>According to what has been represented, there would be a significant price difference between the two types of wire rod (on the order of 20%, in favor of the high-quality one) and there would be limited substitutability from both the demand side (particularly for customers in the automotive and fastener sectors) and the supply side (in terms of the need for specific plants and equipment as well as qualified personnel).</w:t>
      </w:r>
    </w:p>
    <w:p>
      <w:r>
        <w:t xml:space="preserve">7. In any case, in this specific instance, the question of whether high-quality wire rod represents a distinct product market or a segment of the general wire rod market can be left open, as this assessment would not change.  </w:t>
        <w:br/>
        <w:t xml:space="preserve">1 See C12014 - FIN.FER./BRANCH OF RIVA ACCIAIO, Provision No. 25643 in Bulletin No. 37/2015.  </w:t>
        <w:br/>
        <w:t>2 See C11240 - ROLLING SPECIAL STEELS/LEALI, Provision No. 22822 in Bulletin No. 38/2011 and also C12176 - ACCIAIERIA VENETE-NEWCO BVS/BRANCHES OF BUSINESS BORGO-ODOLO OF LEALI-ODOLO OF LAF, Provision No. 27281 in Bulletin No. 31/2018.</w:t>
      </w:r>
    </w:p>
    <w:p>
      <w:r>
        <w:t>BULLETIN NO. 10 OF MARCH 9, 2020 191</w:t>
      </w:r>
    </w:p>
    <w:p>
      <w:r>
        <w:t xml:space="preserve">The geographic market  </w:t>
        <w:br/>
        <w:t>8. From a geographical relevance perspective, the production of wire rods and billets appears to present - in line with previous assessments - a supranational dimension, tending towards European. Various elements support such a hypothesis, such as the homogeneity of the product, competitive conditions, and prices, as well as the limited impact of transportation costs and the relevance of import/export flows between EU countries, in the absence of particular obstacles or barriers to trade, accompanied by a community dimension of manufacturing and marketing policies.</w:t>
      </w:r>
    </w:p>
    <w:p>
      <w:r>
        <w:t>9. According to the Parties, a European dimension is also appropriate for the specific case of high-quality wire rods, particularly due to the significant import flows into Italy (about one-third of consumption) and export flows from Italy (up to values close to 50% of production, especially towards the German automotive industry), the limited impact of transportation costs (5% or at most 10% for considerable distances), and the European dimension of the main customers/buyers.</w:t>
      </w:r>
    </w:p>
    <w:p>
      <w:r>
        <w:t>10. This assessment, however, would not change considering the hypothesis of a market confined to national borders only (particularly since the target company is active almost exclusively in this geographical area).</w:t>
      </w:r>
    </w:p>
    <w:p>
      <w:r>
        <w:t xml:space="preserve">Effects of the operation  </w:t>
        <w:br/>
        <w:t xml:space="preserve">11. Considering the hypothesis of a market relating only to high-quality wire rods, the estimated market share for Caleotto is approximately 2% at the European level and approximately 12% at the national level.  </w:t>
        <w:br/>
        <w:t>In this hypothesis, there are no horizontal overlaps with the acquiring group (which only produces ordinary quality wire rods), while the vertical relationships do not appear to raise issues of input foreclosure or customer foreclosure, considering also the shares attributable to the Feralpi group in the production of billets (which are less than 1% and 10-12% respectively at the European and national levels).</w:t>
      </w:r>
    </w:p>
    <w:p>
      <w:r>
        <w:t xml:space="preserve">12. Conversely, considering the overall market for wire rods (ordinary and high quality), each of the Parties is attributed a market share of less than 1% at the European level. At the national level, the Feralpi group holds a share of less than 5%, while Caleotto has a share of approximately 3%; in this more restricted geographical area, the main operators, namely the Pittini-Ferriere Nord and Alfa Acciai groups, each have estimated shares around 20%.  </w:t>
        <w:br/>
        <w:t>Even in this case, the vertical relationships do not appear to raise issues of input foreclosure or customer foreclosure, considering the aforementioned shares attributable to the Feralpi group for the production of billets.</w:t>
      </w:r>
    </w:p>
    <w:p>
      <w:r>
        <w:t xml:space="preserve">13. In light of the considerations above, and also considering the fact that the operation results in a transition from joint control to exclusive control, the concentration in question does not appear to be capable of significantly altering competitive dynamics in the relevant markets.  </w:t>
        <w:br/>
        <w:t>3 With reference to the more restricted Italian context of high-quality wire rods, there are also several operators with similar (Moravia, ORI Martin, Acciaierie Venete) or higher (ABS-Danieli, Arcelor Mittal) shares than those estimated for Caleotto.</w:t>
      </w:r>
    </w:p>
    <w:p>
      <w:r>
        <w:rPr>
          <w:b/>
        </w:rPr>
        <w:t>[Pages 190–192]</w:t>
      </w:r>
    </w:p>
    <w:p>
      <w:r>
        <w:t>192 BULLETIN NO. 10 OF MARCH 9, 2020</w:t>
      </w:r>
    </w:p>
    <w:p>
      <w:r>
        <w:t>CONSIDERED, therefore, that the operation in question does not entail, pursuant to Article 6, paragraph 1, of Law No. 287/90, the establishment or strengthening of a dominant position in the relevant markets, such as to eliminate or substantially and durably reduce competition;</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br/>
        <w:t>Filippo Arena Roberto Rustichelli</w:t>
      </w:r>
    </w:p>
    <w:p>
      <w:r>
        <w:t>BULLETIN NO. 10 OF MARCH 9, 2020 193</w:t>
      </w:r>
    </w:p>
    <w:p>
      <w:r>
        <w:t>C12247B - BDC ITALIA-CONAD/AUCHAN</w:t>
        <w:br/>
        <w:t>Provision No. 28163</w:t>
      </w:r>
    </w:p>
    <w:p>
      <w:r>
        <w:t>THE ANTITRUST AUTHORITY</w:t>
      </w:r>
    </w:p>
    <w:p>
      <w:r>
        <w:t>IN ITS MEETING of February 25, 2020;</w:t>
      </w:r>
    </w:p>
    <w:p>
      <w:r>
        <w:t>HEARD the Rapporteur Professor Michele Ainis;</w:t>
      </w:r>
    </w:p>
    <w:p>
      <w:r>
        <w:t>SEEN Regulation (EC) No. 139/2004;</w:t>
      </w:r>
    </w:p>
    <w:p>
      <w:r>
        <w:t>SEEN Law No. 287 of October 10, 1990;</w:t>
      </w:r>
    </w:p>
    <w:p>
      <w:r>
        <w:t>SEEN Presidential Decree No. 217 of April 30, 1998;</w:t>
      </w:r>
    </w:p>
    <w:p>
      <w:r>
        <w:t>SEEN the communication from BDC Italia S.p.A. and CONAD Consorzio Nazionale Dettaglianti Soc. Coop., received on January 3, 2020;</w:t>
      </w:r>
    </w:p>
    <w:p>
      <w:r>
        <w:t>SEEN its resolution of January 14, 2020, No. 28064B, with which it initiated, pursuant to Article 16, paragraph 4, of Law No. 287/90, the proceedings against the companies BDC Italia S.p.A., CONAD Consorzio Nazionale Dettaglianti Soc. Coop., Pac2000A Soc. Coop., Conad Nord Ovest Soc. Coop., Commercianti Indipendenti Associati Soc. Coop., Conad Centro Nord Soc. Coop., Conad Adriatico Soc. Coop., Conad Sicilia Soc. Coop.;</w:t>
      </w:r>
    </w:p>
    <w:p>
      <w:r>
        <w:t>SEEN the Communication of Investigative Results transmitted on January 29, 2020;</w:t>
      </w:r>
    </w:p>
    <w:p>
      <w:r>
        <w:t>SEEN the communication of February 3, 2020, with which BDC Italia S.p.A. and CONAD Consorzio Nazionale Dettaglianti Soc. Coop. presented corrective measures, supplemented on February 18, 2020, aimed at addressing the competitive concerns highlighted in the Communication of Investigative Results;</w:t>
      </w:r>
    </w:p>
    <w:p>
      <w:r>
        <w:t>SEEN the acts of the proceedings and the documentation acquired during the investigation;</w:t>
      </w:r>
    </w:p>
    <w:p>
      <w:r>
        <w:t>CONSIDERED the following:</w:t>
      </w:r>
    </w:p>
    <w:p>
      <w:r>
        <w:t>I. THE PARTIES</w:t>
      </w:r>
    </w:p>
    <w:p>
      <w:r>
        <w:t>1. CONAD Consorzio Nazionale Dettaglianti Soc. Coop. (hereinafter also "CONAD") is a cooperative society that gathers and represents six large cooperative groups, distributed throughout the Italian territory at the regional or supra-regional level (Pac2000A Soc. Coop., Conad Nord Ovest Soc. Coop., Commercianti Indipendenti Associati Soc. Coop., Conad Centro Nord Soc. Coop., Conad Adriatico Soc. Coop., Conad Sicilia Soc. Coop., hereinafter collectively referred to as "the Cooperatives"). The organizational model of CONAD (hereinafter also "CONAD system") is structured on three levels:</w:t>
        <w:br/>
        <w:t>i) the individual entrepreneurs, members of the cooperatives and owners of the retail outlets active in the territory (hereinafter also "retailers"), who operate independently and at their own business risk in the Organized Large Distribution ("GDO"), availing themselves of the supply of goods and services from the individual Cooperative;</w:t>
        <w:br/>
        <w:t>ii) the Cooperatives, members of the national CONAD consortium and each operating in a specific area of the national territory, which support and coordinate the individual entrepreneurs by providing administrative, commercial, logistical, and financial services;</w:t>
      </w:r>
    </w:p>
    <w:p>
      <w:r>
        <w:t>194 BULLETIN NO. 10 OF MARCH 9, 2020</w:t>
      </w:r>
    </w:p>
    <w:p>
      <w:r>
        <w:t>iii) the national CONAD consortium, which operates as a purchasing and service center, dealing with strategic planning, marketing, and communication activities for the entire system, as well as the production, promotion, and development of the CONAD brand. The Cooperatives and CONAD provide, among other services, support for commercial activities and marketing as well as administrative, financial, and human resource management services, in addition to organizing the supply and joint purchase of consumer goods, as well as encouraging and promoting innovation and modernization of the distribution structures of the members. CONAD associates over 2,600 retailers operating in the national territory under the CONAD City, CONAD, CONAD Superstore, and CONAD hypermarket brands; in 2018, CONAD achieved a turnover of approximately 1.4 billion euros in Italy.</w:t>
      </w:r>
    </w:p>
    <w:p>
      <w:r>
        <w:t>2. Pac2000A Soc. Coop. a r.l. (hereinafter also "PAC2000"), with approximately 880 associated retailers, is the largest cooperative associated with CONAD. It oversees over a thousand retail outlets (hereinafter also "pv"), located in the Central South – specifically in Lazio, Umbria, Basilicata, Calabria, and Campania – as well as a discount network (under the Todis brand) distributed throughout the national territory. PAC2000 achieved a turnover of approximately 2.7 billion euros in 2018.</w:t>
      </w:r>
    </w:p>
    <w:p>
      <w:r>
        <w:t>3. Conad Nord Ovest Soc. Coop. (hereinafter also "Conad Nord Ovest") is a company recently established from the merger between Nordiconad Soc. Coop. and Conad del Tirreno Soc. Coop., which took place on September 16, 2019. The two cooperatives collectively associated 411 retailers, with a sales network composed of over 800 retail outlets located in Liguria, Lazio, Sardinia, Tuscany, Lombardy, Piedmont, Aosta Valley, Emilia-Romagna, and Veneto. Nordiconad Soc. Coop. achieved a turnover of approximately 825 million euros in 2018, while Conad del Tirreno Soc. Coop. achieved a turnover of approximately 1.6 billion euros.</w:t>
      </w:r>
    </w:p>
    <w:p>
      <w:r>
        <w:t>4. Commercianti Indipendenti Associati Soc. Coop. (hereinafter also "CIA") associates 157 entrepreneurs, who manage a network of 222 retail outlets located in Emilia-Romagna, Friuli Venezia-Giulia, Marche, and Veneto. The cooperative's turnover was approximately 1.2 billion euros in 2018.</w:t>
      </w:r>
    </w:p>
    <w:p>
      <w:r>
        <w:t>5. Conad Centro Nord Soc. Coop. (hereinafter also "Conad Centro Nord") is a cooperative that associates 165 retailers, who manage a network of approximately 240 active retail outlets in Lombardy and Emilia-Romagna. The cooperative achieved a turnover of approximately 875 million euros in 2018.</w:t>
      </w:r>
    </w:p>
    <w:p>
      <w:r>
        <w:t>6. Conad Adriatico Soc. Coop. (hereinafter also "Conad Adriatico") associates 261 retailers, who manage approximately 400 retail outlets located in the regions of Marche, Abruzzo, Puglia, Basilicata, and Molise. It achieved a turnover of approximately 745 million euros in 2018.</w:t>
      </w:r>
    </w:p>
    <w:p>
      <w:r>
        <w:t>7. Conad Sicilia Soc. Coop. (hereinafter also "Conad Sicilia") associates approximately 180 entrepreneurs who manage over 350 retail outlets located in Calabria and Sicily. It achieved a turnover of approximately 500 million euros in 2018.</w:t>
      </w:r>
    </w:p>
    <w:p>
      <w:r>
        <w:t>8. BDC Italia S.p.A. (hereinafter also "BDC") is a vehicle company established on February 14, 2019, and is subject to the control of CONAD, which holds 51% of its share capital. The remaining part</w:t>
      </w:r>
    </w:p>
    <w:p>
      <w:r>
        <w:rPr>
          <w:b/>
        </w:rPr>
        <w:t>[Pages 193–195]</w:t>
      </w:r>
    </w:p>
    <w:p>
      <w:r>
        <w:t>BULLETIN NO. 10 OF MARCH 9, 2020 195</w:t>
      </w:r>
    </w:p>
    <w:p>
      <w:r>
        <w:t>of the share capital is held by POP18 S.a.r.l., a company controlled by Time Life S.A., a holding of the WRM group, active in various fields, including: private equity, corporate restructuring, and real estate investments. The role of BDC is limited to the acquisition and management of the stake in Auchan S.p.A.</w:t>
      </w:r>
    </w:p>
    <w:p>
      <w:r>
        <w:t>9. Margherita Distribuzione S.p.A. (formerly Auchan S.p.A., hereinafter also "Auchan") is an Italian company active in the modern distribution sector of food and non-food products of mass and general consumption, through a network of 241 points of sale (hereinafter, also "pv") managed directly or through controlled companies (and in particular the companies SMA S.p.A., hereinafter also "SMA", and Società Generale Distribuzione S.p.A., hereinafter also "SDG"3) under the brands Simply, Punto Simply, SimplyCity, La Bottega, Auchan, My Auchan, and Ipersimply, spread throughout the national territory4. Auchan also owns an additional 50 pvs currently leased to third parties. There were also 201 pvs affiliated with SMA through franchise agreements (of which 10 expired in 2019), as well as an additional 775 pvs through six master franchise agreements (of which 3 expired on January 1, 2020). Auchan is also marginally active in the online sales and fuel distribution sectors. Auchan is 100% owned by Soldanelle SA, which is in turn controlled by the French company Auchan Holding SA. In 2018, the revenue generated in Italy by Auchan was approximately [1-2]* billion euros.</w:t>
      </w:r>
    </w:p>
    <w:p>
      <w:r>
        <w:t>II. DESCRIPTION OF THE OPERATION</w:t>
      </w:r>
    </w:p>
    <w:p>
      <w:r>
        <w:t>10. The operation in question consists of the acquisition by BDC, a vehicle company specifically established and controlled by CONAD, of the entire share capital of Auchan5 for the purpose of transferring to the member Cooperatives, in whole or in part, the acquired pvs. In particular, the 241 pvs directly managed by Auchan or its subsidiaries (hereinafter, "direct pvs") as well as the 50 pvs leased to third parties (hereinafter, "leased pvs") acquired by CONAD as part of this operation have been or will be transferred by CONAD to the individual Cooperatives of the CONAD system, based on their respective geographical location, and partly sold to third parties. In particular, the Parties have communicated that on December 23, 2019, a preliminary agreement was signed between Margherita Distribuzione S.p.A. and Esselunga S.p.A. for the transfer to the latter of 6 points of sale. The current scope of the operation therefore concerns 241 direct pvs (of which 6 are being transferred to Esselunga S.p.A.) and 50 leased pvs (thus, a total of 291 pvs). This includes 78 hypermarkets, 169 supermarkets, and 44 convenience stores that, based on the existing geographical distribution scheme within the CONAD system, will be partly transferred to: CIA (up to 105 pvs), Conad Centro Nord (up to 63 pvs), PAC2000 (up to 48 pvs), Conad Adriatico (up to 38 pvs), Coop Nord Ovest (up to 26 pvs), and Conad Sicilia (up to 5 pvs). Regarding the franchised and master franchised pvs affiliated with SMA, they will not be transferred to the Cooperatives as such business models are not compatible with the CONAD system. These pvs will therefore be managed by CONAD only until the natural expiration of the original contract with SMA or until its possible early termination, continuing to operate under the current brands (related to Auchan) and according to the provisions of the existing contract. Franchisees who wish to associate themselves, as retailers, with the individual Cooperatives may submit a request in compliance with the relevant requirements and within the timelines to be defined from time to time between the parties.</w:t>
      </w:r>
    </w:p>
    <w:p>
      <w:r>
        <w:t>11. Soldanelle SA and its affiliates have undertaken, for a period of three years from the transfer of Auchan, to refrain from carrying out in Italy, directly or indirectly, wholesale activities, management of hypermarkets, supermarkets, and convenience stores, and any further type of large-scale distribution of food products (including alcoholic beverages) and pet food.</w:t>
      </w:r>
    </w:p>
    <w:p>
      <w:r>
        <w:t>III. QUALIFICATION OF THE OPERATION</w:t>
      </w:r>
    </w:p>
    <w:p>
      <w:r>
        <w:t>12. The operation in question, as it involves the acquisition of exclusive control over multiple business entities, constitutes a concentration pursuant to Article 5, paragraph 1, letter b), of Law No. 287/90.</w:t>
      </w:r>
    </w:p>
    <w:p>
      <w:r>
        <w:t>13. It falls within the scope of application of Law No. 287/90, as the conditions set out in Article 1 of Regulation No. 139/2004 do not apply, and is subject to the obligation of prior notification provided for by Article 16, paragraph 1, of the same law6, as the total revenue generated in the last financial year at the national level by the group of companies involved exceeded 498 million euros and as the total revenue generated individually at the national level by at least two of the companies involved exceeded 30 million euros.</w:t>
      </w:r>
    </w:p>
    <w:p>
      <w:r>
        <w:t>14. In particular, regarding the points of sale included in the scope of the operation, the direct and leased pvs are relevant, while the remaining pvs in franchising and master franchising do not fall within the concentration operation in question. This is because they were linked to Auchan and/or its subsidiaries – and will now be linked to CONAD – by a contractual supply obligation, which, in this case, does not constitute a situation of control under antitrust law.</w:t>
      </w:r>
    </w:p>
    <w:p>
      <w:r>
        <w:t>IV. INITIATION OF THE PROCEDURE AND INVESTIGATIVE ACTIVITY</w:t>
      </w:r>
    </w:p>
    <w:p>
      <w:r>
        <w:t>15. Following the decision not to proceed dated December 20, 2019, regarding case C12247, on January 3, 2020, a new communication from the Parties regarding the operation described in paragraph II was received.</w:t>
      </w:r>
    </w:p>
    <w:p>
      <w:r>
        <w:t>16. On January 14, 2020, the present investigation was initiated, pursuant to Article 16, paragraph 4, of Law No. 287/90, against the companies BDC Italia S.p.A., CONAD Consorzio Nazionale Dettaglianti Soc. Coop., Pac2000A Soc. Coop., Conad Nord Ovest Soc. Coop., Commercianti Indipendenti Associati Soc. Coop., Conad Centro Nord Soc. Coop., Conad Adriatico Soc. Coop., Conad Sicilia Soc. Coop., believing that the concentration operation could lead to the creation or strengthening of a dominant position in the upstream markets for the supply of food and non-food products of mass consumption, as well as in a plurality of local markets for the retail sale of large-scale distribution, such as to eliminate or substantially and durably reduce competition in the same markets.</w:t>
      </w:r>
    </w:p>
    <w:p>
      <w:r>
        <w:t>17. The documentation in the file C12247 has been fully incorporated into file C12247B. As part of the investigation related to procedure C12274B, two additional hearings with BDC and CONAD7 were held on January 17 and February 11, 2020.</w:t>
      </w:r>
    </w:p>
    <w:p>
      <w:r>
        <w:t>18. On January 29, 2020, the Communication of Investigative Results8 (hereinafter also "CRI") was sent to the Parties.</w:t>
      </w:r>
    </w:p>
    <w:p>
      <w:r>
        <w:t>19. On January 30, 2020, a request to participate in the procedure was received from a supplier of CONAD and Auchan9. The request was rejected on February 4, 2020, as it was not adequately justified regarding the reasons that would justify the existence of a "direct, immediate, and current" prejudice for the applicant, as required by Article 7 of the D.P.R. April 30, 1998, No. 21710.</w:t>
      </w:r>
    </w:p>
    <w:p>
      <w:r>
        <w:t>20. With communications received on February 3 and 18, 202011, the Parties made some corrections to the data provided during the investigation regarding the points of sale actually active in the relevant markets and their respective brands. In the same communications, the Parties proposed some corrective measures aimed at resolving the competitive issues highlighted in the CRI.</w:t>
      </w:r>
    </w:p>
    <w:p>
      <w:r>
        <w:t>V. INVESTIGATIVE RESULTS</w:t>
      </w:r>
    </w:p>
    <w:p>
      <w:r>
        <w:t>1) Premise</w:t>
      </w:r>
    </w:p>
    <w:p>
      <w:r>
        <w:t>21. The present operation consists of the acquisition by BDC, a vehicle company specifically established and controlled by CONAD, of the entire share capital of Auchan for the purpose of transferring to the member Cooperatives, in whole or in part, the 291 acquired pvs (78 hypermarkets, 169 supermarkets, and 44 convenience stores).</w:t>
      </w:r>
    </w:p>
    <w:p>
      <w:r>
        <w:t>2) The markets affected by the operation</w:t>
      </w:r>
    </w:p>
    <w:p>
      <w:r>
        <w:t>2.1) The markets for the retail sale of food and non-food products of mass consumption</w:t>
      </w:r>
    </w:p>
    <w:p>
      <w:r>
        <w:t>22. In the initiation decision, based on the new definition of relevant markets adopted in a recent investigation within the framework of a concentration operation assessment in the large-scale distribution sector12, the relevant product markets identified as affected by the present operation are the markets for hypermarkets and supermarkets, defined as follows:</w:t>
      </w:r>
    </w:p>
    <w:p>
      <w:r>
        <w:t>7 See docs. 129 and 143.</w:t>
        <w:br/>
        <w:t>8 Docs. 130-137.</w:t>
        <w:br/>
        <w:t>9 Doc. 138.</w:t>
        <w:br/>
        <w:t>10 Doc. 140.</w:t>
        <w:br/>
        <w:t>11 See docs. 138 and 144. The latter document was partially modified by doc. 146, received on February 19, 2020.</w:t>
        <w:br/>
        <w:t>12 See C12246 – FRATELLI ARENA/RAMI DI AZIENDA DI SMA-DISTRIBUZIONE CAMBRIA-ROBERTO ABATE, provision No. 28038 of December 20, 2019, in Bulletin No. 52/2019, para. 44-49.</w:t>
      </w:r>
    </w:p>
    <w:p>
      <w:r>
        <w:rPr>
          <w:b/>
        </w:rPr>
        <w:t>[Pages 196–198]</w:t>
      </w:r>
    </w:p>
    <w:p>
      <w:r>
        <w:t>198 BULLETIN NO. 10 OF MARCH 9, 2020</w:t>
      </w:r>
    </w:p>
    <w:p>
      <w:r>
        <w:t>i. the supermarket market (sales points between 400-2,499 sqm), consisting of all supermarkets, mini-markets, hypermarkets, and discount stores, or all sales points with a surface area equal to or greater than 100 sqm;</w:t>
      </w:r>
    </w:p>
    <w:p>
      <w:r>
        <w:t>ii. the hypermarket market (sales points of sizes equal to or greater than 2,500 sqm), consisting, in addition to the hypermarkets themselves, also of all supermarkets and discount stores, or all sales points with a surface area equal to or greater than 400 sqm.</w:t>
      </w:r>
    </w:p>
    <w:p>
      <w:r>
        <w:t>23. In the initiation provision, an additional market affected by the operation under examination was also identified, namely the market for mini-markets, hypothesizing, based on the same evidence collected during the aforementioned investigative procedure, a broader market definition than the practice used so far13, aimed at including also discount stores and larger supermarkets (1,500-2,499 sqm). The new configuration of the mini-market market hypothesized at the outset has been the subject of further investigation within the present inquiry (see infra).</w:t>
      </w:r>
    </w:p>
    <w:p>
      <w:r>
        <w:t>24. Regarding the geographical extension of the relevant markets, the Authority, again based on the outcomes of the recent inquiry for the assessment of the concentration operation in the GDO sector mentioned above14, identified, for supermarkets and hypermarkets, the geographical markets concerned in the area delimited by isochrone curves of 15 minutes of driving constructed around the sales points of the target company subject to acquisition.</w:t>
      </w:r>
    </w:p>
    <w:p>
      <w:r>
        <w:t>25. With regard to the geographical market of mini-markets, in the initiation provision, the Authority identified, in first approximation, its extension in the area delimited by isochrone curves of 10 minutes of driving, constructed around the mini-markets affected by the operation. The geographical definition of the mini-market market has been the subject of further investigation within the present inquiry.</w:t>
      </w:r>
    </w:p>
    <w:p>
      <w:r>
        <w:t>26. Based on these premises, the Authority initiated an inquiry pursuant to Article 16, paragraph 4, of Law No. 287/90 to verify whether the operation under examination would create or strengthen a dominant position in 10 local mini-market markets (see Table 1), 65 local supermarket markets (see Table 2), and 26 local hypermarket markets (see Table 3). These markets were deemed likely to raise competitive concerns as, based on the data provided by the Parties and the aforementioned product and geographical definitions, significant horizontal overlaps were determined within them, with post-merger market shares exceeding 25%15 and increases attributable to the concentration under examination deemed non-negligible.</w:t>
      </w:r>
    </w:p>
    <w:p>
      <w:r>
        <w:t>13 In the practice adopted by the Authority to date, this market is composed of the same mini-markets and only small to medium supermarkets (with a surface area between 400 and 1,499 sqm).</w:t>
      </w:r>
    </w:p>
    <w:p>
      <w:r>
        <w:t>14 See C12246 FRATELLI ARENA/RAMI DI AZIENDA DI SMA-DISTRIBUZIONE CAMBRIA-ROBERTO ABATE, cited, para 50-52.</w:t>
      </w:r>
    </w:p>
    <w:p>
      <w:r>
        <w:t>15 See Council Regulation (EC) No. 139/2004 of January 20, 2004, on the control of concentrations between undertakings, para 32: "Concentrations may be presumed compatible with the common market where, given the modest market share of the undertakings concerned, they are not such as to impede effective competition. Subject to Articles 81 [101 TFEU] and 82 [102 TFEU] of the Treaty, an indication in this sense exists where the market share of the undertakings concerned does not exceed 25% either in the common market or in a substantial part thereof."</w:t>
      </w:r>
    </w:p>
    <w:p>
      <w:r>
        <w:t>BULLETIN NO. 10 OF MARCH 9, 2020 199</w:t>
      </w:r>
    </w:p>
    <w:p>
      <w:r>
        <w:t>Table 1 – Local mini-market markets identified at the outset</w:t>
      </w:r>
    </w:p>
    <w:p>
      <w:r>
        <w:t>Market No. Relevant Isochrones (brand, address, province) Conad Auchan Aggregate Parties</w:t>
        <w:br/>
        <w:t>1 PUNTO SIMPLY [omissis] RM [20-25%] [5-10%] [30-35%]</w:t>
        <w:br/>
        <w:t>2 PUNTO SIMPLY [omissis] RM [15-20%] [10-15%] [25-30%]</w:t>
        <w:br/>
        <w:t>3 PUNTO SIMPLY [omissis] VI [20-25%] [5-10%] [30-35%]</w:t>
        <w:br/>
        <w:t>4 PUNTO SIMPLY [omissis] FM [30-35%] [20-25%] [50-55%]</w:t>
        <w:br/>
        <w:t>5 PUNTO SMA [omissis] FC [40-45%] [5-10%] [45-50%]</w:t>
        <w:br/>
        <w:t>6 PUNTO SIMPLY [omissis] FM [15-20%] [35-40%] [55-60%]</w:t>
        <w:br/>
        <w:t>7 PUNTO SIMPLY [omissis] FM [25-30%] [5-10%] [30-35%]</w:t>
        <w:br/>
        <w:t>8 PUNTO SIMPLY [omissis] MC [30-35%] [1-5%] [35-40%]</w:t>
        <w:br/>
        <w:t>9 PUNTO SIMPLY [omissis] FM [30-35%] [20-25%] [50-55%]</w:t>
        <w:br/>
        <w:t>10 PUNTO SIMPLY [omissis] RM [20-25%] [5-10%] [25-30%]</w:t>
      </w:r>
    </w:p>
    <w:p>
      <w:r>
        <w:t>Table 2 – Local supermarket markets identified at the outset</w:t>
      </w:r>
    </w:p>
    <w:p>
      <w:r>
        <w:t>Market No. Relevant Isochrones (brand, address, province) Conad Auchan Aggregate Parties</w:t>
        <w:br/>
        <w:t>1 SIMPLY [omissis] FC [50-55%] [1-5%] [55-60%]</w:t>
        <w:br/>
        <w:t>2 SMA [omissis] MC [5-10%] [25-30%] [30-35%]</w:t>
        <w:br/>
        <w:t>3 SIMPLY [omissis] PE [20-25%] [5-10%] [30-35%]</w:t>
        <w:br/>
        <w:t>4 IPERSIMPLY [omissis] TE [15-20%] [10-15%] [30-35%]</w:t>
        <w:br/>
        <w:t>5 MY AUCHAN [omissis] RM [15-20%] [10-15%] [25-30%]</w:t>
        <w:br/>
        <w:t>6 SIMPLY [omissis] AN [1-5%] [30-35%] [30-35%]</w:t>
        <w:br/>
        <w:t>7 SIMPLY [omissis] RN [75-80%] [1-5%] [80-85%]</w:t>
        <w:br/>
        <w:t>8 IPERSIMPLY [omissis] PE [25-30%] [15-20%] [45-50%]</w:t>
        <w:br/>
        <w:t>9 SIMPLY [omissis] PE [20-25%] [15-20%] [35-40%]</w:t>
        <w:br/>
        <w:t>10 MYAUCHAN [omissis] PC [5-10%] [15-20%] [25-30%]</w:t>
        <w:br/>
        <w:t>11 SIMPLY [omissis] PR [40-45%] [15-20%] [60-65%]</w:t>
      </w:r>
    </w:p>
    <w:p>
      <w:r>
        <w:t>200 BULLETIN NO. 10 OF MARCH 9, 2020</w:t>
      </w:r>
    </w:p>
    <w:p>
      <w:r>
        <w:t>Market No. Relevant Isochrones (brand, address, province) Conad Auchan Aggregate Parties</w:t>
        <w:br/>
        <w:t>12 PUNTO SIMPLY [omissis] PC [30-35%] [1-5%] [35-40%]</w:t>
        <w:br/>
        <w:t>13 PUNTO SIMPLY [omissis] RM [10-15%] [10-15%] [25-30%]</w:t>
        <w:br/>
        <w:t>14 SIMPLY CITY [omissis] RM [15-20%] [10-15%] [25-30%]</w:t>
        <w:br/>
        <w:t>15 SIMPLY CITY [omissis] RM [20-25%] [5-10%] [25-30%]</w:t>
        <w:br/>
        <w:t>16 SIMPLY [omissis] RM [20-25%] [5-10%] [25-30%]</w:t>
        <w:br/>
        <w:t>17 PUNTO SIMPLY [omissis] RM [20-25%] [10-15%] [30-35%]</w:t>
        <w:br/>
        <w:t>18 SIMPLY [omissis] RM [25-30%] [5-10%] [35-40%]</w:t>
        <w:br/>
        <w:t>19 SIMPLY [omissis] RM [20-25%] [5-10%] [25-30%]</w:t>
        <w:br/>
        <w:t>20 PUNTO SIMPLY [omissis] RM [15-20%] [5-10%] [25-30%]</w:t>
        <w:br/>
        <w:t>21 SIMPLY CITY [omissis] RM [20-25%] [5-10%] [30-35%]</w:t>
        <w:br/>
        <w:t>22 PUNTO SIMPLY [omissis] RM [10-15%] [10-15%] [25-30%]</w:t>
        <w:br/>
        <w:t>23 SIMPLY [omissis] RM [10-15%] [15-20%] [25-30%]</w:t>
        <w:br/>
        <w:t>24 SIMPLY [omissis] RM [20-25%] [5-10%] [25-30%]</w:t>
        <w:br/>
        <w:t>25 SIMPLY [omissis] RM [15-20%] [5-10%] [25-30%]</w:t>
        <w:br/>
        <w:t>26 SIMPLY [omissis] RM [20-25%] [5-10%] [25-30%]</w:t>
        <w:br/>
        <w:t>27 SIMPLY [omissis] RM [25-30%] [10-15%] [35-40%]</w:t>
        <w:br/>
        <w:t>28 PUNTO SIMPLY [omissis] RM [15-20%] [5-10%] [25-30%]</w:t>
        <w:br/>
        <w:t>29 SIMPLY [omissis] RM [30-35%] [1-5%] [35-40%]</w:t>
        <w:br/>
        <w:t>30 SIMPLY [omissis] RM [15-20%] [15-20%] [35-40%]</w:t>
        <w:br/>
        <w:t>31 SIMPLY [omissis] BG [5-10%] [20-25%] [30-35%]</w:t>
        <w:br/>
        <w:t>32 SIMPLY [omissis] RM [25-30%] [5-10%] [30-35%]</w:t>
        <w:br/>
        <w:t>33 SIMPLY [omissis] RM [25-30%] [5-10%] [35-40%]</w:t>
        <w:br/>
        <w:t>34 SIMPLY [omissis] RM [15-20%] [10-15%] [25-30%]</w:t>
        <w:br/>
        <w:t>35 SIMPLY [omissis] RM [20-25%] [5-10%] [25-30%]</w:t>
        <w:br/>
        <w:t>36 SIMPLY [omissis] BS [1-5%] [25-30%] [30-35%]</w:t>
      </w:r>
    </w:p>
    <w:p>
      <w:r>
        <w:rPr>
          <w:b/>
        </w:rPr>
        <w:t>[Pages 199–201]</w:t>
      </w:r>
    </w:p>
    <w:p>
      <w:r>
        <w:t>BULLETIN NO. 10 OF MARCH 9, 2020 201</w:t>
      </w:r>
    </w:p>
    <w:p>
      <w:r>
        <w:t>Quota of Quota of Quota of</w:t>
        <w:br/>
        <w:t>Isocrones relevant (brand, address,</w:t>
        <w:br/>
        <w:t>no. market market market</w:t>
        <w:br/>
        <w:t>province)</w:t>
        <w:br/>
        <w:t>Conad Auchan aggregated Parties</w:t>
      </w:r>
    </w:p>
    <w:p>
      <w:r>
        <w:t>37 SIMPLY [omissis] MI [50-55%] [15-20%] [65-70%]</w:t>
        <w:br/>
        <w:t>38 SIMPLY [omissis] BS [1-5%] [35-40%] [35-40%]</w:t>
        <w:br/>
        <w:t>39 IPERSIMPLY [omissis] BS [1-5%] [35-40%] [35-40%]</w:t>
        <w:br/>
        <w:t>40 SIMPLY [omissis] BS [1-5%] [25-30%] [30-35%]</w:t>
        <w:br/>
        <w:t>41 AUCHAN [omissis] BS [1-5%] [25-30%] [30-35%]</w:t>
        <w:br/>
        <w:t>42 AUCHAN [omissis] BS [1-5%] [20-25%] [25-30%]</w:t>
        <w:br/>
        <w:t>43 SIMPLY [omissis] PU [5-10%] [25-30%] [30-35%]</w:t>
        <w:br/>
        <w:t>44 PUNTO SIMPLY [omissis] PU [35-40%] [1-5%] [35-40%]</w:t>
        <w:br/>
        <w:t>45 SIMPLY [omissis] Pesaro PU [35-40%] [1-5%] [35-40%]</w:t>
        <w:br/>
        <w:t>46 IPERSIMPLY [omissis] AN [10-15%] [20-25%] [30-35%]</w:t>
        <w:br/>
        <w:t>47 SIMPLY [omissis] AN [5-10%] [40-45%] [50-55%]</w:t>
        <w:br/>
        <w:t>48 SIMPLY [omissis] PU [5-10%] [25-30%] [30-35%]</w:t>
        <w:br/>
        <w:t>49 SIMPLY [omissis] AN [1-5%] [30-35%] [35-40%]</w:t>
        <w:br/>
        <w:t>50 SIMPLY [omissis] PU [5-10%] [35-40%] [40-45%]</w:t>
        <w:br/>
        <w:t>51 SIMPLY [omissis] AN [5-10%] [25-30%] [35-40%]</w:t>
        <w:br/>
        <w:t>52 SIMPLY [omissis] FM [15-20%] [15-20%] [35-40%]</w:t>
        <w:br/>
        <w:t>53 IPERSIMPLY [omissis] MC [5-10%] [15-20%] [25-30%]</w:t>
        <w:br/>
        <w:t>54 SIMPLY [omissis] PG [25-30%] [5-10%] [35-40%]</w:t>
        <w:br/>
        <w:t>55 IPERSIMPLY [omissis] PE [25-30%] [15-20%] [40-45%]</w:t>
        <w:br/>
        <w:t>56 PUNTO SIMPLY [omissis] VE [40-45%] [10-15%] [50-55%]</w:t>
        <w:br/>
        <w:t>57 SIMPLY [omissis] BS [1-5%] [20-25%] [25-30%]</w:t>
        <w:br/>
        <w:t>58 SIMPLY [omissis] FM [5-10%] [20-25%] [25-30%]</w:t>
        <w:br/>
        <w:t>59 SIMPLY [omissis] FC [25-30%] [1-5%] [30-35%]</w:t>
        <w:br/>
        <w:t>60 SIMPLY [omissis] AN [5-10%] [15-20%] [25-30%]</w:t>
        <w:br/>
        <w:t>61 SIMPLY [omissis] AN [5-10%] [20-25%] [30-35%]</w:t>
      </w:r>
    </w:p>
    <w:p>
      <w:r>
        <w:t>202 BULLETIN NO. 10 OF MARCH 9, 2020</w:t>
      </w:r>
    </w:p>
    <w:p>
      <w:r>
        <w:t>Quota of Quota of Quota of</w:t>
        <w:br/>
        <w:t>Isocrones relevant (brand, address,</w:t>
        <w:br/>
        <w:t>no. market market market</w:t>
        <w:br/>
        <w:t>province)</w:t>
        <w:br/>
        <w:t>Conad Auchan aggregated Parties</w:t>
      </w:r>
    </w:p>
    <w:p>
      <w:r>
        <w:t>62 SIMPLY CITY [omissis] FC [50-55%] [1-5%] [55-60%]</w:t>
        <w:br/>
        <w:t>63 PUNTO SIMPLY [omissis] PU [25-30%] [40-45%] [65-70%]</w:t>
        <w:br/>
        <w:t>64 PUNTO SIMPLY [omissis] RM [15-20%] [10-15%] [25-30%]</w:t>
        <w:br/>
        <w:t>65 SIMPLY [omissis] AP [5-10%] [15-20%] [25-30%]</w:t>
      </w:r>
    </w:p>
    <w:p>
      <w:r>
        <w:t>Table 3 – Local markets of hypermarkets identified at the start</w:t>
      </w:r>
    </w:p>
    <w:p>
      <w:r>
        <w:t>Quota of Quota of Quota of</w:t>
        <w:br/>
        <w:t>no. Isocrones relevant (brand, address, province) market market market</w:t>
        <w:br/>
        <w:t>Conad Auchan aggregated Parties</w:t>
      </w:r>
    </w:p>
    <w:p>
      <w:r>
        <w:t>1 AUCHAN [omissis] LO [10-15%] [15-20%] [25-30%]</w:t>
        <w:br/>
        <w:t>2 AUCHAN [omissis] FM [15-20%] [15-20%] [30-35%]</w:t>
        <w:br/>
        <w:t>3 AUCHAN [omissis] CA [25-30%] [15-20%] [40-45%]</w:t>
        <w:br/>
        <w:t>4 AUCHAN [omissis] OT [20-25%] [25-30%] [45-50%]</w:t>
        <w:br/>
        <w:t>5 AUCHAN [omissis] NA [20-25%] [25-30%] [40-45%]</w:t>
        <w:br/>
        <w:t>6 AUCHAN [omissis] PE [30-35%] [20-25%] [50-55%]</w:t>
        <w:br/>
        <w:t>7 AUCHAN [omissis] NA [15-20%] [25-30%] [40-45%]</w:t>
        <w:br/>
        <w:t>8 AUCHAN [omissis] TO [5-10%] [20-25%] [25-30%]</w:t>
        <w:br/>
        <w:t>9 SIMPLY [omissis] LT [25-30%] [1-5%] [30-35%]</w:t>
        <w:br/>
        <w:t>10 IPERSIMPLY [omissis] MN [15-20%] [10-15%] [25-30%]</w:t>
        <w:br/>
        <w:t>11 IPERSIMPLY [omissis] TE [5-10%] [15-20%] [25-30%]</w:t>
        <w:br/>
        <w:t>12 AUCHAN [omissis] PE [35-40%] [10-15%] [45-50%]</w:t>
        <w:br/>
        <w:t>13 AUCHAN [omissis] NA [25-30%] [30-35%] [55-60%]</w:t>
        <w:br/>
        <w:t>14 AUCHAN [omissis] RM [40-45%] [35-40%] [75-80%]</w:t>
        <w:br/>
        <w:t>15 SIMPLY [omissis] RM [10-15%] [10-15%] [25-30%]</w:t>
        <w:br/>
        <w:t>16 SIMPLY [omissis] RM [25-30%] [1-5%] [30-35%]</w:t>
        <w:br/>
        <w:t>17 IPERSIMPLY [omissis] BS [5-10%] [25-30%] [35-40%]</w:t>
      </w:r>
    </w:p>
    <w:p>
      <w:r>
        <w:t>BULLETIN NO. 10 OF MARCH 9, 2020 203</w:t>
      </w:r>
    </w:p>
    <w:p>
      <w:r>
        <w:t>Quota of Quota of Quota of</w:t>
        <w:br/>
        <w:t>no. Isocrones relevant (brand, address, province) market market market</w:t>
        <w:br/>
        <w:t>Conad Auchan aggregated Parties</w:t>
      </w:r>
    </w:p>
    <w:p>
      <w:r>
        <w:t>18 AUCHAN [omissis] BS [5-10%] [20-25%] [30-35%]</w:t>
        <w:br/>
        <w:t>19 AUCHAN [omissis] RM [15-20%] [20-25%] [35-40%]</w:t>
        <w:br/>
        <w:t>20 IPERSIMPLY [omissis] LO [10-15%] [35-40%] [50-55%]</w:t>
        <w:br/>
        <w:t>21 AUCHAN [omissis] BS [5-10%] [20-25%] [25-30%]</w:t>
        <w:br/>
        <w:t>22 AUCHAN [omissis] SS [20-25%] [15-20%] [40-45%]</w:t>
        <w:br/>
        <w:t>23 AUCHAN [omissis] CA [25-30%] [10-15%] [35-40%]</w:t>
        <w:br/>
        <w:t>24 AUCHAN [omissis] PA [5-10%] [25-30%] [35-40%]</w:t>
        <w:br/>
        <w:t>25 AUCHAN [omissis] PA [10-15%] [30-35%] [45-50%]</w:t>
        <w:br/>
        <w:t>26 AUCHAN [omissis] RM [15-20%] [10-15%] [30-35%]</w:t>
      </w:r>
    </w:p>
    <w:p>
      <w:r>
        <w:t>Source: AGCM processing on data from the Parties.</w:t>
      </w:r>
    </w:p>
    <w:p>
      <w:r>
        <w:t>27. Below are the investigative findings, articulated in the results of the survey on consumer habits, in other elements acquired in the case file, and in the evidence provided by the Party.</w:t>
      </w:r>
    </w:p>
    <w:p>
      <w:r>
        <w:t>a) The survey on consumer habits</w:t>
      </w:r>
    </w:p>
    <w:p>
      <w:r>
        <w:t>28. In order to better understand consumer spending habits and demand dynamics in the GDO sector, a sample market research (hereinafter, succinctly, the "survey") was conducted to verify the definition of relevant markets and, more generally, to collect useful elements for the assessment of concentrations in the GDO sector, carried out through a questionnaire administered by The Nielsen Company s.r.l. (hereinafter "Nielsen") to a nationally representative sample of consumers16.</w:t>
      </w:r>
    </w:p>
    <w:p>
      <w:r>
        <w:t>29. The survey on consumption habits in the GDO sector was carried out with a dual objective: i) on one hand, to verify (and, if necessary, modify) the established approach to relevant markets concerning the definition of the product market and the geographic market, through the study of existing substitutability relationships in the sector in terms of types of sales points, brands, distances between commercial establishments; ii) on the other hand, to obtain the necessary elements to integrate the traditional analysis based on market shares (which represent only an approximation of the market power of companies and the general reduction of competition resulting from the reduction in the number of operators in the market) with more advanced methodologies of 16 See doc. 54 and attachments. In particular, the questionnaire, for which a self-administered CAWI methodology was employed, was sent online to a sample of 6,000 families representative of the Italian population, part of the Nielsen Consumer Panel. A total of 4,354 interviews were completed, with a redemption rate of 73%. The survey was conducted from September 12 to 22, 2019.</w:t>
      </w:r>
    </w:p>
    <w:p>
      <w:r>
        <w:rPr>
          <w:b/>
        </w:rPr>
        <w:t>[Pages 202–204]</w:t>
      </w:r>
    </w:p>
    <w:p>
      <w:r>
        <w:t>204 BULLETIN NO. 10 OF MARCH 9, 2020</w:t>
      </w:r>
    </w:p>
    <w:p>
      <w:r>
        <w:t>analysis that can estimate the incentive for the Parties, following the concentration operation, to increase the prices charged.</w:t>
      </w:r>
    </w:p>
    <w:p>
      <w:r>
        <w:t>30. With regard to the objective of verifying the established commodity and geographical definition of markets in the GDO sector, the research analyzed five main aspects:</w:t>
        <w:br/>
        <w:t>I. the substitutability relationships between different types of GDO sales points (i.e., convenience stores, supermarkets, hypermarkets);</w:t>
        <w:br/>
        <w:t>II. the existing substitutability relationships between traditional GDO sales points and discount stores;</w:t>
        <w:br/>
        <w:t>III. the extent of local geographical markets;</w:t>
        <w:br/>
        <w:t>IV. the substitutability relationships between different brands active in the GDO;</w:t>
        <w:br/>
        <w:t>V. the impact of the development of online sales in the sector.</w:t>
      </w:r>
    </w:p>
    <w:p>
      <w:r>
        <w:t>a.1) The results of the survey related to the product market</w:t>
      </w:r>
    </w:p>
    <w:p>
      <w:r>
        <w:t>31. The survey first identified the sales point where consumers normally do their shopping, broadening the assessment of consumer preferences to types of sales points traditionally considered outside the GDO market (discounts, specialized food stores, local markets, or online sales, see Table 4).</w:t>
      </w:r>
    </w:p>
    <w:p>
      <w:r>
        <w:t>32. At the national level, the supermarket was found to be the most used option (almost 60%), followed by the hypermarket (20%). Among the options considered outside the GDO market, the survey highlighted a significant incidence of the discount option (13%), making it the third type of sales point in the purchasing habits recorded. It should be noted that the online sector remains entirely marginal concerning the spending habits of Italian consumers in the sample (less than 1%).</w:t>
      </w:r>
    </w:p>
    <w:p>
      <w:r>
        <w:t>Table 4 – Type of usual sales point (%).</w:t>
        <w:br/>
        <w:t>Type of sales point/channel Total Italy</w:t>
        <w:br/>
        <w:t>Hypermarket 20%</w:t>
        <w:br/>
        <w:t>Supermarket 57%</w:t>
        <w:br/>
        <w:t>Convenience store 6%</w:t>
        <w:br/>
        <w:t>Discount 13%</w:t>
        <w:br/>
        <w:t>Specialized store 2%</w:t>
        <w:br/>
        <w:t>Local market 2%</w:t>
        <w:br/>
        <w:t>Internet with home delivery 1%</w:t>
        <w:br/>
        <w:t>Source: AGCM elaborations on Nielsen survey data</w:t>
      </w:r>
    </w:p>
    <w:p>
      <w:r>
        <w:t>33. Regarding the degree of substitutability between different types of sales points (i.e., convenience stores, supermarkets, hypermarkets, etc.), the survey allowed for verifying consumers' propensity to substitute their preferred type of sales point with a different type. The survey confirmed that the perceived substitutability relationship among sales point types has, in the first place, an asymmetric nature (with a generally higher level of substitutability from smaller sales points to larger sales points), which assumes different values depending on the type of sales point preferred for regular shopping and the potential substitute.</w:t>
      </w:r>
    </w:p>
    <w:p>
      <w:r>
        <w:t>34. As can be seen from Table 5 below – which represents the substitutability relationships between the main types of sales points – Italian consumers are very inclined to consider supermarkets as substitutes for hypermarkets (97% of responses "very substitutable" and "fairly substitutable") and vice versa (77%). A high level of substitutability is found between supermarkets and convenience stores and vice versa (60% and 90%, respectively). Discounts play a particular role within the preferences recorded by consumers, representing a sufficiently valid alternative to hypermarkets (56%), supermarkets (55%), and convenience stores (54%)17.</w:t>
      </w:r>
    </w:p>
    <w:p>
      <w:r>
        <w:t>Table 5 – Substitutability relationships between main types of sales points (%).</w:t>
        <w:br/>
        <w:t>Sales point Frequency of responses (Very and</w:t>
        <w:br/>
        <w:t>Preferred sales point substitute Fairly substitutable) – Total Italy</w:t>
        <w:br/>
        <w:t>Supermarket 97%</w:t>
        <w:br/>
        <w:t>Hypermarket Convenience store 46%</w:t>
        <w:br/>
        <w:t>Discount 56%</w:t>
        <w:br/>
        <w:t>Hypermarket 77%</w:t>
        <w:br/>
        <w:t>Supermarket Convenience store 60%</w:t>
        <w:br/>
        <w:t>Discount 55%</w:t>
        <w:br/>
        <w:t>Hypermarket 58%</w:t>
        <w:br/>
        <w:t>Convenience store Supermarket 90%</w:t>
        <w:br/>
        <w:t>Discount 54%</w:t>
        <w:br/>
        <w:t>Source: AGCM elaborations on Nielsen survey data</w:t>
      </w:r>
    </w:p>
    <w:p>
      <w:r>
        <w:t>a.2) The results of the survey related to the geographical market</w:t>
      </w:r>
    </w:p>
    <w:p>
      <w:r>
        <w:t>35. Through the survey, the behavior of GDO customers in the markets in question was also investigated to estimate their mobility. From the consumer's perspective, in fact, competition among GDO chains occurs at the local level, in terms of the ability to attract customers to their sales points located in the territory.</w:t>
      </w:r>
    </w:p>
    <w:p>
      <w:r>
        <w:t>36. Regarding consumers' travel habits to do their shopping, the survey (see Table 6) shows that the private vehicle is by far the most used means to reach the sales point (79%), especially when shopping at larger sales point types (hypermarket, supermarket, discount)18.</w:t>
      </w:r>
    </w:p>
    <w:p>
      <w:r>
        <w:t>Table 6 – Shopping travel habits by type of transport and sales point.</w:t>
        <w:br/>
        <w:t>Transport means Hypermarket Supermarket Convenience store Discount Total</w:t>
        <w:br/>
        <w:t>Private vehicle</w:t>
        <w:br/>
        <w:t>93% 79% 49% 85% 79%</w:t>
        <w:br/>
        <w:t>(car/motorcycle)</w:t>
        <w:br/>
        <w:t>Public Transport 1% 2% 2% 1% 1%</w:t>
        <w:br/>
        <w:t>On foot 6% 20% 50% 15% 19%</w:t>
        <w:br/>
        <w:t>Source: AGCM elaborations on Nielsen survey data</w:t>
      </w:r>
    </w:p>
    <w:p>
      <w:r>
        <w:t>37. Regarding consumers' willingness to travel to shop at GDO sales points (hypermarkets, supermarkets, convenience stores, and discounts), the responses to the survey highlighted the distribution of travel times reported in Table 719.</w:t>
      </w:r>
    </w:p>
    <w:p>
      <w:r>
        <w:t>Table 7 – Consumer mobility by type of sales point.</w:t>
        <w:br/>
        <w:t>Driving time Hypermarket Supermarket Convenience store Discount</w:t>
        <w:br/>
        <w:t>Up to 10 minutes 66% 77% 85% 82%</w:t>
        <w:br/>
        <w:t>Up to 15 minutes 86% 92% 91% 91%</w:t>
        <w:br/>
        <w:t>Source: AGCM elaborations on Nielsen survey data</w:t>
      </w:r>
    </w:p>
    <w:p>
      <w:r>
        <w:t>38. In particular, the results of the survey summarized in Table 7 show that over 85% of regular convenience store customers travel a maximum of 10 minutes by car to reach their reference sales point. Regarding supermarkets, 77% of customers report travel times within 10 minutes, and 92% within 15 minutes. Finally, 86% of regular hypermarket customers stated that they travel no more than 15 minutes by car to reach the sales point. More generally, the distance between the home (or workplace) and the usual sales point for shopping averages 9 minutes of driving for hypermarket customers, 8 minutes for supermarket users, and 7 minutes for consumers who go to convenience stores.</w:t>
      </w:r>
    </w:p>
    <w:p>
      <w:r>
        <w:t>b) Other elements in the case file</w:t>
      </w:r>
    </w:p>
    <w:p>
      <w:r>
        <w:t>39. During the investigation, the supply side perspective was also explored through requests for information from the main competitors operating in the national territory20 and hearings with</w:t>
      </w:r>
    </w:p>
    <w:p>
      <w:r>
        <w:t>18 Question 3 "Where do you usually do your replenishment/daily shopping?" and question 10 "How do you reach the sales point where you usually shop?" from the survey.</w:t>
        <w:br/>
        <w:t>19 Question 3 "Where do you usually do your replenishment/daily shopping?" and question 12 "Approximately, how long does it take you to reach the sales point where you usually shop? (starting from your home or the place where you usually leave to do your shopping)" from the survey.</w:t>
        <w:br/>
        <w:t>20 Specifically: Végé Group, Sun, Selex, PAM Group, MD, Lidl, Eurospin, Esselunga, CRAI, Carrefour, Coop Italia, and the consumer cooperatives adhering to the latter (docs. from 6 to 16). The requests for information aimed to</w:t>
      </w:r>
    </w:p>
    <w:p>
      <w:r>
        <w:rPr>
          <w:b/>
        </w:rPr>
        <w:t>[Pages 205–207]</w:t>
      </w:r>
    </w:p>
    <w:p>
      <w:r>
        <w:t>BULLETIN NO. 10 OF MARCH 9, 2020 207</w:t>
      </w:r>
    </w:p>
    <w:p>
      <w:r>
        <w:t>other subjects having direct relationships with the Parties21. Furthermore, the Parties22 were requested to produce internal documents prepared in the last two years within the ordinary management of the business, concerning, among other things, the main actual and potential competitors in the GDO sector, as well as the gross contribution margin of CONAD and the average price differential charged by CONAD and Auchan in the last 3 years.</w:t>
      </w:r>
    </w:p>
    <w:p>
      <w:r>
        <w:t>40. In the responses to the information requests, regarding the substitutability of traditional GDO points of sale with discount-type ones, all the traditional operators competing with the Parties reported perceiving competitive pressure exerted by the discounters23. In a nearly symmetrical manner, the main discount chains declared that they consider themselves full competitors of traditional GDO chains24. An illustrative statement in this regard comes from the discount operator MD: “in light of the growth observed in recent years in the number of customers of non-discount GDO brands who show interest and make purchases also in discount chains, we define Conad, Coop, Carrefour, PAM, and Esselunga as indirectly competing brands”25.</w:t>
      </w:r>
    </w:p>
    <w:p>
      <w:r>
        <w:t>41. Similarly, the C3 Consortium stated in a hearing that “nowadays there is no longer a clear distinction between these two types of points of sale, which should be considered in a relationship of mutual competition. Discounters, in fact, have evolved in recent years by offering services increasingly similar to those of supermarkets (e.g., fresh food counters). The only real difference lies in the limited depth of the assortment and the limited number of branded products, whose offering in discounters is extremely contained”26. The C3 Consortium also noted that “the hypermarket format in Italy has not been successful, given the strong competitive pressure from large specialized stores (e.g., electronics stores) on the non-food sector, which occupies a large part of the commercial area of hypermarkets.”</w:t>
      </w:r>
    </w:p>
    <w:p>
      <w:r>
        <w:t>42. Regarding the extension of the geographic market, the responses from competitors reveal a rather heterogeneous picture, which can be summarized as follows. Many operators noted that, in general, the breadth of the geographic area in which individual points of sale experience competitive pressure from competitors “cannot be precisely and uniformly identified, as it is influenced by numerous and changing variables: the population density of the catchment area, the characteristics of the territory and infrastructure, consumption habits, and the competitive complexity (number and type of competitors)”27 or also “based on the territorial catchment area, urban conditions, and the size of the point of sale”28 or due to “the presence of a shopping center or other adjacent attractions”29. In general, this breadth increases with the size of the point of sale. For convenience stores, in the responses obtained, it varies from a minimum of “walking distances”30/ “6 minutes”31 to “a maximum of 15-20 minutes by car”32. For supermarkets, the breadth of the local market is considered to be between “[less than 10] minutes of travel by car in large cities and … [less than 15] minutes of travel by car in other cases”33 and “20-30 minutes of travel”34. For hypermarkets, the breadth varies between “15-20 minutes”35 and “40-60 minutes”36 of travel by car.</w:t>
      </w:r>
    </w:p>
    <w:p>
      <w:r>
        <w:t>43. Also with reference to the dimensions of local markets, the C3 Consortium noted – regarding the context of Rome but believing that these values may generally be valid for other large urban centers in Italy – that “the considered breadth is 10-15 minutes for city points of sale (within the Grande Raccordo Anulare) and 20 minutes for points of sale in peripheral areas”37.</w:t>
      </w:r>
    </w:p>
    <w:p>
      <w:r>
        <w:t>44. From the analysis of the internal documents prepared by the Parties in the years preceding the operation in question38, further robust evidence emerges both regarding the substitutability of discounters with traditional GDO points of sale and concerning the geographic extension of the markets. On the first aspect, numerous documents show that the analysis and monitoring of competition conducted by CONAD and Auchan fully includes discounters39. Furthermore, in a document commissioned by Auchan to an external consultant, the impact of the entry of the new discount chain Aldi into the Italian market is analyzed: the study reveals a marked decline in sales, particularly for hypermarket-type points of sale located within 15 minutes of the new Aldi points of sale, which testifies to the competitive pressure exerted by the new entrant on traditional GDO points of sale40.</w:t>
      </w:r>
    </w:p>
    <w:p>
      <w:r>
        <w:t>45. Regarding the breadth of the geographic area in which individual points of sale experience competitive pressure from competitors' points of sale, it should be noted that, again from the internal documents of the Parties, it emerges that the dimension on which Auchan has structured its “price squares” (i.e., the customer attraction catchment areas of its points of sale) is “NORMALLY NOT MORE THAN 15 MIN. BY CAR”41.</w:t>
      </w:r>
    </w:p>
    <w:p>
      <w:r>
        <w:t>c) The Position of the Parties</w:t>
      </w:r>
    </w:p>
    <w:p>
      <w:r>
        <w:t>46. According to the Parties, from a product perspective, a correct definition of the relevant markets should include discounters, as this format “is now entirely comparable to that of traditional supermarkets, and is increasingly establishing itself in the market (as evidenced by the substantial marketing activity carried out by these operators, as well as the commercial initiatives and product lines, including quality ones, that are proposed), thus diminishing the differentiation of clientele, compared to supermarkets, of the discount (no longer only aimed at lower-income classes)”42.</w:t>
      </w:r>
    </w:p>
    <w:p>
      <w:r>
        <w:t>47. The Parties also believe that the market for hypermarkets should also include medium-small supermarkets. This would be particularly true for Southern Italy, where distribution networks are characterized by a limited presence of hypermarkets/large supermarkets, against a wide presence of convenience stores, small/medium supermarkets, and discounters. Therefore, in these territories, the hypermarket necessarily competes with smaller supermarkets43. Additionally, numerous national operators have recently reduced their distribution networks in some regions of Southern Italy, especially concerning larger surface points of sale44.</w:t>
      </w:r>
    </w:p>
    <w:p>
      <w:r>
        <w:t>48. With reference to the geographic extension, specifically regarding the hypermarket market, the Parties represented that “the extension of 20 minutes ... seems more appropriate” compared to narrower formulations. This is because hypermarkets are characterized “by greater attractiveness due to the size of the point of sale, breadth and depth of assortment, as well as their placement in shopping galleries that constitute a strong “pull” for a consumer base that can be located in very extensive territories”45. “Originally, shopping centers had the hypermarket as their main attraction point; nowadays, however, non-food commercial establishments represent the driving element, which ensures hypermarkets an adequate flow of customers. The hypermarket, when located in a shopping gallery, intercepts a flow of consumers for whom grocery shopping is not the main reason for visiting the shopping center. Consumers who reside near a hypermarket (within a shopping gallery) and regularly go there for replenishment shopping constitute a minority of the entire clientele of that commercial establishment”46. Therefore, according to the Parties, the actual attractive catchment area of hypermarkets should extend beyond the 20-minute isochrone, up to 30 minutes.</w:t>
      </w:r>
    </w:p>
    <w:p>
      <w:r>
        <w:t xml:space="preserve">41 Doc. 40, annex 1.c.ii) ARI price positioning, notes to slide 6.  </w:t>
        <w:br/>
        <w:t xml:space="preserve">42 See docs. 1 and 86.  </w:t>
        <w:br/>
        <w:t xml:space="preserve">43 See docs. 86 and 90.  </w:t>
        <w:br/>
        <w:t xml:space="preserve">44 See doc. 142.  </w:t>
        <w:br/>
        <w:t xml:space="preserve">45 Doc. 90.  </w:t>
        <w:br/>
        <w:t>46 See doc. 89.</w:t>
      </w:r>
    </w:p>
    <w:p>
      <w:r>
        <w:rPr>
          <w:b/>
        </w:rPr>
        <w:t>[Pages 208–210]</w:t>
      </w:r>
    </w:p>
    <w:p>
      <w:r>
        <w:t>210 BULLETIN NO. 10 OF MARCH 9, 2020</w:t>
      </w:r>
    </w:p>
    <w:p>
      <w:r>
        <w:t>Moreover, in some isochrones, this extension should be adjusted to take into account the particular geographical situation of the area in question47.</w:t>
      </w:r>
    </w:p>
    <w:p>
      <w:r>
        <w:t>2.2) The markets for the procurement of food and non-food consumer goods</w:t>
      </w:r>
    </w:p>
    <w:p>
      <w:r>
        <w:t>49. The markets for the procurement of food and non-food consumer goods pertain to the purchases made by large-scale distribution (GDO) chains, which represent the demand side, directly from producers of consumer goods, both food and non-food, which constitute the supply side, for the purpose of resale in the modern distribution channel. At the outset, the operation in question was deemed likely to raise competitive concerns even in these national markets for the procurement of food and non-food consumer goods, given the significant market share that CONAD would come to hold post-merger48, as well as the particularly relevant shares that the Cooperatives of the CONAD system would hold in certain local retail markets.</w:t>
      </w:r>
    </w:p>
    <w:p>
      <w:r>
        <w:t>50. As is known, in order to obtain more favorable conditions regarding the quantities demanded for branded products from the industry, it is common for GDO chains to aggregate (in the form of business associations and medium-large consortia) in so-called "purchasing centers (or alliances)."</w:t>
      </w:r>
    </w:p>
    <w:p>
      <w:r>
        <w:t>51. From the investigative activity, it emerged that the purchasing alliances in which Auchan participated pre-merger underwent significant changes. Firstly, contracts in place with the purchasing centers Consorzio C3 and Lekkerland Italia Società Consortile S.r.l. were terminated effective December 31, 2019. Furthermore, a reconfiguration of the contract between Auchan and the purchasing center Gruppo Levante is underway. The current mandate contract with Gruppo Levante, expiring in 2021, included a termination clause in favor of Gruppo Levante in the event of a change of control of Auchan. In this regard, the intention to modify the existing agreements was formalized by Gruppo Levante and the other participating chains in this alliance (Crai Secom and Distribuzione Italiana), defining an exit clause without any penalties to be effective by December 31, 202049.</w:t>
      </w:r>
    </w:p>
    <w:p>
      <w:r>
        <w:t>52. CONAD operates with a single purchasing center also on behalf of the Finiper Group. The Parties have stated that, during 2020, negotiations between suppliers of food and non-food products and the two purchasing centers (CONAD - Finiper and Gruppo Levante until December 31, 2020) "will be managed by independent teams, which will have no contacts or information exchanges"50, in order to avoid information flows concerning sensitive commercial information.</w:t>
      </w:r>
    </w:p>
    <w:p>
      <w:r>
        <w:t>53. The share of purchases of the post-merger entity attributable to Gruppo Levante, therefore, will already decrease during 2020.</w:t>
      </w:r>
    </w:p>
    <w:p>
      <w:r>
        <w:t>54. During the investigation, it was also established that the early termination of the mandate contracts between Auchan and certain purchasing centers did not create problems for operators bound by this type of contract with Auchan. Indicative in this regard is the statement made by Consorzio C3, the main one in terms of purchase amounts: "in view of the expiration of the contract with Auchan, the Consortium - like the other market operators whose contract with Auchan is nearing completion - is evaluating partnerships with other groups"51, finding no particular competitive concerns in the procurement market attributable to the operation under examination.</w:t>
      </w:r>
    </w:p>
    <w:p>
      <w:r>
        <w:t>55. Finally, it is worth highlighting the overall positive assessment of the operation by Centromarca, the Italian Association of Brand Industry, which aggregates the main counterparts of CONAD in the procurement markets ("the industry sees ... favorably the circumstance that a successful Italian operator acquires and integrates another operator in crisis, bringing elements of efficiency for the entire supply chain"52). The only competitive concern highlighted by Centromarca relates to the management of negotiations during the transition period until Auchan's definitive exit from the purchasing center established with Gruppo Levante and particularly the need for "confidentiality in managing the procurement conditions of this alliance with respect to Conad, to avoid creating transparency situations in relation to Crai and D.IT, which are effectively competitors of Conad in the downstream markets"53.</w:t>
      </w:r>
    </w:p>
    <w:p>
      <w:r>
        <w:t>VI. EVALUATIONS</w:t>
      </w:r>
    </w:p>
    <w:p>
      <w:r>
        <w:t>1) The relevant markets</w:t>
      </w:r>
    </w:p>
    <w:p>
      <w:r>
        <w:t>1.1) The markets for the retail sale of food and non-food consumer goods</w:t>
      </w:r>
    </w:p>
    <w:p>
      <w:r>
        <w:t>a) The product market</w:t>
      </w:r>
    </w:p>
    <w:p>
      <w:r>
        <w:t>56. As mentioned above, regarding the merchandise market of hypermarkets and supermarkets, their definition has recently been updated by the Authority, including, compared to the practice followed until that moment, also discounts and expanding the hypermarket market by including smaller supermarkets. Therefore, the definition of the two product markets used at the outset was as follows:</w:t>
        <w:br/>
        <w:t>i) supermarket market (sales area between 400 and 2,499 sqm), consisting of all supermarkets, mini-markets, hypermarkets, and discounts, that is, all points of sale with sizes equal to or greater than 100 sqm;</w:t>
        <w:br/>
        <w:t>ii) hypermarket market (sales area of 2,500 sqm and above), consisting of hypermarkets, all supermarkets, and discounts, that is, all points of sale with sizes equal to or greater than 400 sqm.</w:t>
      </w:r>
    </w:p>
    <w:p>
      <w:r>
        <w:t>57. Regarding the mini-markets, the initiation provision hypothesized an expansion of its merchandise scope, aimed at including discounts and larger supermarkets.</w:t>
      </w:r>
    </w:p>
    <w:p>
      <w:r>
        <w:t>58. These aspects were the subject of in-depth analysis during the investigation, both from the demand and supply perspectives.</w:t>
      </w:r>
    </w:p>
    <w:p>
      <w:r>
        <w:t>59. From the demand perspective, the investigative findings lead, in the first instance, to a reflection regarding the degree of substitutability for consumers of traditional points of sale in the GDO channel. In particular, the survey reveals the high substitutability of hypermarkets with supermarkets, with a rate of around 97% at the national level (see Table 5 above); this evidence has led the Authority to consider54 that, from the demand perspective, all supermarkets (even those smaller than 1,500 sqm) represent a valid alternative for hypermarket customers and consequently to expand the hypermarket market. A symmetrical reasoning, based on the survey results, can be made for mini-markets: in this case, a very high level of substitutability (90%) with supermarkets was also noted for customers of this type of point of sale. It is therefore believed that, for mini-market customers, all supermarkets – and not just those up to 1,500 sqm – represent an alternative to their usual point of sale.</w:t>
      </w:r>
    </w:p>
    <w:p>
      <w:r>
        <w:t>60. These considerations are shared by the Parties55. Specifically regarding the expansion of the hypermarket market to include medium-small supermarkets, they noted that, in particular, numerous areas of the South are characterized by a limited presence of hypermarkets/large supermarkets, in favor of a network mainly composed of small/medium supermarkets and mini-markets. Therefore, "it would be appropriate to consider in the calculation [of the market shares of hypermarkets, ed. note] at least also the 'lower' category, that is, that of medium-small supermarkets"56. On the other hand, even at the national level, a process of rethinking the model of large retail surfaces in favor of medium-large points of sale seems to be underway57, given the poor success of the hypermarket format58, especially in Southern Italy where numerous national operators have reduced their presence59.</w:t>
      </w:r>
    </w:p>
    <w:p>
      <w:r>
        <w:t>61. In light of the arguments presented above, the definition of the hypermarket market recently adopted by the Authority is confirmed, extended to also include smaller supermarkets (between 400 and 1,499 sqm). Conversely, it is believed that the definition of the mini-market market used to date (GDO points of sale with sizes between 100 and 1,499 sqm) can also be modified as hypothesized in the initiation provision, broadening the competitive scope to include larger supermarkets (between 1,500 and 2,499 sqm).</w:t>
      </w:r>
    </w:p>
    <w:p>
      <w:r>
        <w:t>62. Another significant element highlighted by the survey is the appreciation of consumers towards a type of point of sale - the discount - traditionally not included in the GDO.</w:t>
      </w:r>
    </w:p>
    <w:p>
      <w:r>
        <w:rPr>
          <w:b/>
        </w:rPr>
        <w:t>[Pages 211–213]</w:t>
      </w:r>
    </w:p>
    <w:p>
      <w:r>
        <w:t>BULLETIN NO. 10 OF MARCH 9, 2020 213</w:t>
      </w:r>
    </w:p>
    <w:p>
      <w:r>
        <w:t>The analysis of substitutability among the main types of retail outlets has indeed highlighted how discount stores represent, at the national level, the third choice for carrying out regular shopping (Table 5). This fungibility appears further strengthened by the specific characteristics of discount stores, whose sizes (generally between 400 sqm and 2,500 sqm) make them a cross-cutting alternative to convenience stores, supermarkets, and hypermarkets, as can be inferred from the responses to information requests from operators in the GDO sector. All traditional operators consulted during the investigation have indeed stated that they feel the competitive pressure from discount stores, whose format increasingly tends to resemble that of a traditional supermarket. On the other hand, discount chains have also stated, for their part, that they are in a competitive relationship with traditional GDO chains, which increasingly tend to differentiate their brands, characterizing some specifically in relation to extreme price convenience. In light of these considerations, also supported by the information provided by the Party, it is believed that retail outlets belonging to the discount channel should be included in the product definition of the relevant markets.</w:t>
      </w:r>
    </w:p>
    <w:p>
      <w:r>
        <w:t>63. In conclusion, from the investigative findings, the following definition of the product markets subject to this concentration operation emerges:</w:t>
        <w:br/>
        <w:t>i. the convenience store market (retail outlets between 100 and 399 sqm), composed, in addition to convenience stores, of all supermarkets and discount stores, or all retail outlets from 100 to 2,499 sqm;</w:t>
        <w:br/>
        <w:t>ii. the supermarket market (retail outlets between 400 and 2,499 sqm), composed of all supermarkets, convenience stores, hypermarkets, and discount stores, or all retail outlets of sizes equal to or greater than 100 sqm;</w:t>
        <w:br/>
        <w:t>iii. the hypermarket market (retail outlets of sizes equal to or greater than 2,500 sqm), composed, in addition to hypermarkets, of all supermarkets and discount stores, or all retail outlets equal to or greater than 400 sqm.</w:t>
      </w:r>
    </w:p>
    <w:p>
      <w:r>
        <w:t>b) The geographic market</w:t>
      </w:r>
    </w:p>
    <w:p>
      <w:r>
        <w:t>64. Also concerning the geographic profile, the results of the survey allow for a more precise delineation, compared to the traditional approach followed by the Authority, of the geographic extent of the relevant markets. The data reported in Table 7 above clearly show that almost all demand makes its movements to reach retail outlets in the hypermarket and supermarket markets within a 15-minute drive, with shares equal to 86% and 92% of demand respectively, while 85% of convenience store customers do not take more than 10 minutes to drive.</w:t>
      </w:r>
    </w:p>
    <w:p>
      <w:r>
        <w:t>65. These results appear particularly robust from a statistical point of view and invariant for the different sizes – expressed in terms of population size – of the residential areas of the respondents.</w:t>
      </w:r>
    </w:p>
    <w:p>
      <w:r>
        <w:t>66. Such a geographic extent of the relevant markets also appears supported by the internal documents prepared by the Parties in the years preceding the operation in question, obtained following a specific request for information. In particular, these documents reveal that the area on which Auchan has structured its "price squares" (i.e., the customer attraction basins of its retail outlets) is "NORMALLY NOT MORE THAN 15 MIN. BY CAR." Neither does it appear to be called into question by the responses of competitors in the local markets, which mostly suggest the need for a case-by-case assessment, linked to the characteristics of the territory and infrastructure, as well as to the specific competitive conditions thereof (see above section V.2.b).</w:t>
      </w:r>
    </w:p>
    <w:p>
      <w:r>
        <w:t>67. With specific regard to the alleged greater customer attraction capacity of hypermarkets located in shopping malls, it is highlighted that, by the Parties' own admission, a significant portion of consumers who shop at these retail outlets do so sporadically and occasionally, finding themselves at the shopping center to purchase goods of another nature (the purchasing frequency of which is much lower than that of fast-moving consumer goods). This does not imply that the hypermarket in question is, by itself, capable of attracting stable customers beyond a 15-minute radius, i.e., the maximum time that almost all consumers are willing to spend to go shopping at a retail outlet of this type.</w:t>
      </w:r>
    </w:p>
    <w:p>
      <w:r>
        <w:t>68. In light of the evidence described above, the argument proposed by the Parties to maintain the geographic market size of hypermarkets at 20 minutes of driving time, previously considered by the Authority, cannot be accepted.</w:t>
      </w:r>
    </w:p>
    <w:p>
      <w:r>
        <w:t>69. In conclusion, regarding the geographic extent of the relevant markets, the responses provided by consumers in the survey and those provided by competitors allow for the conclusion that the distance – expressed in driving minutes – that best represents the shopping habits of demand is 10 minutes of driving for the convenience store market and 15 minutes of driving for both the supermarket and hypermarket markets. Therefore, the size of the local markets hypothesized in the initiation provision of the case in question is confirmed.</w:t>
      </w:r>
    </w:p>
    <w:p>
      <w:r>
        <w:t>c) Conclusions regarding the relevant markets</w:t>
      </w:r>
    </w:p>
    <w:p>
      <w:r>
        <w:t>70. The relevant GDO markets in relation to the concentration operation in question are therefore defined as follows:</w:t>
        <w:br/>
        <w:t>i. for convenience stores (100-399 sqm), the relevant market includes the convenience stores themselves, supermarkets (400-2,499 sqm), and discount stores within a 10-minute isochrone;</w:t>
        <w:br/>
        <w:t>ii. for supermarkets (400-2,499 sqm), the relevant market includes convenience stores (100-399 sqm), the supermarkets themselves, hypermarkets (2,500 sqm and above), and discount stores within a 15-minute isochrone;</w:t>
        <w:br/>
        <w:t>iii. for hypermarkets (2,500 sqm and above), the relevant market includes supermarkets (400-2,499 sqm), the hypermarkets themselves, and discount stores within a 15-minute isochrone.</w:t>
      </w:r>
    </w:p>
    <w:p>
      <w:r>
        <w:t>1.2) The markets for the supply of fast-moving consumer goods</w:t>
      </w:r>
    </w:p>
    <w:p>
      <w:r>
        <w:t>71. The supply markets pertain to the purchases made by GDO chains, which represent the demand side, directly from producers of fast-moving consumer goods, both food and non-food, which constitute the supply side, for resale in the modern distribution channel.</w:t>
      </w:r>
    </w:p>
    <w:p>
      <w:r>
        <w:t>72. Regarding these markets, it does not appear necessary, for the purposes of this investigation, to arrive at a more precise definition than that used in the initiation provision of the procedure, since, as will be better illustrated below, the operation does not appear capable of creating or strengthening a dominant position in them, regardless of the configuration adopted.</w:t>
      </w:r>
    </w:p>
    <w:p>
      <w:r>
        <w:t>2) The effects of the operation</w:t>
      </w:r>
    </w:p>
    <w:p>
      <w:r>
        <w:t>73. This operation concerns the acquisition, by the second largest Italian operator in the GDO sector (CONAD), of a primary nationwide operator (Auchan), which, based on the information available in the Nielsen GNLC report – September 2018 edition, was the seventh largest nationally. As a result of the operation in question, CONAD will become the largest Italian operator.</w:t>
      </w:r>
    </w:p>
    <w:p>
      <w:r>
        <w:t>74. The evaluation of the effects of the operation in the relevant markets as defined above will be illustrated below.</w:t>
      </w:r>
    </w:p>
    <w:p>
      <w:r>
        <w:t>2.1) The markets for the retail sale of fast-moving consumer goods</w:t>
      </w:r>
    </w:p>
    <w:p>
      <w:r>
        <w:t>a) Premise</w:t>
      </w:r>
    </w:p>
    <w:p>
      <w:r>
        <w:t>75. In its application practice of Article 16 of Law 287/90 in the GDO sector (and more generally in the retail distribution sectors of goods or services), the Authority has for a long time conducted its assessments using quantitative evidence related to the market shares held by the Parties and competitors in the relevant markets.</w:t>
      </w:r>
    </w:p>
    <w:p>
      <w:r>
        <w:t>76. With increasing intensity, in recent years the Authority has integrated the market share-based analysis with other economic analyses aimed at appreciating, beyond the specific weight of the parties involved in the merger, the unilateral effects in terms of incentives to raise prices and/or reduce quality resulting from the fact that the operation observes the elimination of one or more competitive constraints in the relevant market(s).</w:t>
      </w:r>
    </w:p>
    <w:p>
      <w:r>
        <w:t>77. The need for an evaluative approach not limited to market shares is all the more necessary in local competitive contexts, within which the ability of each retail outlet to exert competitive pressure on a specific target retail outlet depends on factors such as distance or sales area (which approximates the depth of the range of products offered), which are difficult to capture through a dimensional analysis of shares.</w:t>
      </w:r>
    </w:p>
    <w:p>
      <w:r>
        <w:t>78. The integration of the market share criterion with further analytical methodologies in order to arrive at a more in-depth assessment of the unilateral effects post-merger appears appropriate also to align the Authority's practice with European best practices. In fact, the use of other indicators, aimed at measuring the elimination of significant competitive constraints for one or more companies, in order to verify the acquisition or strengthening of the market power of the company resulting from the concentration, appears entirely consistent with the notion of dominance, understood as the ability to prevent effective competition in the market due to the possibility for the company.</w:t>
      </w:r>
    </w:p>
    <w:p>
      <w:r>
        <w:rPr>
          <w:b/>
        </w:rPr>
        <w:t>[Pages 214–216]</w:t>
      </w:r>
    </w:p>
    <w:p>
      <w:r>
        <w:t>216 BULLETIN NO. 10 OF MARCH 9, 2020</w:t>
      </w:r>
    </w:p>
    <w:p>
      <w:r>
        <w:t>dominant in holding rather independent behaviors towards its competitors, customers, and, ultimately, consumers.</w:t>
      </w:r>
    </w:p>
    <w:p>
      <w:r>
        <w:t>79. The indicators of market power, in addition to market shares used in this assessment, are estimates of the so-called diversion ratio, an index capable of capturing the actual relationships of substitutability (and mutual competition) between retail outlets included in the same relevant market, and the GUPPI (“Gross Upward Pricing Pressure Indicator”), an indicator that, based on the estimates of the diversion ratios obtained, measures the incentive for the buyer to increase prices (or more generally to worsen its offer at a given retail outlet) as a result of the present operation. In particular, the diversion ratio measures what portion of the sales lost by one retail outlet is captured by another retail outlet64 (providing very useful indications on the degree of competitive proximity between two retail outlets), while the GUPPI, which integrates the information contained in the diversion ratios with information on margins and the relative price relationship between the acquiring company and the target company, allows quantifying the incentive to raise prices (or more generally to worsen its offer at a given retail outlet), taking into account the possibility of internalizing sales not only in terms of the share of those captured but also of the relative profitability. In other words, even if the share of sales recaptured by another retail outlet of the same group were not particularly high (information contained in the diversion ratio), a retail outlet could still have a strong incentive to worsen its offer if the margin on the recaptured sales were high (information contained in the GUPPI). The GUPPI thus more fully expresses the incentive to raise prices as it takes into account both the recaptured sales and the margins realizable on those sales.</w:t>
      </w:r>
    </w:p>
    <w:p>
      <w:r>
        <w:t>80. The following assessment can therefore be summarized in the following steps:</w:t>
        <w:br/>
        <w:t>1) Local markets will be analyzed both based on the joint market share resulting from the concentration and the diversion ratio measured between the centroid constituted by the retail outlet of the acquired company and the set of retail outlets of the acquiring company within the isochrone, setting a threshold value of attention for the post-merger share of 25% (already used in the initiation provision) and a threshold value for the diversion ratios of 20% (see infra). Therefore, local markets will be eliminated from the analysis where, although the post-merger share exceeds the community threshold of 25%, the diversion ratio is below 20%65, a threshold that, given the level of margins and the relative price relationship between the acquiring and target companies provided by the Parties, implies a GUPPI value of approximately 5%;</w:t>
        <w:br/>
        <w:t>2) Furthermore, local markets will be eliminated from the analysis where, despite exceeding the two threshold values, based on an ad hoc qualitative in-depth analysis, the concentration operation under examination does not appear capable of causing unilateral or coordinated effects that would substantially and durably eliminate or reduce competition. This in-depth analysis will take into account elements such as: (i) the increase in market share of the acquirer due to the operation; (ii) the distribution of market shares of the competitors of the Parties (both in absolute terms and in terms of asymmetry relative to the acquiring company); (iii) the number of retail outlets in absolute terms and in relative terms (density) within the isochrone.</w:t>
      </w:r>
    </w:p>
    <w:p>
      <w:r>
        <w:t>b) Analysis of the unilateral effects of the operation</w:t>
        <w:br/>
        <w:t>b.1) Methodological notes</w:t>
      </w:r>
    </w:p>
    <w:p>
      <w:r>
        <w:t>81. As mentioned in the introduction, for a more complete analysis of the effects of the operation, the traditional analysis of market shares is integrated with an estimate of the degree of substitutability between the acquired retail outlet, around which the isochrone has been constructed (centroid), and every other retail outlet within the same isochrone. This substitutability relationship of each retail outlet with the centroid - which tends to approximate the competitive pressure that a retail outlet located in the same isochrone can exert on the latter - is functional to constructing the diversion ratios, indicators aimed at measuring the degree of competitive proximity between the Parties66.</w:t>
      </w:r>
    </w:p>
    <w:p>
      <w:r>
        <w:t>82. The diversion ratios allow taking into account the different substitutability relationships between retail outlets in the GDO within local markets, based on a variety of elements67 collected through the survey. In particular, in this case, the following differentiation elements between retail outlets within the affected local markets were considered:</w:t>
        <w:br/>
        <w:t>- distance of a retail outlet from the centroid: a retail outlet closer to the centroid exerts, all else being equal, a greater degree of competitive pressure than one further away;</w:t>
        <w:br/>
        <w:t>- type of retail outlet: a retail outlet of different size from that of the centroid exerts, all else being equal, a lower degree of competitive pressure compared to retail outlets of similar size68;</w:t>
        <w:br/>
        <w:t>- brand of the retail outlet: a retail outlet of a brand considered by consumers to be closer, in terms of substitutability, to the centroid exerts, all else being equal, a greater degree of competitive pressure compared to retail outlets of other brands perceived as less similar to the target.</w:t>
        <w:br/>
        <w:t>The different weight that the variables "distance," "type," and "brand" assume in the eyes of the consumer in choosing the retail outlet where to shop was also taken into account.</w:t>
      </w:r>
    </w:p>
    <w:p>
      <w:r>
        <w:t>83. As highlighted above, the diversion ratios between the Parties indicate what portion of the total sales volumes lost by the retail outlets of one Party, following a worsening of their offer (in terms of price, quality, assortment, and services offered), shifts to the retail outlets belonging to the distribution chain of the other Party. In this context, the higher the diversion ratios between the two companies subject to the concentration, the higher the sales that the concentration will allow to internalize - in the sense that a high portion of consumers would continue to make their purchases at retail outlets of the post-merger entity - making price increases profitable69.</w:t>
      </w:r>
    </w:p>
    <w:p>
      <w:r>
        <w:t>84. Based on the information made available by the survey, the diversion ratios were obtained in the following way. Each retail outlet within each isochrone was assigned a competitive pressure index (hereinafter, IPC), defined based on the degree of substitutability of each with respect to the centroids (i.e., the Auchan retail outlets subject to acquisition) of the local markets to which they belong.</w:t>
      </w:r>
    </w:p>
    <w:p>
      <w:r>
        <w:t>85. Subsequently, the overall IPC of the retail outlets of the acquirer present in the isochrone was measured, that is, the competitive constraint on the retail outlets subject to acquisition that is lost as a result of the operations under examination, being "internalized" within them70. It should be noted that this calculation also takes into account the possibility that the consumer, following a price increase at the target retail outlets, may no longer turn to a retail outlet within the relevant product market, but "exit" the market, using a so-called outside option for their shopping. This outside option consists, for all product markets, of the specialized store, the neighborhood market, and online purchases, to which are added, respectively, the supermarket in the case of the hypermarket market and the hypermarket in the case of the supermarket market.</w:t>
      </w:r>
    </w:p>
    <w:p>
      <w:r>
        <w:t>86. The overall competitive pressure exerted by the acquirer on the centroid was then expressed in relative terms, that is, it was related to the level of competitive pressure exerted on the centroid by all competing retail outlets present in the isochrone, thus obtaining an estimate of the diversion ratio from the centroid to the other retail outlets of the acquirer.</w:t>
      </w:r>
    </w:p>
    <w:p>
      <w:r>
        <w:t>87. In other words, the estimate of the diversion ratio from the target retail outlet to the retail outlets of the acquirer was obtained as the ratio between the overall IPC of the retail outlets of the acquirer and the overall IPC of the isochrone, and provides an estimate of what portion of consumers would shift towards the retail outlets of the acquirer present in the isochrone in response to a price increase at the target retail outlet, the centroid of the same isochrone.</w:t>
      </w:r>
    </w:p>
    <w:p>
      <w:r>
        <w:t>88. Based on the diversion ratios thus obtained, the incentive of the post-merger entity to raise prices at the target retail outlets was finally estimated through the GUPPI, thus combining information regarding the characteristics of the retail outlets within each isochrone with that on the margin of the acquirer and the relative price relationship between the acquirer and the target.</w:t>
      </w:r>
    </w:p>
    <w:p>
      <w:r>
        <w:t>b.2) Integrated analysis of market shares and diversion ratios/GUPPI</w:t>
      </w:r>
    </w:p>
    <w:p>
      <w:r>
        <w:t>89. As anticipated, the traditional analysis of market shares was integrated with an estimate of the degree of competitive pressure that, prior to the concentration under examination, the retail outlets of the acquirer located within a given isochrone exert on the acquired retail outlet on which the isochrone is centered. In particular, a threshold of attention for the GUPPI of 5% was chosen (corresponding approximately to a diversion ratio value of 20%),</w:t>
      </w:r>
    </w:p>
    <w:p>
      <w:r>
        <w:rPr>
          <w:b/>
        </w:rPr>
        <w:t>[Pages 217–219]</w:t>
      </w:r>
    </w:p>
    <w:p>
      <w:r>
        <w:t>BULLETIN NO. 10 OF MARCH 9, 2020 219</w:t>
      </w:r>
    </w:p>
    <w:p>
      <w:r>
        <w:t>since below this threshold, considering the level of the margins of the acquiring company and the relative price relationship of the acquirer and the target71, unilateral effects of significance can be excluded prima facie, based on the indicators used in the experience and practice of competition authorities at the international level72.</w:t>
      </w:r>
    </w:p>
    <w:p>
      <w:r>
        <w:t>90. The analysis highlights that the transaction in question is likely to give rise to significant unilateral effects in 49 isochrones (see tables 8, 9, and 10 below), compared to the 101 indicated in the initiation order73. In these 49 local markets, in fact, based on the new definition of relevant markets, the post-merger shares of the Parties are above 25% and the diversion ratios are above 20%, corresponding to a GUPPI value exceeding 5%. These include, in particular, 4 local markets for convenience stores, 29 local markets for supermarkets, and 16 local markets for hypermarkets.</w:t>
      </w:r>
    </w:p>
    <w:p>
      <w:r>
        <w:t>Table 8 – Local markets for convenience stores where the threshold values of QdM and DR/GUPPI are exceeded.</w:t>
        <w:br/>
        <w:t>QdM QdM QdM post</w:t>
        <w:br/>
        <w:t>n. isochrone Point of sale DR GUPPI</w:t>
        <w:br/>
        <w:t>acquirer target merger</w:t>
        <w:br/>
        <w:t>SE_5 POINT SMA [OMISSIS] FC [40-45%] [5-10%] [45-50%] 34.1% 8.6%</w:t>
        <w:br/>
        <w:t>SE_6 POINT SIMPLY [OMISSIS] FM [15-20%] [35-40%] [55-60%] 33.5% 8.4%</w:t>
        <w:br/>
        <w:t>SE_7 POINT SIMPLY [OMISSIS] FM [25-30%] [5-10%] [30-35%] 70.8% 17.8%</w:t>
        <w:br/>
        <w:t>SE_8 POINT SIMPLY [OMISSIS] MC [30-35%] [1-5%] [30-35%] 41.9% 10.5%</w:t>
      </w:r>
    </w:p>
    <w:p>
      <w:r>
        <w:t>Table 9 – Local markets for supermarkets where the threshold values of QdM and DR/GUPPI are exceeded.</w:t>
        <w:br/>
        <w:t>QdM QdM QdM post</w:t>
        <w:br/>
        <w:t>n. isochrone Point of sale DR GUPPI</w:t>
        <w:br/>
        <w:t>acquirer target merger</w:t>
        <w:br/>
        <w:t>SU_1 SIMPLY [OMISSIS] FC [50-55%] [1-5%] [55-60%] 24.8% 6.2%</w:t>
        <w:br/>
        <w:t>SU_3 SIMPLY [OMISSIS] PE [20-25%] [5-10%] [30-35%] 44.9% 11.3%</w:t>
        <w:br/>
        <w:t>71 See doc. n. 40 and attachments.</w:t>
        <w:br/>
        <w:t>72 See, for example; Office of Fair Trading, ME/3777/08 Co-operative Group Limited - Somerfield Limited of December 21, 2009; European Commission, Case M.7758-HUTCHISON 3G ITALY / WIND / JV of September 1, 2016. See also European Commission, “Guidelines on the assessment of horizontal mergers under the Council Regulation on the control of concentrations between undertakings” of February 5, 2004 (2004/C 31/03), paragraph 29: “[q]uando sono disponibili dati, il grado di sostituibilità può essere valutato mediante inchieste sulle preferenze dei consumatori, l'analisi dei comportamenti di acquisto, la stima dell'elasticità incrociata rispetto al prezzo dei prodotti di cui trattasi, o coefficienti di dirottamento [ovvero i diversion ratios, n.d.r.].” and OECD – Policy Roundtables 2011: “Economic Evidence in Merger Analysis”.</w:t>
        <w:br/>
        <w:t>73 The number of local markets as well as the values of market shares and DR/GUPPI differ partially from those contained in the initiation order and in the Communication of Investigative Results, as this order has taken into account the adjustments of the Parties received on February 3 and 18, 2020, to the data previously provided by them (see docs. 139 and 144). The adjustments have particularly impacted the local markets SE_8, SU_30, I_3, I_19 (the latter no longer identified as problematic as the value of the diversion ratio/GUPPI is below the threshold of concern).</w:t>
      </w:r>
    </w:p>
    <w:p>
      <w:r>
        <w:t>220 BULLETIN NO. 10 OF MARCH 9, 2020</w:t>
      </w:r>
    </w:p>
    <w:p>
      <w:r>
        <w:t>QdM QdM QdM post</w:t>
        <w:br/>
        <w:t>n. isochrone Point of sale DR GUPPI</w:t>
        <w:br/>
        <w:t>acquirer target merger</w:t>
        <w:br/>
        <w:t>SU_4 IPERSIMPLY [OMISSIS] TE [15-20%] [10-15%] [30-35%] 24.3% 6.1%</w:t>
        <w:br/>
        <w:t>SU_5 MY AUCHAN [OMISSIS] RM [15-20%] [10-15%] [25-30%] 27.8% 7.0%</w:t>
        <w:br/>
        <w:t>SU_7 SIMPLY [OMISSIS] RN [75-80%] [1-5%] [80-85%] 70.8% 17.8%</w:t>
        <w:br/>
        <w:t>SU_8 IPERSIMPLY [OMISSIS] PE [25-30%] [15-20%] [45-50%] 46.9% 11.8%</w:t>
        <w:br/>
        <w:t>SU_9 SIMPLY [OMISSIS] PE [20-25%] [15-20%] [35-40%] 25.7% 6.4%</w:t>
        <w:br/>
        <w:t>SU_11 SIMPLY [OMISSIS] PR [40-45%] [15-20%] [60-65%] 27.7% 6.9%</w:t>
        <w:br/>
        <w:t>SU_17 POINT SIMPLY [OMISSIS] RM [20-25%] [10-15%] [30-35%] 23.2% 5.8%</w:t>
        <w:br/>
        <w:t>SU_18 SIMPLY [OMISSIS] RM [25-30%] [5-10%] [35-40%] 36.1% 9.1%</w:t>
        <w:br/>
        <w:t>SU_20 POINT SIMPLY [OMISSIS] RM [15-20%] [5-10%] [25-30%] 22.6% 5.7%</w:t>
        <w:br/>
        <w:t>SU_21 SIMPLY CITY [OMISSIS] RM [20-25%] [5-10%] [30-35%] 22.4% 5.6%</w:t>
        <w:br/>
        <w:t>SU_27 SIMPLY [OMISSIS] RM [25-30%] [10-15%] [35-40%] 30.4% 7.6%</w:t>
        <w:br/>
        <w:t>SU_28 POINT SIMPLY [OMISSIS] RM [15-20%] [5-10%] [25-30%] 22.5% 5.7%</w:t>
        <w:br/>
        <w:t>SU_29 SIMPLY [OMISSIS] RM [30-35%] [1-5%] [35-40%] 33.3% 8.4%</w:t>
        <w:br/>
        <w:t>SU_30 SIMPLY [OMISSIS] RM [15-20%] [15-20%] [30-35%] 22.8% 5.7%</w:t>
        <w:br/>
        <w:t>SU_31 SIMPLY [OMISSIS] BG [5-10%] [20-25%] [30-35%] 66.9% 16.8%</w:t>
        <w:br/>
        <w:t>SU_33 SIMPLY [OMISSIS] RM [25-30%] [5-10%] [35-40%] 36.7% 9.2%</w:t>
        <w:br/>
        <w:t>SU_37 SIMPLY [OMISSIS] MI [50-55%] [15-20%] [65-70%] 35.0% 8.8%</w:t>
        <w:br/>
        <w:t>SU_44 POINT SIMPLY [OMISSIS] PU [35-40%] [1-5%] [35-40%] 32.8% 8.2%</w:t>
        <w:br/>
        <w:t>SU_45 SIMPLY [OMISSIS] PU [35-40%] [1-5%] [35-40%] 36.4% 9.1%</w:t>
        <w:br/>
        <w:t>SU_46 IPERSIMPLY [OMISSIS] AN [10-15%] [20-25%] [30-35%] 27.0% 6.8%</w:t>
        <w:br/>
        <w:t>SU_52 SIMPLY [OMISSIS] FM [15-20%] [15-20%] [35-40%] 59.2% 14.8%</w:t>
        <w:br/>
        <w:t>SU_54 SIMPLY [OMISSIS] PG [25-30%] [5-10%] [35-40%] 69.1% 17.3%</w:t>
        <w:br/>
        <w:t>SU_55 IPERSIMPLY [OMISSIS] PE [25-30%] [15-20%] [40-45%] 42.6% 10.7%</w:t>
        <w:br/>
        <w:t>SU_60 SIMPLY [OMISSIS] AN [5-10%] [15-20%] [25-30%] 29.7% 7.5%</w:t>
        <w:br/>
        <w:t>SU_61 SIMPLY [OMISSIS] AN [5-10%] [20-25%] [30-35%] 58.5% 14.7%</w:t>
        <w:br/>
        <w:t>SU_62 SIMPLY CITY [OMISSIS] FC [50-55%] [1-5%] [55-60%] 26.3% 6.6%</w:t>
      </w:r>
    </w:p>
    <w:p>
      <w:r>
        <w:t>BULLETIN NO. 10 OF MARCH 9, 2020 221</w:t>
      </w:r>
    </w:p>
    <w:p>
      <w:r>
        <w:t>QdM QdM QdM post</w:t>
        <w:br/>
        <w:t>n. isochrone Point of sale DR GUPPI</w:t>
        <w:br/>
        <w:t>acquirer target merger</w:t>
        <w:br/>
        <w:t>SU_63 POINT SIMPLY [OMISSIS] PU [25-30%] [40-45%] [65-70%] 28.2% 7.1%</w:t>
      </w:r>
    </w:p>
    <w:p>
      <w:r>
        <w:t>Table 10 – Local markets for hypermarkets where the threshold values of QdM and DR/GUPPI are exceeded.</w:t>
        <w:br/>
        <w:t>QdM QdM QdM post</w:t>
        <w:br/>
        <w:t>n. isochrone Point of sale DR GUPPI</w:t>
        <w:br/>
        <w:t>acquirer target merger</w:t>
        <w:br/>
        <w:t>I_1 AUCHAN [OMISSIS] LO [10-15%] [15-20%] [25-30%] 20.2% 5.1%</w:t>
        <w:br/>
        <w:t>I_2 AUCHAN [OMISSIS] FM [15-20%] [15-20%] [30-35%] 27.3% 6.9%</w:t>
        <w:br/>
        <w:t>I_3 AUCHAN [OMISSIS] CA [25-30%] [15-20%] [40-45%] 26.4% 6.6%</w:t>
        <w:br/>
        <w:t>I_5 AUCHAN [OMISSIS] NA [20-25%] [20-25%] [40-45%] 35.3% 8.8%</w:t>
        <w:br/>
        <w:t>I_6 AUCHAN [OMISSIS] PE [30-35%] [20-25%] [50-55%] 49.6% 12.4%</w:t>
        <w:br/>
        <w:t>I_7 AUCHAN [OMISSIS] NA [15-20%] [25-30%] [40-45%] 23.3% 5.8%</w:t>
        <w:br/>
        <w:t>I_8 AUCHAN [OMISSIS] TO [5-10%] [20-25%] [25-30%] 26.5% 6.6%</w:t>
        <w:br/>
        <w:t>I_9 SIMPLY [OMISSIS] LT [25-30%] [1-5%] [30-35%] 36.7% 9.2%</w:t>
        <w:br/>
        <w:t>I_10 IPERSIMPLY [OMISSIS] MN [15-20%] [10-15%] [25-30%] 38.3% 9.6%</w:t>
        <w:br/>
        <w:t>I_12 AUCHAN [OMISSIS] PE [35-40%] [10-15%] [45-50%] 35.3% 8.8%</w:t>
        <w:br/>
        <w:t>I_13 AUCHAN [OMISSIS] NA [25-30%] [30-35%] [55-60%] 27.2% 6.8%</w:t>
        <w:br/>
        <w:t>I_14 AUCHAN [OMISSIS] RM [40-45%] [35-40%] [75-80%] 72.6% 18.2%</w:t>
        <w:br/>
        <w:t>I_20 IPERSIMPLY [OMISSIS] LO [10-15%] [35-40%] [50-55%] 56.5% 14.2%</w:t>
        <w:br/>
        <w:t>I_23 AUCHAN [OMISSIS] CA [25-30%] [10-15%] [35-40%] 29.2% 7.3%</w:t>
        <w:br/>
        <w:t>I_25 AUCHAN [OMISSIS] PA [10-15%] [30-35%] [45-50%] 43.1% 10.8%</w:t>
        <w:br/>
        <w:t>I_26 AUCHAN [OMISSIS] RM [15-20%] [10-15%] [30-35%] 20.0% 5.0%</w:t>
      </w:r>
    </w:p>
    <w:p>
      <w:r>
        <w:t>Source: AGCM elaborations on data from the Parties.</w:t>
      </w:r>
    </w:p>
    <w:p>
      <w:r>
        <w:t>b.3) Analysis of local markets deemed non-critical</w:t>
      </w:r>
    </w:p>
    <w:p>
      <w:r>
        <w:t>91. With reference to the 49 potentially critical local markets identified above, the consideration of additional elements has allowed for a refinement of the analysis, enabling for some of them to dispel competitive concerns.</w:t>
      </w:r>
    </w:p>
    <w:p>
      <w:r>
        <w:t>92. Firstly, there are no particular competitive concerns in those markets where, in the face of a post-merger market share that exceeds the attention threshold of 25% in a not particularly significant manner, there is a significant presence of qualified competitors capable of exerting a</w:t>
      </w:r>
    </w:p>
    <w:p>
      <w:r>
        <w:rPr>
          <w:b/>
        </w:rPr>
        <w:t>[Pages 220–222]</w:t>
      </w:r>
    </w:p>
    <w:p>
      <w:r>
        <w:t>222 BULLETIN NO. 10 OF MARCH 9, 2020</w:t>
      </w:r>
    </w:p>
    <w:p>
      <w:r>
        <w:t>The competitive pressure exerted by significant qualified competitors makes unilateral effects resulting from the operation under examination highly unlikely in those markets where, following the merger, the market share exceeds the attention threshold of 25% in a not particularly relevant manner. These are the following 10 isochrones:</w:t>
        <w:br/>
        <w:t>- SU_3, SIMPLY [OMISSIS] PE (1st competitor market share [25-30%]);</w:t>
        <w:br/>
        <w:t>- SU_4, IPERSIMPLY [OMISSIS] TE (1st competitor market share [20-25%]);</w:t>
        <w:br/>
        <w:t>- SU_20, PUNTO SIMPLY [OMISSIS] RM (1st competitor market share [20-25%]);</w:t>
        <w:br/>
        <w:t>- SU_28, PUNTO SIMPLY [OMISSIS] RM (1st competitor market share [15-20%]);</w:t>
        <w:br/>
        <w:t>- SU_46, IPERSIMPLY [OMISSIS] AN (1st competitor market share [25-30%]);</w:t>
        <w:br/>
        <w:t>- SU_60, SIMPLY [OMISSIS] AN (1st competitor market share [20-25%]);</w:t>
        <w:br/>
        <w:t>- I_1, AUCHAN [OMISSIS] LO (1st competitor market share [25-30%]);</w:t>
        <w:br/>
        <w:t>- I_2, AUCHAN [OMISSIS] FM (1st competitor market share [20-25%]);</w:t>
        <w:br/>
        <w:t>- I_9, SIMPLY [OMISSIS] LT (1st competitor market share [15-20%]);</w:t>
        <w:br/>
        <w:t>- I_10, IPERSIMPLY [OMISSIS] MN (1st competitor market share [20-25%]).</w:t>
      </w:r>
    </w:p>
    <w:p>
      <w:r>
        <w:t>93. It is also believed that there are no competitive concerns for the following 5 local markets, all located in the urban area or in the conurbation of major provincial capitals (Rome and Turin), where, following the merger, market shares remain below 35%, and there is a sufficient number of competing points of sale (at least 100 commercial establishments for the 3 supermarket markets and at least 50 for the 2 hypermarket markets) to provide a wide range of alternatives for consumers in the event of a deterioration in competitive conditions in the new entity:</w:t>
        <w:br/>
        <w:t>- SU_5, MY AUCHAN [OMISSIS] RM (130 competing points of sale);</w:t>
        <w:br/>
        <w:t>- SU_17, PUNTO SIMPLY [OMISSIS] RM (101 competing points of sale);</w:t>
        <w:br/>
        <w:t>- SU_21, SIMPLY CITY [OMISSIS] RM (138 competing points of sale);</w:t>
        <w:br/>
        <w:t>- I_8, AUCHAN [OMISSIS] TO (51 competing points of sale);</w:t>
        <w:br/>
        <w:t>- I_26, AUCHAN [OMISSIS] RM (70 competing points of sale).</w:t>
      </w:r>
    </w:p>
    <w:p>
      <w:r>
        <w:t>94. Finally, there are no grounds for the creation or strengthening of a dominant position in the local market SU_61 (SIMPLY [OMISSIS] AN), where the post-merger entity is not the leading operator, as the Coop brand holds a market share exceeding 40%.</w:t>
      </w:r>
    </w:p>
    <w:p>
      <w:r>
        <w:t>95. As a result of these investigations, it is therefore possible to exclude 16 isochrones from the list of 49 potentially problematic ones.</w:t>
      </w:r>
    </w:p>
    <w:p>
      <w:r>
        <w:t>b.4) On the analysis of unilateral effects: objections from the Parties and their unfoundedness</w:t>
      </w:r>
    </w:p>
    <w:p>
      <w:r>
        <w:t>96. With reference to the evaluative criteria just described, the Parties, first of all, argued that the threshold value referenced in the CRI for market shares (25%) would be excessively cautious, both considering the Guidelines of the European Commission on horizontal concentrations74 and the established practice of the Authority regarding assessments of concentration operations. In particular, in the case of concentration authorization measures subject to conditions, the Authority would have imposed corrective measures aimed at bringing the joint market share of the companies involved back to values around 45%, if not higher75; the Authority would also have unconditionally authorized, even in the same sector of large-scale distribution, operations that involved a post-merger share exceeding 40%, despite increases exceeding 20%76.</w:t>
      </w:r>
    </w:p>
    <w:p>
      <w:r>
        <w:t>97. Secondly, for the first time in the memorandum of February 3, 2020, the Parties argue that the Todis chain, although from a corporate perspective it is attributable to the PAC2000 Cooperative – which wholly controls IGES S.r.l., the owner of the Todis brand – should be considered an actual competitor of CONAD and not as part of the CONAD system, as occurred in the present investigation. This is based on the following considerations:</w:t>
        <w:br/>
        <w:t>- Todis presents itself as a completely autonomous entity from CONAD, especially in the eyes of consumers, being a discount chain present exclusively in the Central-Southern Italy areas, which sells only private label products that are exclusively available in Todis stores. These products are not included in the CONAD assortment, nor are CONAD private label products sold in Todis points of sale;</w:t>
        <w:br/>
        <w:t>- the points of sale in the Todis network, unlike those of CONAD, are managed by entrepreneurs who have franchise agreements with IGES S.r.l. or with Addis S.r.l. (a company partially owned by Conad Adriatico and IGES S.r.l.) or with Sodisi S.r.l. (a company partially owned by PAC2000 and IGES S.r.l.), depending on the geographical area. This is despite what is stated on the Todis website, which claims that "Todis, in addition to its owned points of sale, has numerous franchised stores" (emphasis added), as the reference to owned points of sale actually concerns businesses for which the original investment for acquisition/creation was borne by IGES S.r.l., but in which the point of sale is nonetheless managed by an affiliate. Therefore, there would be no cases of direct management of Todis points of sale by parties other than franchisees;</w:t>
        <w:br/>
        <w:t>- purchases for the supply of Todis points of sale would be made directly by IGES S.r.l. in total autonomy and independence from the CONAD purchasing structure;</w:t>
        <w:br/>
        <w:t>- even the retail pricing policies would be determined in complete autonomy, without the involvement of CONAD structures;</w:t>
        <w:br/>
        <w:t>- the activities of the two chains would also be separate from a logistical perspective (distinct warehouses and storage activities), customer loyalty programs, and the development and network of commercial activity;</w:t>
        <w:br/>
        <w:t>- the individuals holding positions in IGES S.r.l., Addis S.r.l., and Sodisi S.r.l. who also hold corporate positions in CONAD Cooperatives, while being members of the administrative bodies, do not have operational delegations or special powers as they are not members of the administrative body.</w:t>
      </w:r>
    </w:p>
    <w:p>
      <w:r>
        <w:t>According to the Parties, precisely because the consumer does not perceive the Todis brand as attributable to the CONAD system, this distinction should at least be valued in the analysis of the substitutability relationship (carried out through the diversion ratio and the GUPPI) with the brands of the Auchan group. According to the Parties, since the Todis brand is less substitutable – compared to the brands of the CONAD system – with the brands of the Auchan group, this could reduce the competitive issues identified in the local markets under examination.</w:t>
      </w:r>
    </w:p>
    <w:p>
      <w:r>
        <w:t>98. Regarding the first objection, it should be noted, preliminarily, that the 25% market share threshold identified by Council Regulation (EC) No. 139/2004 has been used as a first screening tool, as evidenced by the fact that numerous local markets where the joint share reached much higher values have been considered not likely to raise competitive concerns (see supra par. 2.1.b.4). In relation to the evaluation criteria used by the Authority in its previous decisions, and in particular to the different weight attributed to market share, it must be considered that in such cases either more refined analytical tools had not yet been used (especially in older cases) or the market share-based assessment was subsequently complemented, as in the present case, by specific quantitative and qualitative analyses. The assessment of the effects of the operation, based both on a quantitative screening of the isochrones and on a qualitative analysis (which takes into account a plurality of elements), appears capable of capturing the impact of the operation more accurately and precisely, in line with community best practices. Moreover, the Parties' criticism regarding the fact that the shares considered problematic in the present operation would be lower than those considered problematic by the Authority in its previous decisions does not take into account two circumstances: i) that the commodity markets have been significantly expanded on this occasion (including discounts and including all supermarkets both in the supermarket market and in the hypermarket market); ii) that, with the old commodity definition of the markets, the Parties' shares would have been much more substantial, even in the face of a broader geographical market.</w:t>
      </w:r>
    </w:p>
    <w:p>
      <w:r>
        <w:t>99. Regarding the Parties' considerations on the Todis brand, the decisive circumstance is that the Todis brand is owned by IGES S.r.l., whose share capital is entirely held by PAC2000 - the largest Cooperative in the CONAD system - which exercises legal control over it pursuant to Article 7, letter a), of Law 287/1990. Nor do the elements put forward by the Parties in support of the thesis of commercial autonomy between the CONAD brand and the Todis brand appear sufficient to demonstrate the total independence, even over time, of the commercial policies of Todis-branded points of sale from the CONAD system.</w:t>
      </w:r>
    </w:p>
    <w:p>
      <w:r>
        <w:t>100. Even if one were to follow the argument of the Parties that the final consumer, despite this control relationship, would not perceive the Todis brand as attributable to the CONAD system, calculations were made for the 11 local markets77 of the 33 problematic ones where Todis-branded points of sale are present, calculating the diversion ratios using a substitutability ratio between the Auchan group brands and the Todis brand, different from that observed in the survey between Auchan brands and CONAD brands; in particular, for the Todis points of sale, a lower substitutability factor value78 was used compared to the substitutability coefficient between Auchan brands and CONAD brands. The data in the table shows that, even with this correction, the values of the diversion ratios remain significant.</w:t>
      </w:r>
    </w:p>
    <w:p>
      <w:r>
        <w:t>77 This corrective factor is not applicable to the local markets SE_6 PUNTO SIMPLY [OMISSIS] FM and SU_52 SIMPLY [OMISSIS] FM, as the fact that the post-merger entity decided to change the brand at a point of sale acquired as a result of the operation ([OMISSIS]) is not relevant in assessing the change in the target point of sale's incentive to raise prices attributable to the concentration.</w:t>
      </w:r>
    </w:p>
    <w:p>
      <w:r>
        <w:t>78 The substitutability factor for the points of sale of the Auchan group was estimated directly from the survey only for the main brands present in the market; for the other brands (including Todis), as more thoroughly described in the methodological appendix, the degree of substitutability was estimated by taking the overall average of the substitutability factor of the brands present in the survey. Naturally, in the analysis of substitutability between Auchan points of sale and Todis points of sale, it was also taken into account that the latter belong to a different type (discount).</w:t>
      </w:r>
    </w:p>
    <w:p>
      <w:r>
        <w:rPr>
          <w:b/>
        </w:rPr>
        <w:t>[Pages 223–225]</w:t>
      </w:r>
    </w:p>
    <w:p>
      <w:r>
        <w:t>BULLETIN NO. 10 OF MARCH 9, 2020 225</w:t>
      </w:r>
    </w:p>
    <w:p>
      <w:r>
        <w:t>the diversion ratio of the problematic isochrones decreases only to a very modest extent, not alleviating the competitive concerns.</w:t>
      </w:r>
    </w:p>
    <w:p>
      <w:r>
        <w:t>DR with substitution coefficient DR with substitution coefficient</w:t>
        <w:br/>
        <w:t>Local market</w:t>
        <w:br/>
        <w:t>Auchan - Conad Auchan - Todis</w:t>
        <w:br/>
        <w:t>SE_8 41.9% 41.9%</w:t>
        <w:br/>
        <w:t>SU_8 46.9% 46.4%</w:t>
        <w:br/>
        <w:t>SU_9 25.7% 25.2%</w:t>
        <w:br/>
        <w:t>SU_18 36.1% 35.8%</w:t>
        <w:br/>
        <w:t>SU_27 30.4% 30.1%</w:t>
        <w:br/>
        <w:t>SU_29 33.3% 32.5%</w:t>
        <w:br/>
        <w:t>SU_30 22.8% 22.2%</w:t>
        <w:br/>
        <w:t>SU_33 36.7% 36.3%</w:t>
        <w:br/>
        <w:t>SU_55 42.6% 42.1%</w:t>
        <w:br/>
        <w:t>I_6 49.6% 47.8%</w:t>
        <w:br/>
        <w:t>I_12 35.3% 34.2%</w:t>
      </w:r>
    </w:p>
    <w:p>
      <w:r>
        <w:t>101. In any case, in the continuation of the analysis, the diversion ratio data (and the corresponding GUPPI values) most favorable to the Parties will be used.</w:t>
      </w:r>
    </w:p>
    <w:p>
      <w:r>
        <w:t>c) Analysis of the coordinated effects of the operation</w:t>
      </w:r>
    </w:p>
    <w:p>
      <w:r>
        <w:t>102. The investigative findings finally allow us to exclude the suitability of the operation to incentivize coordination between the entity that would be created as a result of the operation and the main competitors in the markets affected by the operation. In this regard, it is first noted that all relevant markets potentially affected by the creation or strengthening of a dominant position are characterized by asymmetric oligopolies where the first operator – namely the CONAD system Cooperative – finds itself strengthening its market position in the face of the presence of several competitors with non-high shares, and with the second operator having a market share in many cases less than half that of the first. This must be added to the significant degree of competition among chains that characterizes the GDO sector at the national level.</w:t>
      </w:r>
    </w:p>
    <w:p>
      <w:r>
        <w:t>The operation in question does not therefore appear suitable to produce coordinated effects that would eliminate or substantially and durably reduce competition in the affected markets.</w:t>
      </w:r>
    </w:p>
    <w:p>
      <w:r>
        <w:t>d) Accessory restrictions on the operation</w:t>
      </w:r>
    </w:p>
    <w:p>
      <w:r>
        <w:t>103. As represented in the initiation of the procedure, Soldanelle SA and its affiliates have committed, for a period of three years from the sale of Auchan, to refrain from carrying out in Italy, directly or indirectly, wholesale activities, management of hypermarkets, supermarkets, and small supermarkets, and any further type of large-scale distribution of food products (including alcoholic beverages) and pet food.</w:t>
      </w:r>
    </w:p>
    <w:p>
      <w:r>
        <w:t>104. The non-competition agreement described above constitutes a restriction directly connected and necessary for the realization of the operation, as it is strictly functional to safeguarding the value of the acquired company, including goodwill, provided that it has a duration not exceeding the period of two years from the date of realization of the concentration, that is, from the date of acquisition of control, and that the geographical scope does not exceed the current geographical area of operation of the acquired company79.</w:t>
      </w:r>
    </w:p>
    <w:p>
      <w:r>
        <w:t>e) Conclusions</w:t>
      </w:r>
    </w:p>
    <w:p>
      <w:r>
        <w:t>105. The analysis of the competitive context in which the concentration operation takes place, carried out through the evaluation of numerous quantitative and qualitative aspects (market shares of the Parties and the related increase resulting from the acquisition, level of competitive pressure exerted by the target stores on the acquiring stores through the diversion ratio and the GUPPI, analysis of the overall offer through competing stores), therefore highlights issues concerning the following 33 local markets (4 of the small supermarkets, 19 of the supermarkets, and 10 of the hypermarkets):</w:t>
        <w:br/>
        <w:t>- SE_5, PUNTO SMA Via C. Battisti, 125 Cesena FC;</w:t>
        <w:br/>
        <w:t>- SE_6, PUNTO SIMPLY Via Petrarca Porto San Giorgio FM;</w:t>
        <w:br/>
        <w:t>- SE_7, PUNTO SIMPLY Via C. Colombo, 15 Monte Urano FM;</w:t>
        <w:br/>
        <w:t>- SE_8, PUNTO SIMPLY Via Spalato, 63/65/67 Macerata MC;</w:t>
        <w:br/>
        <w:t>- SU_1, SIMPLY, Via Balzella 2 Forlì FC;</w:t>
        <w:br/>
        <w:t>- SU_7, SIMPLY P.zza della Repubblica Cattolica RN;</w:t>
        <w:br/>
        <w:t>- SU_8, IPERSIMPLY Via ss 16 bis/ via Montari Spoltore PE;</w:t>
        <w:br/>
        <w:t>- SU_9, SIMPLY Viale Pindaro 14 Pescara PE;</w:t>
        <w:br/>
        <w:t>- SU_11, SIMPLY Piazza Mercato 13 Fornovo di Taro PR;</w:t>
        <w:br/>
        <w:t>- SU_18, SIMPLY Ostia, via delle Gondole 19 Roma RM;</w:t>
        <w:br/>
        <w:t>- SU_27, SIMPLY Ostia, via Casana 200 Roma RM;</w:t>
        <w:br/>
        <w:t>- SU_29, SIMPLY Via di Saponara 220 Roma RM;</w:t>
        <w:br/>
        <w:t>- SU_30, SIMPLY Piazza Minucciano 20 Roma RM;</w:t>
        <w:br/>
        <w:t>- SU_31, SIMPLY Via Pagliarini 26 Romano di Lombardia BG;</w:t>
        <w:br/>
        <w:t>- SU_33, SIMPLY Ostia, Via Isola di Capo Verde / Via Velieri Roma RM;</w:t>
        <w:br/>
        <w:t>- SU_37, SIMPLY Via Ticino 9 Motta Visconti MI;</w:t>
        <w:br/>
        <w:t>- SU_44, PUNTO SIMPLY Via Della Robbia Pesaro PU;</w:t>
        <w:br/>
        <w:t>- SU_45, SIMPLY Via Ponchielli 94 Pesaro PU;</w:t>
        <w:br/>
        <w:t>- SU_52, SIMPLY Via Marsala 7/A Porto San Giorgio FM;</w:t>
        <w:br/>
        <w:t>- SU_54, SIMPLY Zona Ind. Flaminia Fossato di Vico PG;</w:t>
        <w:br/>
        <w:t>- SU_55, IPER SIMPLY Via Tiburtina Valeria 91 Pescara PE;</w:t>
        <w:br/>
        <w:t>- SU_62, SIMPLY CITY Via Piolanti Forlì FC;</w:t>
        <w:br/>
        <w:t>- SU_63, PUNTO SIMPLY Via San Francesco, 39 Fano PU;</w:t>
        <w:br/>
        <w:t>- I_3, AUCHAN Via San Simone 60 Cagliari CA;</w:t>
        <w:br/>
        <w:t>- I_5, AUCHAN Via Boscofangone Nola NA;</w:t>
        <w:br/>
        <w:t>- I_6, AUCHAN Via Tiburtina Valeria 386 Pescara PE;</w:t>
        <w:br/>
        <w:t>- I_7, AUCHAN Ss Castellammare di Stabia 145-3 - Loc. Pontenuovo Pompei NA;</w:t>
        <w:br/>
        <w:t>- I_12, AUCHAN Ss 602 km 5.300 Cepagatti PE;</w:t>
        <w:br/>
        <w:t>79 Cf. Communication from the European Commission on restrictions directly connected and necessary to concentrations (2005/C 56/03) §§ 20, 22 and 23.</w:t>
      </w:r>
    </w:p>
    <w:p>
      <w:r>
        <w:t>BULLETIN NO. 10 OF MARCH 9, 2020 227</w:t>
      </w:r>
    </w:p>
    <w:p>
      <w:r>
        <w:t>- I_13, AUCHAN Via Circumvallazione Esterne ang. Via S.M. a Cubito Giugliano in Campania NA;</w:t>
        <w:br/>
        <w:t>- I_14, AUCHAN Via Portuense 2000 Fiumicino RM;</w:t>
        <w:br/>
        <w:t>- I_20, IPERSIMPLY Via A. Moro 3 Codogno LO;</w:t>
        <w:br/>
        <w:t>- I_23, AUCHAN Via Dolianova 35 Cagliari CA;</w:t>
        <w:br/>
        <w:t>- I_25, AUCHAN Contrada Ciachea Carini PA.</w:t>
      </w:r>
    </w:p>
    <w:p>
      <w:r>
        <w:t>In these markets, the investigation in question has established that the concentration under examination is likely to lead to the establishment or strengthening of a dominant position of the Cooperatives of the CONAD system.</w:t>
      </w:r>
    </w:p>
    <w:p>
      <w:r>
        <w:t>2.2) The markets for the procurement of food and non-food consumer goods</w:t>
      </w:r>
    </w:p>
    <w:p>
      <w:r>
        <w:t>106. In relation to the procurement markets, the investigation has established that the market share of the post-merger entity is estimated at approximately 18% on a national basis. This is because, during 2020, the purchasing mandate between Auchan and the Levante Group will cease; consequently, to the market share held by the CONAD purchasing center – Finiper (estimated by the Parties at 14.9%) will be added, as a result of the operation, only the purchasing share of the direct Auchan stores, which will be transferred, in whole or in part, to the Cooperatives of the CONAD system. Therefore, the increase attributable to the operation will be at most 3.3%. In this context, the position of the main competitors active in the national procurement markets, namely ESD Italia and Coop Italia, is relevant, which, based on the data provided by the Parties, hold market shares of 20% and 13%, respectively.</w:t>
      </w:r>
    </w:p>
    <w:p>
      <w:r>
        <w:t>107. As per established practice, moreover, the position of the Parties in the markets under examination must be evaluated in conjunction with the market shares that the companies participating in the purchasing centers hold jointly in the local GDO markets, as the distribution of sales shares in the territory can influence the bargaining power of the purchasing center at the time of procurement. In this perspective, it is noted that the assessment made above in the context of the local retail markets is suitable to exclude competitive concerns.</w:t>
      </w:r>
    </w:p>
    <w:p>
      <w:r>
        <w:t>108. In light of the above considerations, it is believed that the concentration operation is not likely to lead to the creation or strengthening of a dominant position in the markets for the procurement of food and non-food consumer goods.</w:t>
      </w:r>
    </w:p>
    <w:p>
      <w:r>
        <w:t>VII. THE CORRECTIVE MEASURES PROPOSED BY THE PARTIES</w:t>
      </w:r>
    </w:p>
    <w:p>
      <w:r>
        <w:t>109. The Parties, while not considering all the competitive concerns raised to be well-founded, in order to resolve the competitive issues highlighted by the CRI, proposed on February 3 and 18, 2020, some corrective measures (hereinafter "corrective measures") of a structural nature80.</w:t>
      </w:r>
    </w:p>
    <w:p>
      <w:r>
        <w:t>110. Firstly, the Parties have communicated their commitment to divest the following 14 points of sale [OMISSIS]:</w:t>
        <w:br/>
        <w:t>- [OMISSIS];</w:t>
        <w:br/>
        <w:t>- [OMISSIS];</w:t>
        <w:br/>
        <w:t>- [OMISSIS];</w:t>
        <w:br/>
        <w:t>- [OMISSIS];</w:t>
      </w:r>
    </w:p>
    <w:p>
      <w:r>
        <w:t>80 Cf. docs. 139, 144 and 146.</w:t>
      </w:r>
    </w:p>
    <w:p>
      <w:r>
        <w:rPr>
          <w:b/>
        </w:rPr>
        <w:t>[Pages 226–228]</w:t>
      </w:r>
    </w:p>
    <w:p>
      <w:r>
        <w:t>228 BULLETIN NO. 10 OF MARCH 9, 2020</w:t>
      </w:r>
    </w:p>
    <w:p>
      <w:r>
        <w:t>- [OMISSIS];</w:t>
        <w:br/>
        <w:t>- [OMISSIS];</w:t>
        <w:br/>
        <w:t>- [OMISSIS];</w:t>
        <w:br/>
        <w:t>- [OMISSIS];</w:t>
        <w:br/>
        <w:t>- [OMISSIS];</w:t>
        <w:br/>
        <w:t>- [OMISSIS];</w:t>
        <w:br/>
        <w:t>- [OMISSIS];</w:t>
        <w:br/>
        <w:t>- [OMISSIS];</w:t>
        <w:br/>
        <w:t>- [OMISSIS];</w:t>
        <w:br/>
        <w:t>- [OMISSIS].</w:t>
      </w:r>
    </w:p>
    <w:p>
      <w:r>
        <w:t>111. The Parties believe that these 14 divestitures are decisive in addressing the competitive concerns related not only to the 12 local markets [OMISSIS], but also to 6 additional local markets [OMISSIS]:</w:t>
        <w:br/>
        <w:t>- [OMISSIS];</w:t>
        <w:br/>
        <w:t>- [OMISSIS];</w:t>
        <w:br/>
        <w:t>- [OMISSIS];</w:t>
        <w:br/>
        <w:t>- [OMISSIS];</w:t>
        <w:br/>
        <w:t>- [OMISSIS];</w:t>
        <w:br/>
        <w:t>- [OMISSIS].</w:t>
      </w:r>
    </w:p>
    <w:p>
      <w:r>
        <w:t>112. Secondly, the Parties, in light of the remaining competitive concerns regarding the other 15 problematic local markets, have committed to divest an additional 15 stores [OMISSIS].</w:t>
      </w:r>
    </w:p>
    <w:p>
      <w:r>
        <w:t>113. [OMISSIS].</w:t>
      </w:r>
    </w:p>
    <w:p>
      <w:r>
        <w:t>114. The Parties note that the aforementioned divestitures of stores (totaling 29) are part of a broader plan for the divestiture of stores acquired from the Auchan network, which involves more than one hundred stores. This aspect, in the opinion of the Parties, needs to be considered also for the purposes of the implementation timelines for the execution of the proposed measures, for which the Parties foresee the following modalities:</w:t>
        <w:br/>
        <w:t>a) the stores will be sold to a buyer who can maintain and develop the business;</w:t>
        <w:br/>
        <w:t>b) the divestiture of the stores will involve all tangible and intangible assets in the possession of the Parties related to the business subject to divestiture;</w:t>
        <w:br/>
        <w:t>c) CONAD commits to divest the 14 stores referred to in paragraph 110 by no later than [OMISSIS] (“first block of divestitures”);</w:t>
        <w:br/>
        <w:t>d) if by [OMISSIS] buyers have not been identified for the remaining 15 stores referred to in points 112 and 113 to be transferred to third parties, CONAD and the interested CONAD Cooperatives commit to finalize the relevant divestitures by [OMISSIS] (“second block of divestitures”);</w:t>
        <w:br/>
        <w:t>e) if the divestitures referred to in point d) do not occur by the proposed deadline, CONAD and the interested Cooperatives will identify buyers by granting an irrevocable mandate to an independent and qualified entity, for a period of [OMISSIS];</w:t>
        <w:br/>
        <w:t>f) if the divestitures do not occur even during the period referred to in point e), in the subsequent [OMISSIS] CONAD and the interested Cooperatives [OMISSIS];</w:t>
        <w:br/>
        <w:t>g) CONAD and the interested Cooperatives, in order to minimize the risks of potential loss of competitiveness of the stores to be divested, during the period between the date of authorization of the concentration operation and the transfer of their control, must preserve the economic operation, marketability, and competitiveness of the same in accordance with good commercial practice;</w:t>
        <w:br/>
        <w:t>h) regarding the execution of these measures, CONAD and the interested Cooperatives will send to the Authority, in addition to the communications referred to in previous points c) and d), a concluding report at the end of each divestiture period, as well as a final report upon the definitive implementation of the commitments.</w:t>
      </w:r>
    </w:p>
    <w:p>
      <w:r>
        <w:t>VIII. EVALUATION OF THE PROPOSED MEASURES</w:t>
      </w:r>
    </w:p>
    <w:p>
      <w:r>
        <w:t>115. Below is a summary of the competitive impact of the structural corrective measures proposed by the Parties on the 33 local markets deemed problematic following the investigation conducted. Subsequently, the implementation modalities will be briefly discussed.</w:t>
      </w:r>
    </w:p>
    <w:p>
      <w:r>
        <w:t>a) Impact of the measures proposed by the Parties</w:t>
      </w:r>
    </w:p>
    <w:p>
      <w:r>
        <w:t>116. Firstly, it is noted that the divestiture [OMISSIS] is suitable to remove [OMISSIS] the competitive concerns in the following 25 local markets:</w:t>
        <w:br/>
        <w:t>- SE_5, PUNTO SMA Via C. Battisti, 125 Cesena FC;</w:t>
        <w:br/>
        <w:t>- SE_6, PUNTO SIMPLY Via Petrarca Porto San Giorgio FM;</w:t>
        <w:br/>
        <w:t>- SE_7, PUNTO SIMPLY Via C. Colombo, 15 Monte Urano FM;</w:t>
        <w:br/>
        <w:t>- SE_8, PUNTO SIMPLY Via Spalato, 63/65/67 Macerata MC;</w:t>
        <w:br/>
        <w:t>- SU_1, SIMPLY, Via Balzella 2 Forlì FC;</w:t>
        <w:br/>
        <w:t>- SU_7, SIMPLY P.zza della Repubblica Cattolica RN;</w:t>
        <w:br/>
        <w:t>- SU_9, SIMPLY Viale Pindaro 14 Pescara PE;</w:t>
        <w:br/>
        <w:t>- SU_11, SIMPLY Piazza Mercato 13 Fornovo di Taro PR;</w:t>
        <w:br/>
        <w:t>- SU_30, SIMPLY Piazza Minucciano 20 Roma RM;</w:t>
        <w:br/>
        <w:t>- SU_33, SIMPLY Ostia, Via Isola di Capo Verde / Via Velieri Roma RM;</w:t>
        <w:br/>
        <w:t>- SU_37, SIMPLY Via Ticino 9 Motta Visconti MI;</w:t>
        <w:br/>
        <w:t>- SU_45, SIMPLY Via Ponchielli 94 Pesaro PU;</w:t>
        <w:br/>
        <w:t>- SU_52, SIMPLY Via Marsala 7/A Porto San Giorgio FM;</w:t>
        <w:br/>
        <w:t>- SU_54, SIMPLY Zona Ind. Flaminia Fossato di Vico PG;</w:t>
        <w:br/>
        <w:t>- SU_55, IPER SIMPLY Via Tiburtina Valeria 91 Pescara PE;</w:t>
        <w:br/>
        <w:t>- SU_63, PUNTO SIMPLY Via San Francesco, 39 Fano PU;</w:t>
        <w:br/>
        <w:t>- I_5, AUCHAN Via Boscofangone Nola NA;</w:t>
        <w:br/>
        <w:t>- I_6, AUCHAN Via Tiburtina Valeria 386 Pescara PE;</w:t>
        <w:br/>
        <w:t>- I_7, AUCHAN Ss Castellammare di Stabia 145-3 - Loc. Pontenuovo Pompei NA;</w:t>
        <w:br/>
        <w:t>- I_12, AUCHAN Ss 602 km 5.300 Cepagatti PE;</w:t>
        <w:br/>
        <w:t>- I_13, AUCHAN Via Circumvallazione Esterne ang. Via S.M. a Cubito Giugliano in Campania NA;</w:t>
        <w:br/>
        <w:t>- I_14, AUCHAN Via Portuense 2000 Fiumicino RM;</w:t>
        <w:br/>
        <w:t>- I_20, IPERSIMPLY Via A. Moro 3 Codogno LO;</w:t>
        <w:br/>
        <w:t>- I_23, AUCHAN Via Dolianova 35 Cagliari CA;</w:t>
        <w:br/>
        <w:t>- I_25, AUCHAN Contrada Ciachea Carini PA.</w:t>
      </w:r>
    </w:p>
    <w:p>
      <w:r>
        <w:t>117. Regarding the additional 8 local markets for which the investigation highlighted competitive issues, the following is noted.</w:t>
      </w:r>
    </w:p>
    <w:p>
      <w:r>
        <w:t>230 BULLETIN NO. 10 OF MARCH 9, 2020</w:t>
      </w:r>
    </w:p>
    <w:p>
      <w:r>
        <w:t>Local market SU_8, IPERSIMPLY Via ss 16 bis/via Montari, Spoltore (PE)</w:t>
      </w:r>
    </w:p>
    <w:p>
      <w:r>
        <w:t>118. The divestiture to third parties [OMISSIS] significantly reduces both the post-merger market share (from [45-50%] to [30-35%], with an increase attributable to the operation of [1-5%, OMISSIS]), as well as the value of the diversion ratio and GUPPI. The overall set of proposed divestitures, given the marginal increase in market share resulting from the operation in question, appears suitable to remove the competitive concerns.</w:t>
      </w:r>
    </w:p>
    <w:p>
      <w:r>
        <w:t>Local market SU_18, SIMPLY Ostia, via delle Gondole 19 Roma</w:t>
      </w:r>
    </w:p>
    <w:p>
      <w:r>
        <w:t>119. In relation to this market, the divestiture [OMISSIS] reduces the Parties' market share to [30-35%], with an increase attributable to the operation of [1-5%]. The values of diversion ratio and GUPPI also appear to have decreased. The market is also characterized by the presence of numerous and qualified competitors: PAM-Panorama ([15-20%] market share), GROS ([10-15%]), Carrefour ([5-10%]). Considering the qualified presence of competitors and the not high post-merger increase in market share, the proposed divestiture appears suitable to remove the identified competitive issues.</w:t>
      </w:r>
    </w:p>
    <w:p>
      <w:r>
        <w:t>Local market SU_27, SIMPLY Ostia, via Casana 200 Roma</w:t>
      </w:r>
    </w:p>
    <w:p>
      <w:r>
        <w:t>120. Also in this local market, as a result of the divestiture [OMISSIS], the post-merger market share is reduced to [30-35%] (increase attributable to the operation of [1-5%]) and diversion ratio and GUPPI decrease. In the isochrone, partially overlapping with the previous SU_18, qualified competitors are present: PAM-Panorama ([15-20%] market share), GROS ([15-20%]), Carrefour ([5-10%]). By virtue of the same considerations made for the local market SU_18, the divestiture [OMISSIS] appears [OMISSIS] suitable to resolve the competitive issues of the local market in question.</w:t>
      </w:r>
    </w:p>
    <w:p>
      <w:r>
        <w:t>Local market SU_29, SIMPLY Via di Saponara 220 Roma</w:t>
      </w:r>
    </w:p>
    <w:p>
      <w:r>
        <w:t>121. The divestiture [OMISSIS] appears decisive in addressing the competitive issues identified in the CRI, as the post-merger market share is [30-35%], with an increase of only [1-5%] resulting from the operation. The values of diversion ratio and GUPPI also show a decrease.</w:t>
      </w:r>
    </w:p>
    <w:p>
      <w:r>
        <w:t>Local market SU_31, SIMPLY Via Pagliarini 26 Romano di Lombardia BG</w:t>
      </w:r>
    </w:p>
    <w:p>
      <w:r>
        <w:t>122. Similarly decisive, in the local market SU_31, is the proposed divestiture to third parties [OMISSIS], which reduces the market share attributable to the Parties to [10-15%], well below the threshold of concern.</w:t>
      </w:r>
    </w:p>
    <w:p>
      <w:r>
        <w:t>Local market SU_44, PUNTO SIMPLY Via Della Robbia Pesaro PU</w:t>
      </w:r>
    </w:p>
    <w:p>
      <w:r>
        <w:t>123. In the local market in question, the proposed divestiture [OMISSIS] reduces the post-merger market share to [35-40%], with an increase attributable to the operation extremely limited ([less than 1%]). The divestiture also has a reducing effect on the values of diversion ratio and GUPPI. Additionally, a primary national competitor (Coop) is present in the aforementioned market, with a share very close to that of the Parties ([35-40%]). For these reasons, the aforementioned divestiture appears suitable to remove the competitive concerns.</w:t>
      </w:r>
    </w:p>
    <w:p>
      <w:r>
        <w:rPr>
          <w:b/>
        </w:rPr>
        <w:t>[Pages 229–231]</w:t>
      </w:r>
    </w:p>
    <w:p>
      <w:r>
        <w:t>BULLETIN NO. 10 OF MARCH 9, 2020 231</w:t>
      </w:r>
    </w:p>
    <w:p>
      <w:r>
        <w:t>Local Market SU_62, SIMPLY CITY Via Piolanti Forlì FC</w:t>
      </w:r>
    </w:p>
    <w:p>
      <w:r>
        <w:t>124. The divestiture [OMISSIS] has the effect of reducing, in the isochrone in question, the increase in market share attributable to the operation, which amounts to just [1-5%]. Even in the face of a very high market share ([50-55%]), it is therefore believed that in the local market in question the operation, due to its limited impact, is not suitable to strengthen a dominant position.</w:t>
      </w:r>
    </w:p>
    <w:p>
      <w:r>
        <w:t>Local Market I_3, AUCHAN Via San Simone 60, Cagliari</w:t>
      </w:r>
    </w:p>
    <w:p>
      <w:r>
        <w:t>125. The divestiture [OMISSIS], while having a marginal impact on the market share of the post-merger entity (from [40-45%] to [40-45%]), results in a significant reduction of the diversion ratio (from 26.4% to 18.2%) and of the GUPPI (from 6.6% to 4.6%) - which would fall below the threshold of concern - due to the "competitive proximity" of the divested point of sale compared to the target. This divestiture is therefore deemed suitable to resolve the competitive concerns.</w:t>
      </w:r>
    </w:p>
    <w:p>
      <w:r>
        <w:t>b) Conclusions on the suitability of the measures proposed by the Parties</w:t>
      </w:r>
    </w:p>
    <w:p>
      <w:r>
        <w:t>126. The divestitures proposed by the Parties, which concern a total of 29 points of sale listed in paragraphs 110, 112, and 113, are deemed suitable to remove the concerns identified in the 33 local markets referred to in paragraph 105, for which the investigation had highlighted competitive concerns. However, from the perspective of the methods and timelines proposed for the divestitures in question, the following is noted.</w:t>
      </w:r>
    </w:p>
    <w:p>
      <w:r>
        <w:t>127. Firstly, the timelines for the implementation of the measures proposed by the Parties appear excessively prolonged to ensure a rapid restoration of contractual conditions in the relevant markets. It is believed that, for this purpose, a reasonable timeframe could be [OMISSIS] for the 14 points of sale belonging to the first block of divestitures and [OMISSIS] for the 15 points of sale of the second block of divestitures. Should the aforementioned divestitures not take place within these deadlines, the Parties must [OMISSIS].</w:t>
      </w:r>
    </w:p>
    <w:p>
      <w:r>
        <w:t>128. Furthermore, to ensure the proper execution of the measures aimed at eliminating the competitive harm arising from the concentration operation in question, the Authority - in line with community practice - considers it necessary to provide for the appointment of a third-party independent expert (monitoring trustee), tasked with monitoring the actual implementation of the measures proposed by the Parties and producing periodic reports in this regard.</w:t>
      </w:r>
    </w:p>
    <w:p>
      <w:r>
        <w:t>IX. CONCLUSIONS</w:t>
      </w:r>
    </w:p>
    <w:p>
      <w:r>
        <w:t>129. In conclusion, the investigation in question has established that the concentration under examination has resulted in the creation or strengthening of the dominant position of the Party in the following 33 local markets for the retail sale of food and non-food consumer goods:</w:t>
        <w:br/>
        <w:t>- SE_5, PUNTO SMA Via C. Battisti, 125 Cesena FC;</w:t>
        <w:br/>
        <w:t>- SE_6, PUNTO SIMPLY Via Petrarca Porto San Giorgio FM;</w:t>
        <w:br/>
        <w:t>- SE_7, PUNTO SIMPLY Via C. Colombo, 15 Monte Urano FM;</w:t>
        <w:br/>
        <w:t>- SE_8, PUNTO SIMPLY Via Spalato, 63/65/67 Macerata MC;</w:t>
        <w:br/>
        <w:t>- SU_1, SIMPLY, Via Balzella 2 Forlì FC;</w:t>
        <w:br/>
        <w:t>- SU_7, SIMPLY P.zza della Repubblica Cattolica RN;</w:t>
        <w:br/>
        <w:t>- SU_8, IPERSIMPLY Via ss 16 bis/ via Montari Spoltore PE;</w:t>
      </w:r>
    </w:p>
    <w:p>
      <w:r>
        <w:t>232 BULLETIN NO. 10 OF MARCH 9, 2020</w:t>
      </w:r>
    </w:p>
    <w:p>
      <w:r>
        <w:t>- SU_9, SIMPLY Viale Pindaro 14 Pescara PE;</w:t>
        <w:br/>
        <w:t>- SU_11, SIMPLY Piazza Mercato 13 Fornovo di Taro PR;</w:t>
        <w:br/>
        <w:t>- SU_18, SIMPLY Ostia, via delle Gondole 19 Roma RM;</w:t>
        <w:br/>
        <w:t>- SU_27, SIMPLY Ostia, via Casana 200 Roma RM;</w:t>
        <w:br/>
        <w:t>- SU_29, SIMPLY Via di Saponara 220 Roma RM;</w:t>
        <w:br/>
        <w:t>- SU_30, SIMPLY Piazza Minucciano 20 Roma RM;</w:t>
        <w:br/>
        <w:t>- SU_31, SIMPLY Via Pagliarini 26 Romano di Lombardia BG;</w:t>
        <w:br/>
        <w:t>- SU_33, SIMPLY Ostia, Via Isola di Capo Verde / Via Velieri Roma RM;</w:t>
        <w:br/>
        <w:t>- SU_37, SIMPLY Via Ticino 9 Motta Visconti MI;</w:t>
        <w:br/>
        <w:t>- SU_44, PUNTO SIMPLY Via Della Robbia Pesaro PU;</w:t>
        <w:br/>
        <w:t>- SU_45, SIMPLY Via Ponchielli 94 Pesaro PU;</w:t>
        <w:br/>
        <w:t>- SU_52, SIMPLY Via Marsala 7/A Porto San Giorgio FM;</w:t>
        <w:br/>
        <w:t>- SU_54, SIMPLY Zona Ind. Flaminia Fossato di Vico PG;</w:t>
        <w:br/>
        <w:t>- SU_55, IPER SIMPLY Via Tiburtina Valeria 91 Pescara PE;</w:t>
        <w:br/>
        <w:t>- SU_62, SIMPLY CITY Via Piolanti Forlì FC;</w:t>
        <w:br/>
        <w:t>- SU_63, PUNTO SIMPLY Via San Francesco, 39 Fano PU;</w:t>
        <w:br/>
        <w:t>- I_3, AUCHAN Via San Simone 60 Cagliari CA;</w:t>
        <w:br/>
        <w:t>- I_5, AUCHAN Via Boscofangone Nola NA;</w:t>
        <w:br/>
        <w:t>- I_6, AUCHAN Via Tiburtina Valeria 386 Pescara PE;</w:t>
        <w:br/>
        <w:t>- I_7, AUCHAN Ss Castellammare di Stabia 145-3 - Loc. Pontenuovo Pompei NA;</w:t>
        <w:br/>
        <w:t>- I_12, AUCHAN Ss 602 km 5.300 Cepagatti PE;</w:t>
        <w:br/>
        <w:t>- I_13, AUCHAN Via Circumvallazione Esterne ang. Via S.M. a Cubito Giugliano in Campania NA;</w:t>
        <w:br/>
        <w:t>- I_14, AUCHAN Via Portuense 2000 Fiumicino RM;</w:t>
        <w:br/>
        <w:t>- I_20, IPERSIMPLY Via A. Moro 3 Codogno LO;</w:t>
        <w:br/>
        <w:t>- I_23, AUCHAN Via Dolianova 35 Cagliari CA;</w:t>
        <w:br/>
        <w:t>- I_25, AUCHAN Contrada Ciachea Carini PA.</w:t>
      </w:r>
    </w:p>
    <w:p>
      <w:r>
        <w:t>130. Based on the preceding considerations, it is believed that the concentration operation in question is susceptible to authorization only in the presence of measures, in the 33 identified local markets, suitable to sterilize its anti-competitive effects and to effectively safeguard the operation of competitive comparison pursuant to Article 6, paragraph 2, of Law No. 10 of October 10, 1990, No. 287.</w:t>
      </w:r>
    </w:p>
    <w:p>
      <w:r>
        <w:t>CONSIDERING therefore, based on the elements emerged in the investigation, that the operation in question is likely to determine, pursuant to Article 6, paragraphs 1 and 2 of Law No. 287/90, the creation and strengthening of a dominant position in the relevant markets identified above such as to eliminate or substantially and durably reduce competition;</w:t>
      </w:r>
    </w:p>
    <w:p>
      <w:r>
        <w:t>CONSIDERING it necessary to prescribe to the companies BDC Italia S.p.A., CONAD Consorzio Nazionale Dettaglianti Soc. Coop., Pac2000A Soc. Coop., Conad Nord Ovest Soc. Coop., Commercianti Indipendenti Associati Soc. Coop., Conad Centro Nord Soc. Coop., Conad Adriatico Soc. Coop., Conad Sicilia Soc. Coop., pursuant to Article 6, paragraph 2, of Law No. 287/90, measures necessary to prevent the realization of the distorting effects of competition caused by the implementation of the concentration in question;</w:t>
      </w:r>
    </w:p>
    <w:p>
      <w:r>
        <w:t>BULLETIN NO. 10 OF MARCH 9, 2020 233</w:t>
      </w:r>
    </w:p>
    <w:p>
      <w:r>
        <w:t>CONSIDERING, therefore, that the communicated concentration operation is authorized subject to the full and effective execution of all the measures prescribed in this provision;</w:t>
      </w:r>
    </w:p>
    <w:p>
      <w:r>
        <w:t>CONSIDERING that any failure to implement the aforementioned measures results in the realization of a concentration operation in violation of the prohibition set forth in Article 6, paragraph 1, of Law No. 287/90;</w:t>
      </w:r>
    </w:p>
    <w:p>
      <w:r>
        <w:t>CONSIDERING, furthermore, that the non-competition agreement between the Parties is accessory to this operation only to the limits described above and that the Authority reserves the right to evaluate, where the prerequisites exist, the aforementioned agreement that occurs beyond the time and geographical areas indicated therein;</w:t>
      </w:r>
    </w:p>
    <w:p>
      <w:r>
        <w:t>RESOLVES</w:t>
      </w:r>
    </w:p>
    <w:p>
      <w:r>
        <w:t>to authorize the communicated concentration operation, provided that BDC Italia S.p.A., CONAD Consorzio Nazionale Dettaglianti Soc. Coop., Pac2000A Soc. Coop., Conad Nord Ovest Soc. Coop., Commercianti Indipendenti Associati Soc. Coop., Conad Centro Nord Soc. Coop., Conad Adriatico Soc. Coop., Conad Sicilia Soc. Coop. fully and effectively execute the following measures prescribed pursuant to Article 6, paragraph 2, of Law No. 287/90:</w:t>
      </w:r>
    </w:p>
    <w:p>
      <w:r>
        <w:t>a) divestiture, within [OMISSIS], through the sale to a third-party independent entity, active in the retail distribution of food and non-food products, of the following 14 points of sale: [OMISSIS];</w:t>
      </w:r>
    </w:p>
    <w:p>
      <w:r>
        <w:t>b) divestiture, within [OMISSIS], through the sale to a third-party independent entity, active in the retail distribution of food and non-food products, of the following 15 points of sale: [OMISSIS];</w:t>
      </w:r>
    </w:p>
    <w:p>
      <w:r>
        <w:t>c) the purchasers of the points of sale must meet the following requirements:</w:t>
        <w:br/>
        <w:t>i. be independent entities, also commercially, from the Parties and from companies connected to them, as well as from individuals at the top of the control chain of the Parties;</w:t>
        <w:br/>
        <w:t>ii. possess the financial means, as well as the incentive and capacity to maintain and develop, on an efficient scale, the retail sale of food and non-food products;</w:t>
        <w:br/>
        <w:t>iii. preferably be primary operators in the sector active at the national level and, in any case, already active in the retail sale of food and non-food products;</w:t>
        <w:br/>
        <w:t>iv. the acquisition of the divested activity by a proposed purchaser must not create new problems for competition, nor entail the risk that the implementation of the measures will be postponed;</w:t>
      </w:r>
    </w:p>
    <w:p>
      <w:r>
        <w:t>d) the agreements related to the transfer of the points of sale referred to in measures a) and b) must be submitted to the Authority for approval of the identity of the transferee and the agreements themselves at least one month before the respective deadlines referred to above;</w:t>
      </w:r>
    </w:p>
    <w:p>
      <w:r>
        <w:t>e) if the purchasers of the points of sale to be divested referred to in points a) and b) have not been identified by the deadlines provided therein, the Parties must, within [OMISSIS] from the expiration of the deadlines referred to in letters a) and b), divest the points of sale in question by identifying the purchasers [OMISSIS], granting for this purpose an irrevocable mandate to a designated trustee (divestiture trustee) previously approved by the Authority or to the monitoring trustee referred to in letter h);</w:t>
      </w:r>
    </w:p>
    <w:p>
      <w:r>
        <w:rPr>
          <w:b/>
        </w:rPr>
        <w:t>[Pages 232–234]</w:t>
      </w:r>
    </w:p>
    <w:p>
      <w:r>
        <w:t>234 BULLETIN NO. 10 OF MARCH 9, 2020</w:t>
      </w:r>
    </w:p>
    <w:p>
      <w:r>
        <w:t>f) The Parties (or the independent entity appointed for the divestiture) must provide all necessary information regarding the points of sale to be divested, to allow potential buyers to assess their value and presumed commercial capacity;</w:t>
      </w:r>
    </w:p>
    <w:p>
      <w:r>
        <w:t>g) The Parties must preserve the economic operation, marketability, and competitiveness of the points of sale subject to the measures, in accordance with good commercial practice, during the period between the date of authorization of the Operation and the full validity and effectiveness of their divestiture;</w:t>
      </w:r>
    </w:p>
    <w:p>
      <w:r>
        <w:t>h) The Parties must, within [OMISSIS] from the notification of this provision, submit to the Authority the name and curriculum vitae of the trustee (monitoring trustee) proposed for monitoring compliance with the aforementioned measures. The Parties must appoint the trustee within [OMISSIS] from its approval by the Authority;</w:t>
      </w:r>
    </w:p>
    <w:p>
      <w:r>
        <w:t>i) The Parties must send to the Authority, within [OMISSIS] from the notification of this provision, an initial report regarding the execution of these measures. This report must contain, among other things, a detailed description of the points of sale referred to in points a) and b), specifying all elements that are part of the business branches subject to transfer. The Parties must send a final report acknowledging the transfer of the points of sale, by [OMISSIS], and promptly inform the Authority of any event that may affect measures a) and b);</w:t>
      </w:r>
    </w:p>
    <w:p>
      <w:r>
        <w:t>j) The monitoring trustee must perform the following tasks:</w:t>
        <w:br/>
        <w:t>i. Before the divestitures, monitor that the economic operation, marketability, and competitiveness of the points of sale subject to the measures are adequately preserved by the Parties;</w:t>
        <w:br/>
        <w:t>ii. Verify the progress of the divestiture process and the provision to potential buyers of all relevant information regarding the points of sale subject to divestiture;</w:t>
        <w:br/>
        <w:t>iii. Transmit to the Authority a non-binding opinion on the technical and financial suitability as well as the independence of the potential buyers of the points of sale;</w:t>
        <w:br/>
        <w:t>iv. Transmit to the Authority a report every three months from the date of its appointment, with the results of the checks carried out;</w:t>
      </w:r>
    </w:p>
    <w:p>
      <w:r>
        <w:t>k) The trustees mentioned above will act on behalf of the Authority to ensure compliance with the measures established by this provision and must not present conflicts of interest that could compromise objectivity and independence in carrying out their tasks. To this end, during their mandate and for the following year, the aforementioned trustees may not have or accept any assignment from the Parties.</w:t>
      </w:r>
    </w:p>
    <w:p>
      <w:r>
        <w:t>The above measures will come into effect upon notification of the authorization provision for this operation. This provision will be notified to the interested parties and published in the Bulletin of the Competition and Market Authority.</w:t>
      </w:r>
    </w:p>
    <w:p>
      <w: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p. THE PRESIDENT</w:t>
        <w:br/>
        <w:t>Filippo Arena the Senior Member</w:t>
        <w:br/>
        <w:t>Gabriella Muscolo</w:t>
      </w:r>
    </w:p>
    <w:p>
      <w:r>
        <w:t>_________________________________________________________________________</w:t>
      </w:r>
    </w:p>
    <w:p>
      <w:r>
        <w:t>Methodological Appendix - Analysis of Effects</w:t>
      </w:r>
    </w:p>
    <w:p>
      <w:r>
        <w:t>1. The objective of the analysis is to evaluate the competitive impact of the operation in the relevant local markets, taking into account certain factors that may influence the degree of competitive pressure exerted by each point of sale in the local area (so-called Catchment Areas, "CA").</w:t>
      </w:r>
    </w:p>
    <w:p>
      <w:r>
        <w:t>2. In this perspective, the degree of substitutability of each point of sale within each CA with respect to the points of sale on which they are centered (centroids) has been considered. This substitutability relationship with the centroid, which tends to approximate the competitive pressure exerted on it by a point of sale located in the same CA, is functional for constructing the so-called diversion ratios, indicators aimed at measuring the degree of competitive proximity between the Parties. The diversion ratios between the Parties indicate how much of the total sales volumes lost by the points of sale of one Party (following a deterioration of its offer in terms of price, quality, assortment, services offered) shift to the points of sale belonging to the distribution chain of the other Party. In this context, the higher the diversion ratios between the companies subject to the concentration, the higher the sales that the concentration will allow to internalize, making price increases profitable.</w:t>
      </w:r>
    </w:p>
    <w:p>
      <w:r>
        <w:t>3. Not having the possibility to directly estimate the diversion ratios, they have been constructed by assigning to each point of sale a competitive pressure index (IPC in the formulas that follow), which is in turn defined based on its degree of substitutability with respect to the centroids (points of sale of the Auchan group subject to acquisition) of the local markets to which they belong. This substitutability has been estimated based on the following three factors, under the reasonable assumption that they are relevant in the consumer's choice:</w:t>
        <w:br/>
        <w:t>- Distance of a point of sale from the centroid: a point of sale closer to the centroid exerts, all else being equal, a greater degree of competitive pressure than one further away;</w:t>
        <w:br/>
        <w:t>- Type/size of the point of sale: a point of sale of different dimensions from those of the centroid exerts, all else being equal, a lower degree of competitive pressure compared to points of sale of equal size. For example, if the centroid were a hypermarket, smaller supermarkets might exert less competitive pressure on the centroid than other hypermarkets;</w:t>
        <w:br/>
        <w:t>- Brand: a point of sale with a brand considered very substitutable with that of the centroid exerts, all else being equal, a higher degree of competitive pressure than a less substitutable brand.</w:t>
      </w:r>
    </w:p>
    <w:p>
      <w:r>
        <w:t>4. This competitive pressure index also takes into account the different weight that the factors "type/size," "brand," and "distance" assume in the eyes of the consumer when choosing the point of sale where to shop.</w:t>
      </w:r>
    </w:p>
    <w:p>
      <w:r>
        <w:t>5. Once the competitive pressure index of the individual points of sale has been calculated, the overall competitive pressure index of the buyer's points of sale, that is, the competitive constraint on the points of sale subject to acquisition belonging to the Auchan group that is removed with the operation in question, has been measured, being "internalized" through the same:</w:t>
      </w:r>
    </w:p>
    <w:p>
      <w:r>
        <w:t>(1)</w:t>
      </w:r>
    </w:p>
    <w:p>
      <w:r>
        <w:t>where:</w:t>
        <w:br/>
        <w:t>indicates the points of sale that belong to the Buyer</w:t>
        <w:br/>
        <w:t>, are the values assumed by the type/size, brand, and distance factors of each point of sale.</w:t>
        <w:br/>
        <w:t>, are the weights, respectively, of the aforementioned factors, in order to take into account the different relevance that these factors assume in the choice of consumers.</w:t>
      </w:r>
    </w:p>
    <w:p>
      <w:r>
        <w:t>6. The overall competitive pressure exerted by the buyer's points of sale, specifically Conad, on the centroid has then been expressed in relative terms, that is, it has been related to the level of competitive pressure exerted on the centroid by all competing points of sale present in the CA:</w:t>
      </w:r>
    </w:p>
    <w:p>
      <w:r>
        <w:t>(2)</w:t>
      </w:r>
    </w:p>
    <w:p>
      <w:r>
        <w:t>where:</w:t>
        <w:br/>
        <w:t>indicates the competing points of sale of the centroid not belonging to the same distribution chain as the latter.</w:t>
      </w:r>
    </w:p>
    <w:p>
      <w:r>
        <w:t>7. The ratio between and , which thus measures the competitive weight of the buyer, with respect to other competitors, on the points of sale subject to acquisition, constitutes an estimate of the diversion ratio from the latter (the centroids of the local markets) to the other points of sale of the Parties:</w:t>
      </w:r>
    </w:p>
    <w:p>
      <w:r>
        <w:t>In other words, in the case of a CA where the target has other points of sale in addition to the centroid, the possibility that these latter capture a portion of the sales lost by the centroid is not considered (it is as if the other points of sale of the target also increased the price like the centroid).</w:t>
      </w:r>
    </w:p>
    <w:p>
      <w:r>
        <w:rPr>
          <w:b/>
        </w:rPr>
        <w:t>[Pages 235–237]</w:t>
      </w:r>
    </w:p>
    <w:p>
      <w:r>
        <w:t>BULLETIN NO. 10 OF MARCH 9, 2020 237</w:t>
      </w:r>
    </w:p>
    <w:p>
      <w:r>
        <w:t>83 (3)</w:t>
        <w:br/>
        <w:t>8. The DRs thus obtained were then "corrected" to take into account the possibility that, in the face of a price increase at the points of sale subject to acquisition, consumers may choose to shop through other sales channels that are not included in the product market (so-called "outside option," "OO"), with the aim of also considering the competitive pressure they exert on the target points of sale. In particular, for all product markets, the outside options are represented by specialized stores, the local market, and the online channel, to which in the case of the hypermarket market is added the format of convenience stores (points of sale of the traditional channel that do not belong to this product market) and, conversely, in the case of the convenience store market, the hypermarket format.</w:t>
      </w:r>
    </w:p>
    <w:p>
      <w:r>
        <w:t>9. This effectively amounts to applying a correction factor (1- OO) to the DRs (see formula (4) below) in order to take into account how competitive pressure in the CA is not attributable solely to that exerted by the points of sale located therein, which are assigned a weight to measure their substitutability with respect to the centroid, but also to the alternative options present outside the market:</w:t>
      </w:r>
    </w:p>
    <w:p>
      <w:r>
        <w:t>10. Based on the DRs thus estimated, an indication of the incentive to raise prices at the target points of sale can be obtained, based on the GUPPI indicator ("Gross Upward Pricing Pressure Indicator"):</w:t>
      </w:r>
    </w:p>
    <w:p>
      <w:r>
        <w:t>Where: is the percentage margin (calculated with respect to variable costs) of the acquirer, which in this case is Conad; is the ratio of the average prices applied by the acquirer (Conad) to those of the target (Auchan).</w:t>
      </w:r>
    </w:p>
    <w:p>
      <w:r>
        <w:t>Estimation of choice factors</w:t>
      </w:r>
    </w:p>
    <w:p>
      <w:r>
        <w:t>11. The survey allowed for the collection, inter alia, of some useful information to quantify the different degree of substitutability of the points of sale with respect to their centroids.</w:t>
      </w:r>
    </w:p>
    <w:p>
      <w:r>
        <w:t>12. The estimation of the "type/size" factor is the result of processing the responses to questions 4 and 5 of the questionnaire. In fact, the first question aimed to ascertain which type/size of point of sale the consumer would go to if all points of sale were located at the same distance (identification of the "first choice"), while the second aims to understand where the same consumer would go alternatively if the type/size of point of sale subject to the habitual choice (based on the response to question 4) were not available (identification of the "second choices").</w:t>
      </w:r>
    </w:p>
    <w:p>
      <w:r>
        <w:t>13. Based on the responses obtained to question 5, the value of the "type/size" factor was quantified: i) assigning the possible responses – "Very likely," "Fairly likely," "Unlikely," "Not at all likely" – weights of 1, 0.66, 0.33, and 0 respectively; ii) calculating a weighted average for the weight of each of these options, taking into account that the survey results assign a different weight to each respondent in relation to their statistical representativeness with respect to the entire population subject to survey (so-called "expansion factor"). Through the survey, the level of substitutability with respect to the centroid of competing points of sale that are of a different type/size from that of the latter was thus estimated, obtaining an indicator whose value is between 0 and 1. Conversely, competing points of sale of the same type/size as the centroid were assigned a weight of 1.</w:t>
      </w:r>
    </w:p>
    <w:p>
      <w:r>
        <w:t>Table A1. Values of the type/size choice factor</w:t>
      </w:r>
    </w:p>
    <w:p>
      <w:r>
        <w:t>Target PV (centroids) &gt; Competing PV Values</w:t>
        <w:br/>
        <w:t>Supermarket &gt; Supermarket 1</w:t>
        <w:br/>
        <w:t>Supermarket &gt; Hypermarket 0.68</w:t>
        <w:br/>
        <w:t>Supermarket &gt; Convenience Store 0.56</w:t>
        <w:br/>
        <w:t>Supermarket &gt; Discount 0.52</w:t>
        <w:br/>
        <w:t>Hypermarket &gt; Hypermarket 1</w:t>
        <w:br/>
        <w:t>Hypermarket &gt; Supermarket 0.91</w:t>
        <w:br/>
        <w:t>Hypermarket &gt; Discount 0.54</w:t>
      </w:r>
    </w:p>
    <w:p>
      <w:r>
        <w:t>14. Regarding the quantification of the "brand" factor, the responses to questions 13 and 14 were considered, where the first asks the survey respondent about the brand of the point of sale where they usually shop, and the second asks them to express a judgment on the degree of substitutability of other brands (compared to the one where they usually shop). The value of the factor in question was therefore calculated: i) assigning the possible responses – "Very substitutable," "Fairly substitutable," "Little substitutable," "Not at all substitutable" – values of 1, 0.66, 0.33, and 0 respectively; ii) calculating a weighted average for the weight of the aforementioned options, taking into account the expansion factor assigned to each respondent.</w:t>
      </w:r>
    </w:p>
    <w:p>
      <w:r>
        <w:t>15. It was possible to derive the substitutability factor (with respect to the brands of the centroids of the Auchan group) directly from the survey only for the main brands present in the market, while for the remaining ones, their degree of substitutability with respect to the brands of the centroids of the Auchan group - i.e. "Auchan," "Simply," "Sma," and "Pozzoli" - was estimated. In other words, for points of sale different from the centroid, whose brands were not present in the survey, a substitutability factor was estimated by assigning: i) the average of the substitutability factor of the brands present in the survey and belonging to the same corporate group; ii) the overall average of the substitutability factor of the brands present in the survey, where through the latter it was not possible to derive an average value at the group level. Given that a certain heterogeneity emerged at the geographical level in the substitutability ratio between the brands of alternative points of sale to the centroid and the brand of the latter, a distinct value was considered for each macro-area.</w:t>
      </w:r>
    </w:p>
    <w:p>
      <w:r>
        <w:rPr>
          <w:b/>
        </w:rPr>
        <w:t>[Pages 238–240]</w:t>
      </w:r>
    </w:p>
    <w:p>
      <w:r>
        <w:t>240 BULLETIN NO. 10 OF MARCH 9, 2020</w:t>
      </w:r>
    </w:p>
    <w:p>
      <w:r>
        <w:t>Table A2. Values of the store choice factor (stores present in the survey)</w:t>
        <w:br/>
        <w:t>Auchan Simply SMA/Pozzoli</w:t>
        <w:br/>
        <w:t>Area Area Area Area Area Area Area Area Area Area Area Area</w:t>
        <w:br/>
        <w:t>1 2 3 4 1 2 3 4 1 2 3 4</w:t>
        <w:br/>
        <w:t>Auchan 1 1 1 1 0.54 0.54 0.46 0.57 0.59 0.51 0.48 0.48</w:t>
        <w:br/>
        <w:t>Carrefour 0.64 0.48 0.50 0.40 0.50 0.49 0.50 0.47 0.57 0.48 0.50 0.43</w:t>
        <w:br/>
        <w:t>Conad 0.56 0.42 0.57 0.59 0.55 0.51 0.56 0.54 0.55 0.47 0.57 0.57</w:t>
        <w:br/>
        <w:t>Coop/Ipercoop 0.57 0.44 0.41 0.69 0.63 0.59 0.55 0.62 0.60 0.52 0.48 0.65</w:t>
        <w:br/>
        <w:t>CRAI 0.36 0.31 0.33 0.36 0.26 0.43 0.49 0.56 0.31 0.37 0.41 0.46</w:t>
        <w:br/>
        <w:t>Decò 0.29 0.14 0.32 0.45 0.22 0.42 0.35 0.45 0.25 0.28 0.33 0.45</w:t>
        <w:br/>
        <w:t>Despar/Eurospar/ Interspar 0.35 0.45 0.35 0.37 0.23 0.50 0.41 0.55 0.29 0.47 0.38 0.46</w:t>
        <w:br/>
        <w:t>Dpiù 0.22 0.38 0.27 0.16 0.28 0.41 0.46 0.27 0.25 0.40 0.37 0.21</w:t>
        <w:br/>
        <w:t>Esselunga 0.58 0.45 0.42 0.34 0.45 0.50 0.49 0.46 0.51 0.48 0.46 0.40</w:t>
        <w:br/>
        <w:t>Eurospin 0.34 0.29 0.45 0.45 0.42 0.45 0.50 0.42 0.38 0.37 0.47 0.44</w:t>
        <w:br/>
        <w:t>Famila/Iperfamila 0.42 0.54 0.40 0.34 0.29 0.65 0.38 0.47 0.36 0.59 0.39 0.40</w:t>
        <w:br/>
        <w:t>Iper 0.46 0.48 0.40 0.36 0.22 0.54 0.46 0.45 0.34 0.51 0.43 0.41</w:t>
        <w:br/>
        <w:t>Lidl 0.43 0.45 0.53 0.46 0.56 0.36 0.49 0.51 0.49 0.40 0.51 0.49</w:t>
        <w:br/>
        <w:t>MD 0.29 0.35 0.47 0.30 0.36 0.40 0.41 0.41 0.32 0.37 0.44 0.35</w:t>
        <w:br/>
        <w:t>Pam/Panorama 0.43 0.46 0.38 0.31 0.31 0.55 0.44 0.41 0.37 0.50 0.41 0.36</w:t>
        <w:br/>
        <w:t>Penny 0.33 0.17 0.39 0.36 0.39 0.48 0.43 0.36 0.36 0.32 0.41 0.36</w:t>
        <w:br/>
        <w:t>Sidis/Ipersidis/ Maxisidis 0.25 0.21 0.40 0.42 0.20 0.45 0.41 0.43 0.23 0.33 0.40 0.42</w:t>
        <w:br/>
        <w:t>Sigma 0.23 0.13 0.26 0.33 0.18 0.37 0.40 0.44 0.21 0.25 0.33 0.38</w:t>
        <w:br/>
        <w:t>Simply/Ipersimply 0.46 0.49 0.48 0.59 1 1 1 1 0.73 0.74 0.74 0.79</w:t>
        <w:br/>
        <w:t>Tuodì 0.29 0.10 0.37 0.24 0.21 0.27 0.53 0.38 0.25 0.19 0.45 0.31</w:t>
        <w:br/>
        <w:t>AVERAGE 0.39 0.35 0.40 0.39 0.36 0.47 0.46 0.46 0.40 0.43 0.45 0.44</w:t>
      </w:r>
    </w:p>
    <w:p>
      <w:r>
        <w:t>BULLETIN NO. 10 OF MARCH 9, 2020 241</w:t>
      </w:r>
    </w:p>
    <w:p>
      <w:r>
        <w:t>Table A3. Values of the store choice factor at the group level (stores not present in the survey)</w:t>
        <w:br/>
        <w:t>Auchan Simply SMA/Pozzoli</w:t>
        <w:br/>
        <w:t>Area Area Area Area Area Area Area Area Area Area Area Area</w:t>
        <w:br/>
        <w:t>Groups</w:t>
        <w:br/>
        <w:t>1 2 3 4 1 2 3 4 1 2 3 4</w:t>
        <w:br/>
        <w:t>Aspiag 0.35 0.45 0.35 0.37 0.23 0.50 0.41 0.55 0.29 0.47 0.38 0.46</w:t>
        <w:br/>
        <w:t>Independent Chains 0.42 0.54 0.40 0.34 0.29 0.65 0.38 0.47 0.36 0.59 0.39 0.40</w:t>
        <w:br/>
        <w:t>Conad (other brands) 0.56 0.42 0.57 0.59 0.55 0.51 0.56 0.54 0.55 0.47 0.57 0.57</w:t>
        <w:br/>
        <w:t>Coop Italia (other brands) 0.57 0.44 0.41 0.69 0.63 0.59 0.55 0.62 0.60 0.52 0.48 0.65</w:t>
        <w:br/>
        <w:t>CRAI (other brands) 0.36 0.31 0.33 0.36 0.26 0.43 0.49 0.56 0.31 0.37 0.41 0.46</w:t>
        <w:br/>
        <w:t>D.It. 0.23 0.13 0.26 0.33 0.18 0.37 0.40 0.44 0.21 0.25 0.33 0.38</w:t>
        <w:br/>
        <w:t>Finiper 0.46 0.48 0.40 0.36 0.22 0.54 0.46 0.45 0.34 0.51 0.43 0.41</w:t>
        <w:br/>
        <w:t>Gruppo Auchan 0.73 0.74 0.74 0.79 0.77 0.77 0.73 0.78 0.50 0.52 0.47 0.58</w:t>
        <w:br/>
        <w:t>Gruppo Carrefour 0.64 0.48 0.50 0.40 0.50 0.49 0.50 0.47 0.57 0.48 0.50 0.43</w:t>
        <w:br/>
        <w:t>Gruppo Pam 0.43 0.46 0.38 0.31 0.31 0.55 0.44 0.41 0.37 0.50 0.41 0.36</w:t>
        <w:br/>
        <w:t>Gruppo Tuo 0.29 0.10 0.37 0.24 0.21 0.27 0.53 0.38 0.25 0.19 0.45 0.31</w:t>
        <w:br/>
        <w:t>Gruppo Végé 0.27 0.18 0.36 0.43 0.21 0.44 0.38 0.44 0.24 0.31 0.37 0.44</w:t>
        <w:br/>
        <w:t>Rewe 0.33 0.17 0.39 0.36 0.39 0.48 0.43 0.36 0.36 0.32 0.41 0.36</w:t>
        <w:br/>
        <w:t>Selex Commerciale 0.22 0.38 0.27 0.16 0.28 0.41 0.46 0.27 0.25 0.40 0.37 0.21</w:t>
      </w:r>
    </w:p>
    <w:p>
      <w:r>
        <w:t>16. The "distance" factor related to each point of sale from the centroid was identified in such a way that the competitive constraint of the points of sale decreases as the distance from the centroid increases92:</w:t>
        <w:br/>
        <w:t>H(cid:1)I(cid:16)(cid:17)"(cid:10)(cid:17) H(cid:17)J (cid:4)(cid:20)"(cid:16)(cid:18)A(cid:1)H(cid:20)</w:t>
        <w:br/>
        <w:t>(cid:10)(cid:1) =G1− K</w:t>
        <w:br/>
        <w:t>H(cid:1)I(cid:16)(cid:17)"(cid:10)(cid:17) 1(cid:17)II(cid:1)1(cid:17)</w:t>
      </w:r>
    </w:p>
    <w:p>
      <w:r>
        <w:t>17. The results of the survey finally allowed for the attribution of weights to the aforementioned choice factors, β</w:t>
        <w:br/>
        <w:t>(cid:12)</w:t>
        <w:br/>
        <w:t>and to be assigned to the choice factors "type of point of sale," "brand," and "distance," which as already mentioned capture their relevance in the eyes of the consumer. From the responses to question 893 it emerged that the most important factor is distance (Proximity to home/work), since this choice factor received an average score of 4.12 – on a scale of values ranging from 1 (minimum value) to 5 (maximum value) – while the "type/size" (type of point of sale) achieved an average score of 3.68; the "brand" factor has a slightly lower value, equal to 3.49.</w:t>
      </w:r>
    </w:p>
    <w:p>
      <w:r>
        <w:t>Table A4. Values of the weights of the choice factors type/size, distance, and brand</w:t>
        <w:br/>
        <w:t>Weights of the choice factors Values</w:t>
        <w:br/>
        <w:t>3.68</w:t>
        <w:br/>
        <w:t>(cid:12)</w:t>
        <w:br/>
        <w:t>β 3.49</w:t>
        <w:br/>
        <w:t>4.12</w:t>
        <w:br/>
        <w:t>(cid:14)</w:t>
      </w:r>
    </w:p>
    <w:p>
      <w:r>
        <w:t>Estimation of the outside option</w:t>
      </w:r>
    </w:p>
    <w:p>
      <w:r>
        <w:t>18. In order to estimate the weight of alternative options to those present in the product market, and thus to correct the DRs accordingly, the responses to the survey provided by consumers to questions 4 and 594 were used. From a methodological point of view, the weight of the outside options was calculated as the frequency with which consumers – who, based on the responses to question 4, would shop at hypermarkets, supermarkets, and convenience stores – would likely turn to at least one of the alternative channels (responses to question 5), given that they would likely not move towards any of the options present in the market.</w:t>
      </w:r>
    </w:p>
    <w:p>
      <w:r>
        <w:t>19. Since a certain differentiation of the weight of the outside option emerged at the geographical level, a national average was not considered, but a distinct value was applied for each macroregion. In general, from the results reported in the following table, it emerges that the weight of the outside options is higher for the convenience store market, particularly in the Central and Southern regions.</w:t>
        <w:br/>
        <w:t>(es. Auchan, Carrefour, Conad, Coop, Eurospin, Lidl, etc.) (8_A2), Type of point of sale (e.g. hypermarket, supermarket, discount store, specialized store, online ...) (8_A3) - a score from 1 (minimum value) to 5 (maximum value) had to be assigned.</w:t>
      </w:r>
    </w:p>
    <w:p>
      <w:r>
        <w:t>94 See above.</w:t>
      </w:r>
    </w:p>
    <w:p>
      <w:r>
        <w:rPr>
          <w:b/>
        </w:rPr>
        <w:t>[Pages 241–243]</w:t>
      </w:r>
    </w:p>
    <w:p>
      <w:r>
        <w:t>BULLETIN NO. 10 OF MARCH 9, 2020 243</w:t>
      </w:r>
    </w:p>
    <w:p>
      <w:r>
        <w:t>Table A5. Values of outside options of the markets</w:t>
        <w:br/>
        <w:t>Product Market Outside option Values</w:t>
        <w:br/>
        <w:t>North-West 4.1%</w:t>
        <w:br/>
        <w:t>North-East 3.1%</w:t>
        <w:br/>
        <w:t>Market of Specialized Stores, regional hypermarkets market, online channel, supermarkets</w:t>
        <w:br/>
        <w:t>Center 5.3%</w:t>
        <w:br/>
        <w:t>South 6.5%</w:t>
        <w:br/>
        <w:t>North-West 9.4%</w:t>
        <w:br/>
        <w:t>North-East 5.0%</w:t>
        <w:br/>
        <w:t>Market of Specialized Stores, regional supermarkets market, online channel</w:t>
        <w:br/>
        <w:t>Center 7.4%</w:t>
        <w:br/>
        <w:t>South 10.1%</w:t>
        <w:br/>
        <w:t>North-West 13.3%</w:t>
        <w:br/>
        <w:t>North-East 5.5%</w:t>
        <w:br/>
        <w:t>Specialized Stores, market</w:t>
        <w:br/>
        <w:t>Market of supermarkets</w:t>
        <w:br/>
        <w:t>regional, online channel, hypermarkets</w:t>
        <w:br/>
        <w:t>Center 19.9%</w:t>
        <w:br/>
        <w:t>South 17.1%</w:t>
      </w:r>
    </w:p>
    <w:p>
      <w:r>
        <w:t>244 BULLETIN NO. 10 OF MARCH 9, 2020</w:t>
      </w:r>
    </w:p>
    <w:p>
      <w:r>
        <w:t>VARIOUS</w:t>
        <w:br/>
        <w:t>MODIFICATION OF SERVICE CAR ALLOCATION</w:t>
        <w:br/>
        <w:t>Provision No. 28161</w:t>
        <w:br/>
        <w:t>THE ANTITRUST AUTHORITY</w:t>
        <w:br/>
        <w:t>IN ITS MEETING of March 3, 2020;</w:t>
        <w:br/>
        <w:t>HAVING REGARD to Law No. 287 of October 10, 1990, in particular Article 10, paragraph 6, which grants the Antitrust Authority the power to deliberate the rules aimed at regulating the management of expenses;</w:t>
        <w:br/>
        <w:t>HAVING REGARD to the Regulation concerning the accounting autonomy of the Antitrust Authority of October 28, 2015, published in the special edition of the Bulletin, supplement to No. 40 of November 9, 2015, and which came into force the day after its publication;</w:t>
        <w:br/>
        <w:t>HAVING REGARD to Article 15 of Decree-Law No. 66 of April 24, 2014, converted, with amendments, by Law No. 89 of June 23, 2014 (hereinafter "d.l. 66/2014");</w:t>
        <w:br/>
        <w:t>HAVING REGARD to the Decree of the President of the Council of Ministers of September 25, 2014, implementing Article 15, paragraph 2, of d.l. 66/2014, concerning "Determination of the maximum number and the methods of use of service cars with drivers assigned to the transport of persons" (hereinafter D.P.C.M. September 25, 2014);</w:t>
        <w:br/>
        <w:t>NOTING that the regulation introduced by D.P.C.M. September 25, 2014, which sets the maximum number of service cars in non-exclusive use in relation to the number of employees, does not concern independent Authorities, being provided only for the central administrations of the State (Article 2 of the aforementioned D.P.C.M. September 25, 2014);</w:t>
        <w:br/>
        <w:t>CONSIDERING it necessary to fully implement the regulation concerning the methods of use of service cars, contained in Article 3 of D.P.C.M. September 25, 2014;</w:t>
        <w:br/>
        <w:t>HAVING REGARD to the provisions of Article 15, paragraph 1, of d.l. 66/2014, by virtue of which the expenses for the purchase, rental, and operation of cars cannot exceed, annually, 30% of the expenditure incurred in 2011;</w:t>
        <w:br/>
        <w:t>HAVING REGARD to the resolution of January 21, 2015, concerning the reduction of the number of cars in service at the Authority;</w:t>
        <w:br/>
        <w:t>CONSIDERING it necessary to establish a fleet of cars suitable to meet the needs related to the performance of institutional activities and representation needs;</w:t>
        <w:br/>
        <w:t>HAVING REGARD to Article 1, paragraph 107, of Law No. 160 of December 27, 2019, "State Budget for the financial year 2020 and multi-year budget for the three-year period 2020-2022," which established that in order to promote the reduction of the environmental impact resulting from the use of polluting vehicles, public administrations, when renewing their vehicles, must proceed to purchase or lease, in a measure not less than 50%, vehicles for road transport powered by electricity, hybrid or hydrogen;</w:t>
      </w:r>
    </w:p>
    <w:p>
      <w:r>
        <w:t>BULLETIN NO. 10 OF MARCH 9, 2020 245</w:t>
      </w:r>
    </w:p>
    <w:p>
      <w:r>
        <w:t>RESOLUTION</w:t>
        <w:br/>
        <w:t>The car fleet intended to fulfill the needs related to the performance of the institutional activities and the representation needs of the Authority consists of 4 cars.</w:t>
        <w:br/>
        <w:t>The procedures for the purchase or rental of cars, as well as the methods of use thereof, are regulated in implementation and in compliance with the current legal provisions and, in particular, those set out in the preambles of this resolution.</w:t>
        <w:br/>
        <w:t>This provision, which cancels and replaces the resolution of January 21, 2015, will be published on the website of the Antitrust Authority, section Transparent Authority.</w:t>
      </w:r>
    </w:p>
    <w:p>
      <w:r>
        <w:t>THE SECRETARY GENERAL THE PRESIDENT</w:t>
        <w:br/>
        <w:t>Filippo Arena Roberto Rustichelli</w:t>
      </w:r>
    </w:p>
    <w:p>
      <w:r>
        <w:rPr>
          <w:b/>
        </w:rPr>
        <w:t>[Pages 244–244]</w:t>
      </w:r>
    </w:p>
    <w:p>
      <w:r>
        <w:t>Antitrust Authority Weekly Bulletin</w:t>
        <w:br/>
        <w:t>of Competition and the Market Year XXX - No. 10 - 2020</w:t>
        <w:br/>
        <w:t>Editorial Coordination Giulia Antenucci</w:t>
        <w:br/>
        <w:t>Editorial Staff Sandro Cini, Valerio Ruocco, Simonetta Schettini,</w:t>
        <w:br/>
        <w:t>Manuela Villani</w:t>
        <w:br/>
        <w:t>Antitrust Authority</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