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https://www.agcm.it/dotcmsDOC/bollettini/11-14.pdf</w:t>
      </w:r>
    </w:p>
    <w:p>
      <w:r>
        <w:t>Pages translated : 253</w:t>
      </w:r>
    </w:p>
    <w:p/>
    <w:p>
      <w:r>
        <w:rPr>
          <w:b/>
        </w:rPr>
        <w:t>[Pages 1–3]</w:t>
      </w:r>
    </w:p>
    <w:p>
      <w:r>
        <w:t>Bulletin</w:t>
        <w:br/>
        <w:t>Weekly</w:t>
        <w:br/>
        <w:t>Year XXIV - No. 11</w:t>
        <w:br/>
        <w:t>Published on the website www.agcm.it</w:t>
        <w:br/>
        <w:t>March 17, 2014</w:t>
      </w:r>
    </w:p>
    <w:p>
      <w:r>
        <w:t>SUMMARY</w:t>
        <w:br/>
        <w:t>AGREEMENTS AND ABUSE OF DOMINANT POSITION 5</w:t>
        <w:br/>
        <w:t>A443 - NTV/FS/OBSTACLES TO ACCESS IN THE MARKET FOR HIGH-SPEED PASSENGER RAIL TRANSPORT SERVICES</w:t>
        <w:br/>
        <w:t>Decision No. 24804 5</w:t>
        <w:br/>
        <w:t>A444 - AKRON-CELLULOSE-BASED URBAN WASTE MANAGEMENT</w:t>
        <w:br/>
        <w:t>Decision No. 24819 23</w:t>
        <w:br/>
        <w:t>I744 - RCA TENDERS FOR LOCAL PUBLIC TRANSPORT</w:t>
        <w:br/>
        <w:t>Decision No. 24822 76</w:t>
        <w:br/>
        <w:t>I760 - ROCHE-NOVARTIS/AVASTIN AND LUCENTIS MEDICINES</w:t>
        <w:br/>
        <w:t>Decision No. 24823 78</w:t>
        <w:br/>
        <w:t>I718 - ENERVIT-DISTRIBUTION CONTRACTS</w:t>
        <w:br/>
        <w:t>Decision No. 24827 155</w:t>
        <w:br/>
        <w:t>CONCENTRATION OPERATIONS 157</w:t>
        <w:br/>
        <w:t>C11940 - HERA/AMGA MULTISERVICES</w:t>
        <w:br/>
        <w:t>Decision No. 24821 157</w:t>
        <w:br/>
        <w:t>UNFAIR TRADE PRACTICES 164</w:t>
        <w:br/>
        <w:t>PS8936 - COUNTERFEIT RAYBAN GLASSES -1</w:t>
        <w:br/>
        <w:t>Decision No. 24617 164</w:t>
        <w:br/>
        <w:t>PS8943 - AUTOESCAPE-ARBITRARY CHARGES</w:t>
        <w:br/>
        <w:t>Decision No. 24645 175</w:t>
        <w:br/>
        <w:t>PS8905 - TOD'S-COUNTERFEIT WEBSITES.</w:t>
        <w:br/>
        <w:t>Decision No. 24700 183</w:t>
        <w:br/>
        <w:t>PS8976 - ROGER VIVIER-COUNTERFEIT WEBSITES</w:t>
        <w:br/>
        <w:t>Decision No. 24701 193</w:t>
        <w:br/>
        <w:t>PS8985 - ARMANI-COUNTERFEIT PRODUCTS</w:t>
        <w:br/>
        <w:t>Decision No. 24703 204</w:t>
        <w:br/>
        <w:t>PS9017 - AIRTICKETS-FLIGHT AND CCS BOOKINGS</w:t>
        <w:br/>
        <w:t>Decision No. 24787 215</w:t>
        <w:br/>
        <w:t>PS7524 - VOLO24.IT-COMMISSION PAYMENT FOR AIRLINE BOOKING</w:t>
        <w:br/>
        <w:t>Decision No. 24794 225</w:t>
        <w:br/>
        <w:t>PS9100 - CREDITECH-DEBT COLLECTION</w:t>
        <w:br/>
        <w:t>Decision No. 24815 233</w:t>
        <w:br/>
        <w:t>PS9052 - TRIPSTA-FLIGHT AND CCS BOOKINGS</w:t>
        <w:br/>
        <w:t>Decision No. 24826 245</w:t>
      </w:r>
    </w:p>
    <w:p>
      <w:r>
        <w:t>BULLETIN NO. 11 OF MARCH 17, 2014 5</w:t>
        <w:br/>
        <w:t>AGREEMENTS AND ABUSE OF DOMINANT POSITION</w:t>
        <w:br/>
        <w:t>A443 - NTV/FS/OBSTACLES TO ACCESS IN THE MARKET FOR HIGH-SPEED PASSENGER RAIL TRANSPORT SERVICES</w:t>
        <w:br/>
        <w:t>Decision No. 24804</w:t>
        <w:br/>
        <w:t>THE ANTITRUST AUTHORITY</w:t>
        <w:br/>
        <w:t>IN ITS MEETING of February 19, 2014;</w:t>
        <w:br/>
        <w:t>HEARD the Rapporteur Dr. Salvatore Rebecchini;</w:t>
        <w:br/>
        <w:t>HAVING REGARD to Law No. 287 of October 10, 1990, and in particular, Article 14-ter introduced by Law No. 248 of August 4, 2006, which amended and converted Decree-Law No. 223 of July 4, 2006;</w:t>
        <w:br/>
        <w:t>HAVING REGARD to its resolution of May 22, 2013, with which an investigation was initiated pursuant to Article 14 of Law No. 287/90, against the companies Ferrovie dello Stato S.p.A., Rete Ferroviaria Italiana S.p.A., Trenitalia S.p.A., Grandi Stazioni S.p.A., Centostazioni S.p.A. and FS Sistemi Urbani S.r.l., to ascertain the existence of a violation of Article 102 of the Treaty on the Functioning of the European Union in the markets for access to the national railway infrastructure, the management of advertising spaces within the main Italian stations, as well as in the market for high-speed passenger rail transport services;</w:t>
        <w:br/>
        <w:t>HAVING REGARD to the "Communication on the procedures for the application of Article 14-ter of Law No. 287 of October 10, 1990," adopted in the meeting of September 6, 2012, and published in Bulletin No. 35 of September 17, 2012;</w:t>
        <w:br/>
        <w:t>HAVING REGARD to the communications of September 6 and October 10, 2013 (and the accessible version of October 16, 2013), with which the companies Ferrovie dello Stato S.p.A., Rete Ferroviaria Italiana S.p.A., Trenitalia S.p.A., Grandi Stazioni S.p.A., Centostazioni S.p.A. and FS Sistemi Urbani S.r.l. submitted commitments pursuant to Article 14-ter of Law No. 287/90, according to the methods specifically indicated in the appropriate "Form for the submission of commitments pursuant to Article 14-ter of Law No. 287/90," aimed at removing the anticompetitive profiles subject to the investigation;</w:t>
        <w:br/>
        <w:t>HAVING REGARD to its resolution of October 22, 2013, with which the publication of the commitments proposed by the aforementioned companies on the Authority's website was ordered, in order to allow interested third parties to express their observations and the deadline for adopting a decision on the commitments was set for January 22, 2014, pursuant to Article 14-ter of Law No. 287/90, except for any further time necessary for the acquisition of mandatory opinions;</w:t>
        <w:br/>
        <w:t>HAVING REGARD to the observations of the parties to the proceedings and of interested third parties;</w:t>
        <w:br/>
        <w:t>HAVING REGARD to the observations and final commitments submitted by the Parties on December 23, 2013;</w:t>
        <w:br/>
        <w:t>HAVING REGARD to its communication to the European Commission, pursuant to Article 11, paragraph 4, of Regulation (EC) No. 1/2003;</w:t>
        <w:br/>
        <w:t>HAVING REGARD to the documents of the proceedings;</w:t>
      </w:r>
    </w:p>
    <w:p>
      <w:r>
        <w:rPr>
          <w:b/>
        </w:rPr>
        <w:t>[Pages 4–6]</w:t>
      </w:r>
    </w:p>
    <w:p>
      <w:r>
        <w:t>6 BULLETIN NO. 11 OF MARCH 17, 2014</w:t>
      </w:r>
    </w:p>
    <w:p>
      <w:r>
        <w:t>CONSIDERED the following:</w:t>
      </w:r>
    </w:p>
    <w:p>
      <w:r>
        <w:t>I. PREMISE</w:t>
      </w:r>
    </w:p>
    <w:p>
      <w:r>
        <w:t>1. Following a report from the railway company Nuovo Trasporto Viaggiatori S.p.A. (hereinafter NTV, or also the complainant) received on May 16, 2012, and supplemented multiple times, the Authority initiated an investigation on May 22, 2013, pursuant to Article 14 of Law No. 287/90, against the companies Ferrovie dello Stato S.p.A. (FS), Rete Ferroviaria Italiana S.p.A. (RFI), Trenitalia S.p.A. (Trenitalia), Grandi Stazioni S.p.A. (Grandi Stazioni), Centostazioni S.p.A. (Centostazioni), and FS Sistemi Urbani S.r.l. (FSSU), to ascertain the existence of a violation of Article 102, consisting of a complex exclusionary strategy implemented by the aforementioned companies to the detriment of NTV, the only competitor of Trenitalia in the provision of High-Speed passenger transport services (hereinafter also AV), in the markets of access to the national railway infrastructure (access to the network and maintenance facilities), management of advertising spaces within the stations, as well as in the provision of AV passenger railway transport services.</w:t>
      </w:r>
    </w:p>
    <w:p>
      <w:r>
        <w:t>II. THE PARTIES</w:t>
      </w:r>
    </w:p>
    <w:p>
      <w:r>
        <w:t>a) The accused companies</w:t>
      </w:r>
    </w:p>
    <w:p>
      <w:r>
        <w:t>2. FS, whose share capital is entirely held by the Ministry of Economy and Finance, is the company at the top of the eponymous group, active in the railway sector. The FS Group includes, in addition to the holding FS, the network manager RFI, the main national railway operator Trenitalia, the companies managing the main Italian railway stations, namely Grandi Stazioni and Centostazioni, and the company FS Sistemi Urbani, which carries out activities for enhancing the group's assets and, among others, also manages the maintenance facility in Milan San Rocco.</w:t>
      </w:r>
    </w:p>
    <w:p>
      <w:r>
        <w:t>3. RFI is the manager of the Italian railway infrastructure, by virtue of the concession deed referred to in D.M. October 31, 2000, No. 138T, and subsequent amendments and additions, which governs the relations between the State (grantor) and RFI (concessionaire).</w:t>
      </w:r>
    </w:p>
    <w:p>
      <w:r>
        <w:t>4. Trenitalia is the main national railway company, active in traditional medium and long-distance passenger railway transport, high-speed transport, metropolitan and regional transport, and freight transport.</w:t>
      </w:r>
    </w:p>
    <w:p>
      <w:r>
        <w:t>5. Grandi Stazioni is a company controlled by FS, whose activity consists of the redevelopment and management of the 13 main Italian railway stations (Milano Centrale, Torino Porta Nuova, Genova Brignole and Genova Piazza Principe, Venezia Mestre and Venezia Santa Lucia, Verona Porta Nuova, Bologna Centrale, Firenze S.Maria Novella, Roma Termini, Napoli Centrale, Bari Centrale, and Palermo Centrale). Recently, the company has also won the management of the Roma Tiburtina station.</w:t>
      </w:r>
    </w:p>
    <w:p>
      <w:r>
        <w:t>6. Centostazioni is a company controlled by FS, engaged since 2002 in the enhancement and management of 103 stations located throughout the territory, including Milano Rogoredo, Salerno, Padova, and Roma Ostiense.</w:t>
      </w:r>
    </w:p>
    <w:p>
      <w:r>
        <w:t>7. FSSU is a company controlled by FS, established with the task of enhancing the group's assets not functional to railway operations and providing integrated urban services from a business perspective, rationalization, functional improvement, and service to the community.</w:t>
      </w:r>
    </w:p>
    <w:p>
      <w:r>
        <w:t>b) The complainant</w:t>
      </w:r>
    </w:p>
    <w:p>
      <w:r>
        <w:t>8. NTV is the only Italian operator, besides Trenitalia, active on the AV railway network since April 28, 2012. It currently has a fleet of twenty-five state-of-the-art trains that connect nine cities – Salerno, Napoli, Roma, Firenze, Bologna, Milano, Torino, Padova, Venezia – and 12 stations.</w:t>
      </w:r>
    </w:p>
    <w:p>
      <w:r>
        <w:t>III. THE CONDUCTS ALLEGED</w:t>
      </w:r>
    </w:p>
    <w:p>
      <w:r>
        <w:t>9. The reported behaviors would have aimed to slow down NTV's entry into the AV railway services market, to the benefit of Trenitalia, and are articulated as follows:</w:t>
        <w:br/>
        <w:t>i) a strategy aimed at hindering access to the railway infrastructure which, due to its non-duplicability, constitutes an objectively necessary input to compete in the downstream railway transport market, as well as making NTV's offer of high-speed services unprofitable. In this regard, behaviors of margin compression to the detriment of NTV and obstructive behaviors in accessing the railway infrastructure (failure to assign slots during peak hours and denial of access to the maintenance facility in Milan San Rocco) were contested;</w:t>
        <w:br/>
        <w:t>ii) discrimination and obstruction to NTV's activities in numerous stations that are part of the high-speed network, particularly: failure to install signage and information desks within the stations; delays in positioning self-service ticket machines, as well as discrimination, including economic discrimination, in the use of advertising spaces within the stations;</w:t>
        <w:br/>
        <w:t>iii) inefficiencies in the management of numerous stations served by NTV.</w:t>
      </w:r>
    </w:p>
    <w:p>
      <w:r>
        <w:t>IV. THE RELEVANT MARKET</w:t>
      </w:r>
    </w:p>
    <w:p>
      <w:r>
        <w:t>10. In this case, the relevant markets are those of access to the national railway infrastructure (access to the network and maintenance facilities), management of advertising spaces within the stations, and, downstream, the provision of long-distance passenger railway transport services in the AV sector.</w:t>
      </w:r>
    </w:p>
    <w:p>
      <w:r>
        <w:t>V. THE ORIGINALLY PROPOSED COMMITMENTS</w:t>
      </w:r>
    </w:p>
    <w:p>
      <w:r>
        <w:t>11. In response to the competitive concerns raised by the Authority in the initiation order of this proceeding, on September 6, 2013, and October 10, 2013, the accused companies submitted commitments pursuant to Article 14-ter of Law No. 287/90, the content of which is briefly summarized below. For its part, the holding FS committed to ensuring compliance with "the commitments autonomously proposed by the Group companies, once they are made mandatory by the Authority."</w:t>
      </w:r>
    </w:p>
    <w:p>
      <w:r>
        <w:t>i) Obstacles to access to the railway infrastructure</w:t>
      </w:r>
    </w:p>
    <w:p>
      <w:r>
        <w:t>a) Margin compression</w:t>
      </w:r>
    </w:p>
    <w:p>
      <w:r>
        <w:t>12. RFI, on September 6, 2013, presented an initial commitment regarding the toll. In implementation of this, RFI then formulated a proposal to the MIT for a reduction of the usage fee applied to the AV/AC railway infrastructure, by a maximum of 15% compared to the currently applicable level - which is approximately 15 euros - to be applied from the entry into force of the relevant Ministerial Decree (adopted on September 10, 2013). This reduction, applied to the routes TO-MI AV; MI-BO AV; BO-FI AV and RM-NA AV, which do not cover the nodes (as they are not affected by AV) and do not include the RM-FI line (which is currently not charged as an AV line), will result, according to RFI, in a cost saving for NTV of approximately [omitted] euros.</w:t>
      </w:r>
    </w:p>
    <w:p>
      <w:r>
        <w:t>13. Trenitalia committed - from the acceptance of commitments order until June 30, 2015 - "to maintain its positive economic result before financial charges (so-called EBIT) for the AV sector (Frecciarossa and Frecciargento trains)," while retaining the possibility of a revision of the aforementioned commitment, in the event of changes in the market context; furthermore, in order to verify the absence of cross-subsidies between the AV sector and the subsidized sector, Trenitalia committed to providing separate accounting specific to AV services, on a quarterly basis, as already recorded in the Authority's documents.</w:t>
      </w:r>
    </w:p>
    <w:p>
      <w:r>
        <w:t>b) Failure to assign slots</w:t>
      </w:r>
    </w:p>
    <w:p>
      <w:r>
        <w:t>14. RFI claims to have resolved, for the new railway year (December 2013-December 2014), the issues related to the failure to assign slots during peak hours (between 7 and 8 in the morning departing from Rome towards northern Italy). In any case, RFI, as far as it is concerned and within the context of the current regulatory framework, committed to facilitating, in the future, also based on the prescriptions of the URSF, the dialogue with the interested regions where, during the capacity allocation phase, overlaps occur between "requests for slots for so-called market services and requests for slots for the execution of services subject to regional public service contracts."</w:t>
      </w:r>
    </w:p>
    <w:p>
      <w:r>
        <w:t>c) Denial of access to the San Rocco maintenance facility</w:t>
      </w:r>
    </w:p>
    <w:p>
      <w:r>
        <w:t>15. With specific reference to the San Rocco facility, the accused companies represented that, as it is located in an area subject to redevelopment, as agreed with the Municipality of Milan, this facility could not be made available to NTV or any other railway operator. Furthermore, RFI highlighted that the rolling stock maintenance facilities currently owned by the manager and that can be made available to railway companies, subject to compliance with the required procedures, are specifically indicated in section V of the PIR.</w:t>
      </w:r>
    </w:p>
    <w:p>
      <w:r>
        <w:rPr>
          <w:b/>
        </w:rPr>
        <w:t>[Pages 7–9]</w:t>
      </w:r>
    </w:p>
    <w:p>
      <w:r>
        <w:t>BULLETIN NO. 11 OF MARCH 17, 2014 9</w:t>
      </w:r>
    </w:p>
    <w:p>
      <w:r>
        <w:t>ii) Discrimination and obstruction at the stations used by NTV: signage, information desks, self-service ticket machines, and advertising</w:t>
      </w:r>
    </w:p>
    <w:p>
      <w:r>
        <w:t>16. With reference to the installation of horizontal signage within the stations, RFI, Grandi Stazioni, and Centostazioni have committed, each within their own competence, to realize/complete the modernization/upgrading process of the signage in the stations, in compliance with the criterion of informational neutrality. The companies have also committed to realize/complete the vertical signage (so-called totems), which, being functional to identify the specific areas of each operator, will be placed near a given service (ticket office, lounge) and will be characterized by a greater degree of detail. These activities will be definitively completed by June 30, 2014.</w:t>
      </w:r>
    </w:p>
    <w:p>
      <w:r>
        <w:t>17. Regarding the positioning of mobile information desks, RFI, Grandi Stazioni, and Centostazioni have committed to identify, in the affected stations, appropriate areas to be allocated to each requesting railway company, in compliance with safety requirements and the proportionality criterion with respect to the number of users of each railway company using the services in question. These areas will be allocated at market prices and will be precisely defined.</w:t>
      </w:r>
    </w:p>
    <w:p>
      <w:r>
        <w:t>18. The release of these areas will occur following a transparent procedure that will be completed within a timeframe not exceeding 60 days from the receipt of the relevant request by the requesting railway company.</w:t>
      </w:r>
    </w:p>
    <w:p>
      <w:r>
        <w:t>19. As for the self-service ticket machines, RFI, Grandi Stazioni, and Centostazioni have committed to fulfill the requests of the railway companies in compliance with proportionality criteria. Also for the allocation of self-service ticket machines, the Parties have outlined a transparent procedure that should allow railway carriers to receive feedback on their requests within a timeframe not exceeding 60 days.</w:t>
      </w:r>
    </w:p>
    <w:p>
      <w:r>
        <w:t>20. In relation to the provision of advertising spaces, Grandi Stazioni and Centostazioni have committed to offer NTV, in all served stations, the possibility to prioritize the option, compared to other advertisers, for a period of six months to be completed by December 2014, for a package of advertising installations in the AV network stations, at market conditions. Additionally, Grandi Stazioni will include in the packages subject to the offer to NTV also advertising positions in the stations of Milano Centrale and Roma Termini, currently not served by NTV, usable for a semester during 2014, according to a predefined timeline. Finally, regarding the station of Torino Porta Susa, managed by RFI, the company has committed to ensure that the successful bidder for the advertising management, currently being selected, complies with the advertising space offer criteria defined in this commitment.</w:t>
      </w:r>
    </w:p>
    <w:p>
      <w:r>
        <w:t>21. Furthermore, Grandi Stazioni and Centostazioni have committed to fulfill additional requests for advertising spaces from NTV and other advertisers within 30 days from their receipt.</w:t>
      </w:r>
    </w:p>
    <w:p>
      <w:r>
        <w:t>22. Finally, the prices of the allocated advertising spaces will be defined according to ordinary market dynamics.</w:t>
      </w:r>
    </w:p>
    <w:p>
      <w:r>
        <w:t>iii) Inefficiencies in the managed stations</w:t>
      </w:r>
    </w:p>
    <w:p>
      <w:r>
        <w:t>23. With reference to this complaint, RFI has committed to implement so-called dynamic information, that is, information panels and the related management system for information regarding the positioning of carriages, serving tracks XVI and XVII of the Milano Porta Garibaldi station and tracks XXIII and XXXIV of the Napoli Centrale station, for an estimated total cost of [omitted] euros.</w:t>
      </w:r>
    </w:p>
    <w:p>
      <w:r>
        <w:t>V. OBSERVATIONS ON THE COMMITMENTS</w:t>
      </w:r>
    </w:p>
    <w:p>
      <w:r>
        <w:t>24. Within the deadlines set for the conclusions of the market test, observations were received from: Codacons, on November 12, 2013; Assoutenti, NTV, Movimento Consumatori, and Società Viaggiatori S.r.l. (hereinafter also SVI), on November 25, 2013.</w:t>
      </w:r>
    </w:p>
    <w:p>
      <w:r>
        <w:t>25. In relation to the commitments concerning this matter, observations were presented by NTV, Assoutenti, and the Consumers' Movement.</w:t>
      </w:r>
    </w:p>
    <w:p>
      <w:r>
        <w:t>26. NTV argued that the proposed reduction of the access fee to the infrastructure by RFI could not be classified as a commitment under Article 14-ter of Law No. 287/90, as it was imposed by Ministerial Decree before the submission of the commitments. This reduction would not eliminate the risk of margin compression, as it would also apply to Trenitalia; therefore, the company believes it should benefit from an additional discount compared to the incumbent, not less than 25% for at least 5 years.</w:t>
      </w:r>
    </w:p>
    <w:p>
      <w:r>
        <w:t>27. Regarding Trenitalia's commitment, according to NTV, the use of EBIT would not allow any verification of the replicability of the offers of the dominant operator and would allow the incumbent operator to manipulate difficult-to-detect figures.</w:t>
      </w:r>
    </w:p>
    <w:p>
      <w:r>
        <w:t>28. Furthermore, if Trenitalia's commitment were to be considered, the timing of its implementation remains uncertain, as it is unclear by when the incumbent should provide separate accounting for the AV sector and with what frequency. Nor could such a commitment be accepted until June 2015, as the prohibition of margin compression exists as long as the conditions for the application of Article 102 of the TFEU remain.</w:t>
      </w:r>
    </w:p>
    <w:p>
      <w:r>
        <w:t>29. Finally, NTV believes that the commitment raises post hoc monitoring issues and therefore hopes that pending the operationalization of the Transport Authority, the verification of the accuracy of the cost data of the incumbent operator can be carried out by an independent third party appointed ad hoc.</w:t>
      </w:r>
    </w:p>
    <w:p>
      <w:r>
        <w:t>30. Assoutenti raises doubts about the possibility that to finance the 15% reduction in the fee, RFI may draw from the amounts allocated for the maintenance of the traditional network and/or secondary lines to the advantage of the AV network. Additionally, Assoutenti fears that Trenitalia may maintain a positive EBIT by resorting to cross-subsidies between the liberalized and non-liberalized sectors. Finally, for the Association, the commitment made by Trenitalia would create conditions for an agreement, even implicit, of non-belligerence between the two market players.</w:t>
      </w:r>
    </w:p>
    <w:p>
      <w:r>
        <w:t>31. The Consumers' Movement hopes only that "AV prices do not increase as a result of the separate accounting of costs."</w:t>
      </w:r>
    </w:p>
    <w:p>
      <w:r>
        <w:t>b) Failure to allocate paths</w:t>
      </w:r>
    </w:p>
    <w:p>
      <w:r>
        <w:t>32. NTV, while acknowledging that it has obtained from RFI all the paths requested for the December 2013-December 2014 timetable, has nonetheless represented the need for RFI to implement in the future the prescriptions received from the URSF (with decision No. 625/5 of July 22, 2013) aimed at ensuring a transparent, rapid, and non-discriminatory capacity allocation procedure.</w:t>
      </w:r>
    </w:p>
    <w:p>
      <w:r>
        <w:rPr>
          <w:b/>
        </w:rPr>
        <w:t>[Pages 10–12]</w:t>
      </w:r>
    </w:p>
    <w:p>
      <w:r>
        <w:t>12 BULLETIN NO. 11 OF MARCH 17, 2014</w:t>
      </w:r>
    </w:p>
    <w:p>
      <w:r>
        <w:t>33. Furthermore, NTV believes that RFI's commitment should be supplemented by introducing an obligation for the operator to simultaneously deliver to all IF the timetable at the conclusion of the capacity allocation process concerning all IF, within the terms provided for this purpose by the PIR. This is to prevent Trenitalia from marketing its travel tickets before its competitors.</w:t>
      </w:r>
    </w:p>
    <w:p>
      <w:r>
        <w:t>34. According to Assoutenti, RFI should commit to facilitating the reallocation of free tracks for market services between Trenitalia and NTV, in order to create greater balance between the two IF in the allocation of tracks during the various time slots of the day.</w:t>
      </w:r>
    </w:p>
    <w:p>
      <w:r>
        <w:t>35. According to the Consumers' Movement, the commitment made by RFI should be viewed positively, provided that it does not penalize users of regional public services whose trains operate on routes covered by NTV trains heading north, especially during the time slot of 7:00-8:00 in the morning.</w:t>
      </w:r>
    </w:p>
    <w:p>
      <w:r>
        <w:t>c) Denial of access to the San Rocco maintenance facility</w:t>
      </w:r>
    </w:p>
    <w:p>
      <w:r>
        <w:t>36. Starting from the assumption that the Milan San Rocco maintenance facility should be classified as an essential facility, NTV notes that, due to the inaccessibility of the Milan S. Rocco facility, and needing to have a maintenance facility in the Milan area, the network operator should:</w:t>
        <w:br/>
        <w:t>a) assign it the storage and parking facility of Milan Porta Garibaldi (II storage yard for vehicles), committing to promptly carry out necessary infrastructural adjustments to make this facility accessible;</w:t>
        <w:br/>
        <w:t>b) assign it, pending the completion of the works at this facility, an alternative facility (i.e., those of Milan Fiorenza, Milan Greco Pirelli, or another facility located at the railway area of Milan Porta Garibaldi);</w:t>
        <w:br/>
        <w:t>c) define - promptly - a precise regulation regarding the timing and procedures for the allocation of maintenance facilities, in compliance with the principles of fairness, transparency, and non-discrimination indicated by the PIR.</w:t>
      </w:r>
    </w:p>
    <w:p>
      <w:r>
        <w:t>ii) Discrimination and obstruction at the stations: signage, information desks, self-service ticket offices, and advertising</w:t>
      </w:r>
    </w:p>
    <w:p>
      <w:r>
        <w:t>37. NTV considers the commitments presented regarding informational signage, mobile desks, and self-service ticket offices to be inadequate and asserts that these commitments should be supplemented in the following terms:</w:t>
        <w:br/>
        <w:t>a) immediate resolution of all requests made by NTV that are still unresolved or only partially implemented;</w:t>
        <w:br/>
        <w:t>b) rebalancing, within one year from the communication of the acceptance of commitments, of the current situation characterized by the massive presence of Trenitalia and the poor visibility of the new entrant;</w:t>
        <w:br/>
        <w:t>c) provision for at least 30 consecutive days of adequate advertising spaces (in terms of number and strategic placement in the stations), aimed at promoting the NTV service, at the expense of the FS group, within the stations managed by NTV and in the stations of Milan Centrale and Roma Termini;</w:t>
      </w:r>
    </w:p>
    <w:p>
      <w:r>
        <w:t>16 For this purpose, the FS group, within 30 days from the communication of the acceptance of commitments, should address these requests or identify suitable alternatives to meet NTV's needs.</w:t>
      </w:r>
    </w:p>
    <w:p>
      <w:r>
        <w:t>17 For this purpose, the FS group should guarantee NTV a priority in identifying the most suitable spaces for positioning desks and automatic ticket offices.</w:t>
      </w:r>
    </w:p>
    <w:p>
      <w:r>
        <w:t>BULLETIN NO. 11 OF MARCH 17, 2014 13</w:t>
      </w:r>
    </w:p>
    <w:p>
      <w:r>
        <w:t>d) guarantee of greater certainty in the procedure for the issuance of facilities (desks and ticket offices), through appropriate adjustment of the timing.</w:t>
      </w:r>
    </w:p>
    <w:p>
      <w:r>
        <w:t>38. Similarly, NTV contests the proposed commitments regarding advertising spaces and believes that it should be allowed to carry out advertising activities in all stations (served and not served by Italo trains); furthermore, the procedure for selling advertising spaces outlined by the FS group companies should provide for a certain timing and the commitment to grant advertising spaces should have a duration of at least three years.</w:t>
      </w:r>
    </w:p>
    <w:p>
      <w:r>
        <w:t>Given the above, NTV believes that the proposed commitments should be supplemented with the following measures:</w:t>
        <w:br/>
        <w:t>- prescription for all FS group companies of an obligation of transparency regarding the rates and discounts applied, as well as regarding the timing and methods of evaluation of advertising plans;</w:t>
        <w:br/>
        <w:t>- immediate removal of Trenitalia's advertising spaces that are likely to create confusion with NTV's commercial offer;</w:t>
        <w:br/>
        <w:t>- recognition for NTV, for one year from the date of the acceptance of commitments, of an additional discount for the purchase of advertising spaces in the stations managed by the FS group, amounting to at least 50% of the total value of the advertising campaign;</w:t>
        <w:br/>
        <w:t>- recognition for NTV, for the period of one year from the date of communication of the acceptance of commitments, of a priority in the choice of advertising spaces to be allocated for promotions in the stations of Milan Centrale and Roma Termini;</w:t>
        <w:br/>
        <w:t>- recognition of the possibility to disaggregate the proposed packages.</w:t>
      </w:r>
    </w:p>
    <w:p>
      <w:r>
        <w:t>39. In a negative sense regarding the set of commitments of the FS group companies, the company SVI expressed that: a) the commitment regarding signage is generic; b) the commitments regarding mobile desks and advertising spaces are discriminatory.</w:t>
      </w:r>
    </w:p>
    <w:p>
      <w:r>
        <w:t>40. The Consumers' Movement expressed a positive opinion on the set of commitments presented by the FS group companies regarding the various types of facilities in the stations, considering them a "pro-competitive measure."</w:t>
      </w:r>
    </w:p>
    <w:p>
      <w:r>
        <w:t>iii) Inefficiencies in the managed stations</w:t>
      </w:r>
    </w:p>
    <w:p>
      <w:r>
        <w:t>41. On this aspect, NTV believes that the commitments of the parties should be supplemented in the following terms:</w:t>
        <w:br/>
        <w:t>a) provide for the timely implementation of the interventions already requested by NTV and not yet realized;</w:t>
        <w:br/>
        <w:t>b) adopt (within 60 days from the communication of the acceptance of commitments) a detailed program accompanied by certain timing regarding the interventions requested by NTV;</w:t>
      </w:r>
    </w:p>
    <w:p>
      <w:r>
        <w:t>18 In particular, the commitment related to the issuance of mobile desks according to proportionality criteria, besides being generic, would still leave the FS group companies the option not to assign any area to competitors in case of "objective and specific technical impediments," or to direct competing railway companies to absolutely disadvantaged areas; the commitment aimed at not discriminating against NTV's requests regarding the request for advertising spaces and to recognize it on a priority basis promotional spaces compared to other advertisers does not seem adequate to remove the risk that discrimination persists against other competing railway companies of the incumbent operator.</w:t>
      </w:r>
    </w:p>
    <w:p>
      <w:r>
        <w:t>14 BULLETIN NO. 11 OF MARCH 17, 2014</w:t>
      </w:r>
    </w:p>
    <w:p>
      <w:r>
        <w:t>c) recognize the possibility for NTV and other railway companies to participate in the improvement/adjustment interventions of the stations, upon recognition of a discount on the fee for the use of the network.</w:t>
      </w:r>
    </w:p>
    <w:p>
      <w:r>
        <w:t>iv) Restorative or compensatory measures</w:t>
      </w:r>
    </w:p>
    <w:p>
      <w:r>
        <w:t>42. Finally, NTV complained about the absence in the commitments of measures suitable to alleviate the imbalance in the economic and financial performance that the company would have suffered due to the conduct subject to the initiation of investigation.</w:t>
      </w:r>
    </w:p>
    <w:p>
      <w:r>
        <w:t>43. Therefore, NTV believes that the proposed commitments should include further measures aimed at restoring conditions of effective competitiveness for the new entrant, consisting of:</w:t>
        <w:br/>
        <w:t>a) the retroactive application of the reduction of the toll, provided by DM September 10, 2010;</w:t>
        <w:br/>
        <w:t>b) the waiver by RFI of penalties requested from NTV for the failure to contract tracks, in relation to the service timetable December 2011-December 2012, penalties amounting to a total of approximately 16 million euros.</w:t>
      </w:r>
    </w:p>
    <w:p>
      <w:r>
        <w:t>VI. REPLIES AND ACCESSORY MODIFICATIONS MADE TO THE COMMITMENTS</w:t>
      </w:r>
    </w:p>
    <w:p>
      <w:r>
        <w:t>44. Following the public consultation on the commitments, on December 23, 2013, the parties made observations and provided a definitive version of the commitments, attached to this provision, which constitutes an integral part thereof (Annex 1).</w:t>
      </w:r>
    </w:p>
    <w:p>
      <w:r>
        <w:t>45. In general terms, the FS group companies, reiterating the adequacy of the commitments originally presented regarding the obstacles to access to the infrastructure - both in terms of margin compression, access to the network, and access to the Milan San Rocco maintenance facility - did not present accessory modifications except, as far as access to the network is concerned, where, in compliance with the prescriptions received from the URSF, they modified, in December 2013, paragraph 4.4.2 of the PIR, regulating compliance with the discussions with the relevant public administrations in case of conflict between the requests for tracks from the IF.</w:t>
      </w:r>
    </w:p>
    <w:p>
      <w:r>
        <w:t>19 In particular, paragraph 4.4.2 of the PIR, in the version updated to December 2013, provides: "In the event that it is not possible to define the timetable project... GI... in order to reconcile all requests, is required to initiate the coordination procedure to identify, after consultation with the interested parties (involving, in the case of tracks included in public service contracts, also the contracting public administrations) alternative solutions to propose to the interested IF."</w:t>
      </w:r>
    </w:p>
    <w:p>
      <w:r>
        <w:rPr>
          <w:b/>
        </w:rPr>
        <w:t>[Pages 13–15]</w:t>
      </w:r>
    </w:p>
    <w:p>
      <w:r>
        <w:t>BULLETIN NO. 11 OF MARCH 17, 2014 15</w:t>
      </w:r>
    </w:p>
    <w:p>
      <w:r>
        <w:t>The role of Grandi Stazioni and Centostazioni for the purpose of the commitment will instead be of a technical/implementation nature and will consist of completing the works by the scheduled deadline of June 30, 2014.</w:t>
      </w:r>
    </w:p>
    <w:p>
      <w:r>
        <w:t>48. With regard to commitments concerning mobile information desks and self-service ticket offices, RFI, Grandi Stazioni, and Centostazioni propose the following accessory modifications:</w:t>
      </w:r>
    </w:p>
    <w:p>
      <w:r>
        <w:t>i) in order to ensure a quicker allocation procedure, the initially proposed procedures for the assignment of mobile desks and automatic ticket offices in the stations are better specified and shortened in terms, setting a maximum duration of 45 days;</w:t>
      </w:r>
    </w:p>
    <w:p>
      <w:r>
        <w:t>ii) both for the assignment of mobile desks and self-service ticket offices, a proportional distribution criterion is adopted in relation to the total number of trains on average per day arriving/departing at the station in question. For ticket offices, it is provided that such distribution occurs "by type of traffic (i.e., for local/regional traffic, medium/long distance, AV), and then - with reference to each type of traffic - further subdivision based on the number of trains of the requesting IF with passenger stops at the station." This is in order to overcome the observations of the IF regarding the violation of the principle of proportionality and to limit the discretion of the managers;</w:t>
      </w:r>
    </w:p>
    <w:p>
      <w:r>
        <w:t>iii) still in the same logic, the identification of so-called "Guaranteed Minimum Areas" (2 mobile desks and 2 self-service ticket offices) is provided, located in areas suitable to ensure use and visibility, in order to give equal dignity to all railway operators.</w:t>
      </w:r>
    </w:p>
    <w:p>
      <w:r>
        <w:t>49. With regard to the role of the FS group companies, RFI clarified that it will allocate spaces to the various railway companies, while Grandi Stazioni and Centostazioni will manage, each for the stations they respectively operate, the contracting with the railway companies and the related delivery of the areas.</w:t>
      </w:r>
    </w:p>
    <w:p>
      <w:r>
        <w:t>50. Regarding commitments related to the offer of advertising spaces, as these are areas directly pertaining to the station managers (as purely commercial activities), Grandi Stazioni and Centostazioni have proposed the following accessory modifications:</w:t>
      </w:r>
    </w:p>
    <w:p>
      <w:r>
        <w:t>i) with regard to the packages related to the stations served by Italo trains, an extension of the duration of the commitment related to the offer of advertising spaces from the original 6 months to 18 months is provided. For the packages related to the unserved stations, the originally provided duration of six months continues to apply, to be exhausted by December 2014. It is specified that the offer in option of the aforementioned packages will be fully disaggregable both by station and by type of facility, according to the free commercial choices of NTV;</w:t>
      </w:r>
    </w:p>
    <w:p>
      <w:r>
        <w:t>ii) a revision of the timing of the sales process for the aforementioned packages is provided in the following terms: four months before the exhibition semester, Grandi Stazioni and Centostazioni will present a written proposal to NTV indicating the proposed package and the related economic conditions; 60 days before the exhibition semester, Grandi Stazioni and Centostazioni must receive any written confirmation from NTV; the delivery of the creative material by the client must take place 20 days prior to the launch of the campaign.</w:t>
      </w:r>
    </w:p>
    <w:p>
      <w:r>
        <w:t>20 + 20 days to accept the proposal and 5 days, from the signing of the contract, for the delivery of the area, unless there are objective and specific technical impediments.</w:t>
      </w:r>
    </w:p>
    <w:p>
      <w:r>
        <w:t>16 BULLETIN NO. 11 OF MARCH 17, 2014</w:t>
      </w:r>
    </w:p>
    <w:p>
      <w:r>
        <w:t>Furthermore, Grandi Stazioni and Centostazioni commit to providing feedback to any advertising space requests made by any railway company within 20 days of receiving the request. This is in order to ensure access to advertising in the stations by all IF.</w:t>
      </w:r>
    </w:p>
    <w:p>
      <w:r>
        <w:t>51. Finally, RFI grants an additional accessory modification, consisting of the commitment to waive the collection of an amount equal to [omissis] euros, on a total of [omissis] euros owed by NTV for the non-utilization of contracted routes for the homologation of rolling stock before the start of its railway service.</w:t>
      </w:r>
    </w:p>
    <w:p>
      <w:r>
        <w:t>VII. EVALUATION OF THE COMMITMENTS</w:t>
      </w:r>
    </w:p>
    <w:p>
      <w:r>
        <w:t>52. The present procedure concerns the verification of possible restrictions of competition relevant under Article 102 TFEU attributable to FS, RFI, Trenitalia, Grandi Stazioni, Centostazioni, and FSSU, which have been accused of pursuing a single and articulated strategy aimed at slowing down the entry into the market of high-speed passenger rail transport services by the new entrant operator NTV.</w:t>
      </w:r>
    </w:p>
    <w:p>
      <w:r>
        <w:t>53. During the procedure, as illustrated above, the companies FS, RFI, Trenitalia, Grandi Stazioni, and Centostazioni have individually presented commitments pursuant to Article 14-ter of Law No. 287/90, in order to dispel the competitive concerns raised by the Authority in the initiation of the investigation.</w:t>
      </w:r>
    </w:p>
    <w:p>
      <w:r>
        <w:t>54. Therefore, the commitments presented will first be evaluated on a company-by-company basis, considering the suitability of each of them to resolve the proposed competitive difficulties in relation to the distinct behaviors in which the alleged abuse of dominant position contested at the outset is articulated, and subsequently, an evaluation will be made on the suitability of the commitments as a whole to address such allegations.</w:t>
      </w:r>
    </w:p>
    <w:p>
      <w:r>
        <w:t>i) RFI's commitments</w:t>
      </w:r>
    </w:p>
    <w:p>
      <w:r>
        <w:t>a) Regarding margin squeeze</w:t>
      </w:r>
    </w:p>
    <w:p>
      <w:r>
        <w:t>55. In the initiation of the investigation, RFI and Trenitalia were accused of having engaged in a margin squeeze conduct. In this way, the Authority expressed concern that RFI applied, in the upstream market, a network access fee that, compared to the price practiced downstream by Trenitalia, did not allow even an equally efficient competitor to operate profitably on a sustainable basis in the high-speed rail transport services market.</w:t>
      </w:r>
    </w:p>
    <w:p>
      <w:r>
        <w:t>56. The commitment presented by RFI to reduce the network access fee by 15% for all railway companies appears suitable in itself - under given conditions - to resolve the competitive concerns raised at the initiation of the investigation, as it produces the effect of widening the gap between downstream prices and wholesale costs. In this regard, it is highlighted that according to the information provided by the network manager, the reduction of the toll should translate for NTV into approximately [omissis] euros, a circumstance that should thus increase the possibility for the new operator to operate profitably in compliance with the principle of equal treatment.</w:t>
      </w:r>
    </w:p>
    <w:p>
      <w:r>
        <w:t>21 See paragraphs 32 and 33 of the initiation provision.</w:t>
      </w:r>
    </w:p>
    <w:p>
      <w:r>
        <w:t>BULLETIN NO. 11 OF MARCH 17, 2014 17</w:t>
      </w:r>
    </w:p>
    <w:p>
      <w:r>
        <w:t>57. As for NTV's objection that the reduction of the toll would have been imposed by DM before the submission of the commitments and therefore could not be classified as a commitment, the following is noted.</w:t>
      </w:r>
    </w:p>
    <w:p>
      <w:r>
        <w:t>By virtue of the regulatory framework in force at the time of the initiation of this procedure, contained in Legislative Decree 188/03, it was provided that for access to the network, railway companies pay RFI "a fee established by decree of the Ministry of Infrastructure and Transport, having acquired a reasoned report from the railway infrastructure manager" (Article 17, paragraph 1).</w:t>
      </w:r>
    </w:p>
    <w:p>
      <w:r>
        <w:t>Following the recent amendments made by Article 24 of Law Decree No. 69 of June 21, 2013, converted with modifications by Law No. 98 of August 9, 2013, RFI has acquired a propositional role in defining the level of toll. In this context, RFI's commitment regarding the proposal for a toll reduction to be submitted to the competent Ministry was presented on September 6, 2013. This commitment was immediately implemented by the party and led to the issuance of the DM of September 10, 2013, by the Ministry of Infrastructure. It therefore appears evident that the prompt implementation of the commitment does not preclude its evaluation by the Authority; on the contrary, this has allowed railway companies to benefit from the reduction of the network access fee as of September 10, 2013.</w:t>
      </w:r>
    </w:p>
    <w:p>
      <w:r>
        <w:t>b) Regarding the non-assignment of tracks</w:t>
      </w:r>
    </w:p>
    <w:p>
      <w:r>
        <w:t>58. With regard to the issue of access to time slots, as acknowledged by NTV, it is noted that the conduct already undertaken during the procedure by RFI, which granted the complainant all the requested tracks for the railway schedule "December 2013-December 2014," is suitable to resolve the competitive issues raised in the initiation of the investigation.</w:t>
      </w:r>
    </w:p>
    <w:p>
      <w:r>
        <w:t>59. Furthermore, the network manager, complying with the requests of the Regulatory Body, has modified the provisions contained in the latest edition of the PIR, December 2013, regulating the interactions with public administrations in case of capacity allocation, also in order to meet the needs of railway companies.</w:t>
      </w:r>
    </w:p>
    <w:p>
      <w:r>
        <w:t>60. As for NTV's further concern regarding Trenitalia's early marketing of its travel tickets, it is noted that from the documents of the procedure it has emerged that the network manager sends the definitive timetable project simultaneously to all railway companies without discriminating between railway operators and that the choice to start selling tickets in advance of sending the timetable project to each IF is an autonomous choice by the individual companies.</w:t>
      </w:r>
    </w:p>
    <w:p>
      <w:r>
        <w:t>c) Regarding discrimination, obstruction, and inefficiencies at the stations</w:t>
      </w:r>
    </w:p>
    <w:p>
      <w:r>
        <w:t>61. RFI's commitment to prepare horizontal signage of a generic nature, along with vertical signage characterized by a greater degree of detail, is suitable to resolve the competitive concerns highlighted at the outset, as it - by ensuring overall information to users about the basic services available at the station - will simultaneously allow for the identification of the specific services provided by individual railway operators. On the other hand, this type of information has the sole objective of directing users and cannot translate, for any railway operator, into a tool to ensure visibility for semi-promotional purposes.</w:t>
      </w:r>
    </w:p>
    <w:p>
      <w:r>
        <w:rPr>
          <w:b/>
        </w:rPr>
        <w:t>[Pages 16–18]</w:t>
      </w:r>
    </w:p>
    <w:p>
      <w:r>
        <w:t>18 BULLETIN NO. 11 OF MARCH 17, 2014</w:t>
      </w:r>
    </w:p>
    <w:p>
      <w:r>
        <w:t>62. Furthermore, RFI's commitment to implement so-called dynamic information at the stations of Milan Porta Garibaldi and Naples Centrale represents an additional availability on the part of the manager in order to remove the competitive concerns raised at the outset, which also involves a significant economic burden. This is also because the infrastructure manager has carried out all the interventions provided for in the Framework Agreement signed with NTV in 2008, and the URSF, with decision of May 21, 2013, No. 135/5, stated that "no violation can be attributed to the manager... whose conduct has been characterized by transparency and non-discrimination."</w:t>
      </w:r>
    </w:p>
    <w:p>
      <w:r>
        <w:t>63. RFI's commitment - also undertaken by the station managers for the aspects within their competence - to predetermine areas to be assigned to railway companies for mobile desks and self-service ticket offices, along with the definition of a certain and more streamlined procedure for their issuance and the recognition of "minimum guaranteed areas" to each in suitable zones for use and visibility, appears suitable to resolve the competitive concerns inherent in the initiation of the investigation.</w:t>
      </w:r>
    </w:p>
    <w:p>
      <w:r>
        <w:t>First of all, railway operators will have certainty regarding the responsible party for identifying such spaces (RFI). The Manager, in this way, will operate as the sole interface in relations with the requesting railway companies, also in compliance with the prescriptions issued by the URSF, which has identified RFI as the responsible party for coordinating the entire process of identifying and assigning the spaces in question.</w:t>
      </w:r>
    </w:p>
    <w:p>
      <w:r>
        <w:t>Secondly, the procedures provided for in the commitment foresee clear rules and timelines for the allocation of spaces, for which the granting of a minimum guaranteed is foreseen. In this sense, it should be noted that, in light of the concerns expressed following the market test by NTV, RFI and the station managers have significantly reduced the timing. Therefore, in light of the definition of such new procedures, the companies of the FS group will be obliged to fulfill requests for spaces made by any railway company, which will allow for a rapid resolution of the requests made by NTV that are currently unresolved.</w:t>
      </w:r>
    </w:p>
    <w:p>
      <w:r>
        <w:t>d) Regarding the compensatory measure</w:t>
      </w:r>
    </w:p>
    <w:p>
      <w:r>
        <w:t>64. In an overall logic of "relief" of the economic burdens of the new entrant company, RFI has also committed to waive the collection of [omissis] euros owed by NTV. This is a commitment presented following the market test aimed at responding to the replies made by NTV, according to which the commitments presented did not provide any restorative element, which is now present.</w:t>
      </w:r>
    </w:p>
    <w:p>
      <w:r>
        <w:t>ii) The commitment of Trenitalia</w:t>
      </w:r>
    </w:p>
    <w:p>
      <w:r>
        <w:t>a) Regarding the compression of the margin</w:t>
      </w:r>
    </w:p>
    <w:p>
      <w:r>
        <w:t>65. The commitment undertaken by Trenitalia to maintain a positive operating margin (EBIT) in the AV sector does not appear suitable to remove the anti-competitive profiles manifested at the outset, for the reasons illustrated below.</w:t>
      </w:r>
    </w:p>
    <w:p>
      <w:r>
        <w:t>66. First of all, there is a risk that the commitment in question may favor a tacit collusive context in which particularly aggressive pricing strategies by Trenitalia on certain routes would signal the company's reduced capacity to adopt aggressive conduct on other connections, as the constraint of a positive EBIT on the overall High-Speed services must be respected. In this sense, the commitment presented risks creating competitive criticalities rather than resolving those that led to the initiation of the procedure.</w:t>
      </w:r>
    </w:p>
    <w:p>
      <w:r>
        <w:t>In any case, conduct different from those contested in the current procedure, carried out by Trenitalia, such as predatory pricing or selective discounts, may still be scrutinized under Article 102 TFEU.</w:t>
      </w:r>
    </w:p>
    <w:p>
      <w:r>
        <w:t>67. Moreover, EBIT is an inadequate indicator to prevent unreplicable pricing strategies within a margin squeeze conduct. This indicator, in fact, is used for accounting classification purposes - and not for regulatory accounting purposes - and, therefore, does not allow for a correct evaluation of the conduct under examination; this is particularly true due to the different consideration of important cost items such as common costs and the cost of capital, necessary for conducting the replicability test. Furthermore, since the commitment refers to the entirety of the routes on which Trenitalia operates, its compliance does not guarantee that on individual markets (i.e., individual routes) excluding pricing policies may still be implemented.</w:t>
      </w:r>
    </w:p>
    <w:p>
      <w:r>
        <w:t>68. In this perspective, tying pricing strategies to the respect of a positive EBIT can constitute an unjustifiably severe constraint as, on the one hand, as mentioned, prices that result in a negative EBIT do not necessarily constitute an anti-competitive offense, while on the other hand, the acceptance of the proposed commitment would translate into the introduction of a form - albeit indirect - of price regulation in a market where competitive comparison appears fully possible and antitrust discipline is entirely sufficient to guarantee its conduct and the desirable benefits.</w:t>
      </w:r>
    </w:p>
    <w:p>
      <w:r>
        <w:t>69. In this regard, it should be emphasized that the commitment in question is the only one among those presented that has been criticized by all participants in the market test. This circumstance is significant as, according to an established principle, the Authority cannot unilaterally modify a commitment presented by a party in a proceeding in order to take into account the observations that emerged during the consultation; the possibility of modifying the commitment is solely at the discretion of the proposing party, which in this case has not - as previously illustrated - made any changes to the initially proposed measure. For the reasons outlined above, the commitment proposed by Trenitalia cannot be accepted.</w:t>
      </w:r>
    </w:p>
    <w:p>
      <w:r>
        <w:t>iii) The commitments of Grandi Stazioni and Centostazioni</w:t>
      </w:r>
    </w:p>
    <w:p>
      <w:r>
        <w:t>a) Regarding discrimination, obstruction, and inefficiencies at the stations</w:t>
      </w:r>
    </w:p>
    <w:p>
      <w:r>
        <w:t>70. In addition to the commitment related to the minimum guaranteed areas for mobile desks and self-service ticket offices, already subject to evaluation in the previous paragraphs as it was presented jointly with RFI, Grandi Stazioni and Centostazioni have undertaken an additional commitment concerning advertising at the stations served by Italo trains and at the stations of Rome Termini and Milan Centrale, which will allow NTV to access - sometimes on a privileged basis, through the exercise of option rights - this promotional channel in the initial phase of entering the AV services market.</w:t>
      </w:r>
    </w:p>
    <w:p>
      <w:r>
        <w:t>The ancillary modification that allows for the disaggregation of the packages offered as options for these stations will guarantee NTV the autonomy to determine at which stations to carry out advertising and therefore accommodates its concern regarding its freedom to choose both the stations where it exercises its option right and the spaces available within each individual station.</w:t>
      </w:r>
    </w:p>
    <w:p>
      <w:r>
        <w:t>In addition to the commitments related to the granting of advertising spaces recognized to the complaining operator NTV, the more general commitment undertaken by the station managers - Grandi Stazioni and Centostazioni - to allow the use of advertising spaces by all requesting railway companies, within 20 days of receiving the request, is also significant. This commitment, in fact, will ensure clear rules and a rapid resolution of requests made by railway operators, thus also responding to the concerns raised following the market test by SVI.</w:t>
      </w:r>
    </w:p>
    <w:p>
      <w:r>
        <w:t>iv) Overall assessment of the commitments</w:t>
      </w:r>
    </w:p>
    <w:p>
      <w:r>
        <w:t>71. The commitments presented by FS, RFI, Grandi Stazioni, and Centostazioni appear, when considered as a whole, suitable to eliminate the anti-competitive profiles subject to investigation, as they allow for an expansion of access possibilities to the AV passenger rail transport market for railway companies. This is particularly true in light of the impact of the commitments to significantly affect the essential profiles of the procedure, due to the appreciable reduction of the alleged discriminations both in access to the network infrastructure and in the efficient use of spaces within the stations.</w:t>
      </w:r>
    </w:p>
    <w:p>
      <w:r>
        <w:t>Regarding the first profile of contestation, the commitments undertaken by RFI to reduce the access fee to the network and to streamline the regulations for interactions with public administrations in the case of capacity allocation to meet the needs of railway companies are significant, as well as the fact that the infrastructure manager has resolved, for the new railway year (December 2013-December 2014), the issues related to the failure to assign slots during peak hours (between 7 and 8 in the morning). In relation to discrimination and inefficiencies at the stations, the commitments of RFI, Grandi Stazioni, and Centostazioni regarding horizontal signage, dynamic advertising, minimum guaranteed areas for mobile desks and ticket offices, as well as procedures for the allocation of advertising spaces within the stations served by NTV, are important.</w:t>
      </w:r>
    </w:p>
    <w:p>
      <w:r>
        <w:t>72. Regarding NTV's accessibility to maintenance facilities located in the Milan area, the Milan San Rocco facility is currently the subject of a specific urban redevelopment project that effectively excludes its availability for both NTV and other railway companies, including Trenitalia. It should be emphasized that in the case of maintenance facilities, the characteristic of non-duplicability at sustainable costs by an efficient operator, which constitutes the distinctive feature of essential infrastructure, is closely related to the concrete availability, in reasonable times and costs, of any alternative infrastructures to those chosen by the new operator.</w:t>
      </w:r>
    </w:p>
    <w:p>
      <w:r>
        <w:t>In this regard, it is noted that the management report for the 2012 financial year, included in NTV's 2012 financial statements, accounted for the possibility of offsetting incremental burdens related to the need to carry out so-called empty returns of NTV trains, through the use of the Bologna maintenance facility.</w:t>
      </w:r>
    </w:p>
    <w:p>
      <w:r>
        <w:t>22 The definition of a faster and more streamlined procedure for fulfilling NTV's requests regarding the offered packages should also be positively acknowledged (see paragraph 51 of the provision).</w:t>
      </w:r>
    </w:p>
    <w:p>
      <w:r>
        <w:rPr>
          <w:b/>
        </w:rPr>
        <w:t>[Pages 19–21]</w:t>
      </w:r>
    </w:p>
    <w:p>
      <w:r>
        <w:t>BULLETIN NO. 11 OF MARCH 17, 2014 21</w:t>
      </w:r>
    </w:p>
    <w:p>
      <w:r>
        <w:t>In any case, the possibility remains for the requesting railway companies to make use of the rolling stock maintenance facilities of RFI, subject to compliance with the procedures provided for by the PIR.</w:t>
      </w:r>
    </w:p>
    <w:p>
      <w:r>
        <w:t>73. As already mentioned, Trenitalia's commitment must be rejected as it is inadequate to resolve the issues contested at the outset and is indeed potentially capable of fostering the creation of a collusive context.</w:t>
      </w:r>
    </w:p>
    <w:p>
      <w:r>
        <w:t>With specific reference to the margin squeeze, the level of the price charged by the company in the downstream market is relevant only to the extent that it contributes to determining a negative or insufficient margin between prices and costs to cover the specific costs that the competitors incur to provide the services in question in the downstream markets. In this perspective, it is not necessarily required that both levers be activated to achieve the objective of ceasing the abusive compression of the margin: even the variation of just one of the two prices, provided it is to the extent necessary to make the price/cost margin positive (or in any case compatible with the condition of profitability in the downstream market), can be suitable to resolve the competitive issues.</w:t>
      </w:r>
    </w:p>
    <w:p>
      <w:r>
        <w:t>74. Consequently, in this specific case, the remedy adopted by RFI in the upstream market allows for an expansion of the margin between prices and costs and is suitable to put an end to the contested margin squeeze conduct. The possibility of evaluating any restrictive competition conduct adopted by Trenitalia, different from those contested in the proceedings in question, remains unaffected, pursuant to Article 102 TFEU.</w:t>
      </w:r>
    </w:p>
    <w:p>
      <w:r>
        <w:t>CONSIDERING, therefore, that the commitments presented by Ferrovie dello Stato Italiane S.p.A., Rete Ferroviaria Italia S.p.A., Grandi Stazioni S.p.A. and Centostazioni S.p.A., in their final version, are suitable to eliminate the anti-competitive profiles subject to the investigation;</w:t>
      </w:r>
    </w:p>
    <w:p>
      <w:r>
        <w:t>CONSIDERING also that Trenitalia's commitment, for the reasons stated above, must be rejected as it is inadequate to resolve the competitive concerns subject to investigation and susceptible to favoring the formation of a collusive context;</w:t>
      </w:r>
    </w:p>
    <w:p>
      <w:r>
        <w:t>CONSIDERING the overall suitability of the commitments presented by the companies Ferrovie dello Stato Italiane S.p.A., Rete Ferroviaria Italia S.p.A., Grandi Stazioni S.p.A. and Centostazioni S.p.A.;</w:t>
      </w:r>
    </w:p>
    <w:p>
      <w:r>
        <w:t>CONSIDERING to order the mandatory nature of the commitments presented by Ferrovie dello Stato Italiane S.p.A., Rete Ferroviaria Italia S.p.A., Grandi Stazioni S.p.A. and Centostazioni S.p.A., pursuant to Article 14-ter, paragraph 1, of Law No. 287/90;</w:t>
      </w:r>
    </w:p>
    <w:p>
      <w:r>
        <w:t>All of the above having been stated and considered:</w:t>
      </w:r>
    </w:p>
    <w:p>
      <w:r>
        <w:t>RESOLVES</w:t>
      </w:r>
    </w:p>
    <w:p>
      <w:r>
        <w:t>a) to make the commitments presented mandatory for the companies Ferrovie dello Stato Italiane S.p.A., Rete Ferroviaria Italia S.p.A., Grandi Stazioni S.p.A. and Centostazioni S.p.A., pursuant to Article 14-ter, paragraph 1, of Law No. 287/90, in the terms described above and attached to this provision, which are an integral part thereof;</w:t>
      </w:r>
    </w:p>
    <w:p>
      <w:r>
        <w:t>b) to reject the commitment presented by Trenitalia S.p.A.;</w:t>
      </w:r>
    </w:p>
    <w:p>
      <w:r>
        <w:t>c) to close the proceedings without establishing the infringement against all the companies, pursuant to Article 14-ter, paragraph 1, of Law No. 287/90;</w:t>
      </w:r>
    </w:p>
    <w:p>
      <w:r>
        <w:t>d) that the companies referred to in point a) inform the Authority of the actions taken to implement the commitments undertaken, sending to the Authority two reports by August 31, 2014, and January 31, 2015, aimed at illustrating the state of affairs.</w:t>
      </w:r>
    </w:p>
    <w:p>
      <w:r>
        <w:t>This provision will be notified to the interested parties and published in the Bulletin of the Competition and Market Authority.</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November 24, 1971, No. 1199, within the term of one hundred and twenty days from the date of notification of the provision itself.</w:t>
      </w:r>
    </w:p>
    <w:p>
      <w:r>
        <w:t>THE SECRETARY GENERAL THE PRESIDENT</w:t>
      </w:r>
    </w:p>
    <w:p>
      <w:r>
        <w:t>Roberto Chieppa Giovanni Pitruzzella</w:t>
      </w:r>
    </w:p>
    <w:p>
      <w:r>
        <w:t>BULLETIN NO. 11 OF MARCH 17, 2014 23</w:t>
      </w:r>
    </w:p>
    <w:p>
      <w:r>
        <w:t>A444 - AKRON-URBAN WASTE MANAGEMENT BASED ON CELLULOSE</w:t>
      </w:r>
    </w:p>
    <w:p>
      <w:r>
        <w:t>Provision No. 24819</w:t>
      </w:r>
    </w:p>
    <w:p>
      <w:r>
        <w:t>THE COMPETITION AND MARKET AUTHORITY</w:t>
      </w:r>
    </w:p>
    <w:p>
      <w:r>
        <w:t>IN ITS MEETING of February 27, 2014;</w:t>
      </w:r>
    </w:p>
    <w:p>
      <w:r>
        <w:t>HEARD the Rapporteur Dr. Salvatore Rebecchini;</w:t>
      </w:r>
    </w:p>
    <w:p>
      <w:r>
        <w:t>SEEN Law No. 287/90;</w:t>
      </w:r>
    </w:p>
    <w:p>
      <w:r>
        <w:t>SEEN the D.P.R. April 30, 1998 No. 217;</w:t>
      </w:r>
    </w:p>
    <w:p>
      <w:r>
        <w:t>SEEN the report from the company C.B.R.C. (Centro Bolognese Recupero Carta) S.r.l. of October 9, 2012, subsequently supplemented with further communications;</w:t>
      </w:r>
    </w:p>
    <w:p>
      <w:r>
        <w:t>SEEN its resolution of December 5, 2012, which initiated an investigation procedure pursuant to Article 14, paragraph 1 of Law No. 287/90, against the companies Hera S.p.A., Herambiente S.p.A. and Akron S.p.A. to ascertain the existence of violations of Article 3 of Law No. 287/90;</w:t>
      </w:r>
    </w:p>
    <w:p>
      <w:r>
        <w:t>SEEN the acceptance of the request for participation in the proceedings from the company Bandini e Casamenti S.r.l. of March 7, 2013;</w:t>
      </w:r>
    </w:p>
    <w:p>
      <w:r>
        <w:t>SEEN the Communication of Investigative Results sent to the parties on October 30, 2013;</w:t>
      </w:r>
    </w:p>
    <w:p>
      <w:r>
        <w:t>SEEN the final submissions of Hera S.p.A., Herambiente S.p.A. and Akron S.p.A. received on January 31, 2014;</w:t>
      </w:r>
    </w:p>
    <w:p>
      <w:r>
        <w:t>HEARD in final hearing the representatives of the companies Hera S.p.A., Herambiente S.p.A. and Akron S.p.A. on February 5, 2014;</w:t>
      </w:r>
    </w:p>
    <w:p>
      <w:r>
        <w:t>SEEN the documents of the proceedings and the documentation acquired during the investigation;</w:t>
      </w:r>
    </w:p>
    <w:p>
      <w:r>
        <w:t>CONSIDERED the following:</w:t>
      </w:r>
    </w:p>
    <w:p>
      <w:r>
        <w:t>I. THE PARTIES</w:t>
      </w:r>
    </w:p>
    <w:p>
      <w:r>
        <w:t>1. HERA S.p.A. (hereinafter, HERA) is a company at the head of a group active in the sectors of production, distribution and sale of electricity and natural gas, integrated management of water resources, district heating/cooling, heat management services, environmental services, management of public lighting and funeral and cemetery services, particularly in Emilia Romagna and Marche. The HERA group monopolistically carries out the collection of municipal solid waste and similar (MSW) in all municipalities of the Provinces of Forlì-Cesena and Ravenna, in most municipalities of the Provinces of Rimini, Bologna and Modena, and the Municipality of Ferrara by virtue of direct assignments from the then Area Agencies. Today, the agreements, although expired, are in a regime of extension.</w:t>
      </w:r>
    </w:p>
    <w:p>
      <w:r>
        <w:t>Approximately 61% of HERA's capital is held by over 180 municipalities and other public shareholders, mainly from the Emilia-Romagna Region, among which the largest shareholders are the Municipalities of Bologna (10.73%), Modena (9.82%), Imola (7.4%), Ravenna (6.1%), Trieste (5.05%) and Padua.</w:t>
      </w:r>
    </w:p>
    <w:p>
      <w:r>
        <w:rPr>
          <w:b/>
        </w:rPr>
        <w:t>[Pages 22–24]</w:t>
      </w:r>
    </w:p>
    <w:p>
      <w:r>
        <w:t>24 BULLETIN NO. 11 OF MARCH 17, 2014</w:t>
      </w:r>
    </w:p>
    <w:p>
      <w:r>
        <w:t>(5.03%)1. Approximately 61% of HERA's capital is held by over 180 municipalities and other public shareholders, mainly from the Emilia-Romagna Region, among which the largest shareholders are the Municipalities of Bologna (10.73%), Modena (9.82%), Imola (7.4%), Ravenna (6.1%), Trieste (5.05%) and Padua.</w:t>
      </w:r>
    </w:p>
    <w:p>
      <w:r>
        <w:t>9.4% of the share capital is held by banking foundations, while the remainder is floating on the stock market. In 2012, HERA's consolidated revenue was approximately 4.4 billion euros.</w:t>
      </w:r>
    </w:p>
    <w:p>
      <w:r>
        <w:t>2. HERAmbiente S.p.A. (hereinafter HERAmbiente or HA), established as a company on July 1, 2009, inherited the skills and facilities of the Environment Division of the Hera Group, of Ecologia Ambiente S.r.l. and Recupera S.r.l. HERAmbiente was established to concentrate the plant equipment of the Hera Group and operates, directly and indirectly, in the construction and management of treatment plants, recovery of materials and energy, and waste disposal. The company is controlled by HERA, which holds 75% of the capital, while the remaining 25% is owned by Ambiente Arancione Cooperatief U.A. HERAmbiente's consolidated revenue in 2012 was approximately 343 million euros.</w:t>
      </w:r>
    </w:p>
    <w:p>
      <w:r>
        <w:t>3. AKRON S.p.A. (hereinafter, AKRON) is a company of the Hera Group subject to the direction and coordination of HERAmbiente, which holds 57.5% of the share capital; the remaining part of the share capital is held by five individuals. The company operates in the field of environmental services where it builds and manages waste selection and treatment plants, both urban and special, aimed at their recovery; furthermore, it remediates and secures contaminated sites and exhausted landfills and disposes of and transports waste. AKRON's revenue in 2012 was approximately 45 million euros.</w:t>
      </w:r>
    </w:p>
    <w:p>
      <w:r>
        <w:t>4. CBRC S.r.l. (Centro Bolognese Recupero Carta) (hereinafter, CBRC) is a company active in the recovery of cellulosic waste, through a selection and pressing plant that transforms such waste into pulp intended for paper mills. This plant is located in Bologna. The majority of CBRC's capital is held by individuals belonging to the same family. CBRC's revenue in 2012 was approximately 8 million euros.</w:t>
      </w:r>
    </w:p>
    <w:p>
      <w:r>
        <w:t>5. BANDINI E CASAMENTI S.r.l. (hereinafter, Bandini) is a family-run business active for many years in the collection, processing, and selection of paper and plastic products, ferrous and metallic scrap, aluminum, wood, and recovered glass. The company is based in Forlì and has a local unit in Mordano (BO). The share capital is held by individuals belonging to the same family. Bandini's revenue in 2012 was approximately 7 million euros.</w:t>
      </w:r>
    </w:p>
    <w:p>
      <w:r>
        <w:t>II. THE INQUIRY PROCEDURE</w:t>
      </w:r>
    </w:p>
    <w:p>
      <w:r>
        <w:t>6. On December 5, 2012, the Authority initiated an inquiry procedure against the companies Hera S.p.A., Herambiente S.p.A., and Akron S.p.A. to ascertain the existence of violations of Article 3 of Law No. 287/90.</w:t>
      </w:r>
    </w:p>
    <w:p>
      <w:r>
        <w:t>7. The procedure originated from a report sent on October 9, 2012, by the company CBRC, which complained about the allegedly anti-competitive conduct of HERA, HERAmbiente, and AKRON, all belonging to the same corporate group, consisting of the conferment by HERA to AKRON of all cellulosic waste coming from RDU (urban differentiated collection) carried out in the municipalities of the Province of Bologna where HERA is the monopolistic Manager. This conferment would have occurred, at least for the year 2012-2013, without the execution of a fair, transparent, and non-discriminatory procedure among the operators potentially interested in the downstream market of cellulosic waste recovery, with reference to an essential input for producing pulp 1.02 (exclusion profile). It would have led to the assignment of waste to AKRON at a price lower than that offered by CBRC itself, with prejudicial effects for the citizen users who pay the Municipality the TARSU/TIA (exploitation profile).</w:t>
      </w:r>
    </w:p>
    <w:p>
      <w:r>
        <w:t>8. Following a series of pre-inquiry checks, the procedure was initiated for an alleged abuse of dominant position by the Hera group and in particular by HERA, the monopolistic manager of the collection of RSU in numerous municipalities of Emilia Romagna, of HA, and of Akron. This abusive conduct would have consisted of the direct conferment to HA and Akron, starting from 2011, of large quantities of cellulosic waste coming from urban differentiated collection.</w:t>
      </w:r>
    </w:p>
    <w:p>
      <w:r>
        <w:t>9. On December 13, 2012, inspection activities were carried out at the offices of HERA and HA in Bologna, of HA in Rimini and Ravenna, and of Akron in Imola, in order to acquire documentation to support the inquiry hypothesis.</w:t>
      </w:r>
    </w:p>
    <w:p>
      <w:r>
        <w:t>10. Requests for information were sent to Akron on April 8, 20132 and to HERA, HA, Akron on July 26, 2013, and to HERA and HA on October 7, 2013, and February 3, 2014. Further information was requested concurrently with the hearing at HA and Akron on April 24, 2013.</w:t>
      </w:r>
    </w:p>
    <w:p>
      <w:r>
        <w:t>11. Information was also requested from numerous companies recovering cellulosic materials operating in Emilia Romagna: Geovest S.r.l. (hereinafter, Geovest) and Cosea Ambiente S.p.a. (hereinafter, Cosea) on March 19, 20133, Marchesini S.r.l., Fini S.r.l., Passerini Recuperi S.r.l., Il Solco Coop. Sociale a r.l., La Cart S.r.l., Dimer carta S.r.l., Panini S.r.l., Monti Amato S.r.l., Specialtrasporti S.r.l., Italmacero S.r.l., Ricicla 3000 S.r.l., Garnero Armando di Garnero Davide &amp; C. Snc, Montieco S.r.l., Sogliano Ambiente S.p.A., Reggiana Ambiente e Recuperi S.r.l., Ghirardi S.r.l. on April 8, 20134.</w:t>
      </w:r>
    </w:p>
    <w:p>
      <w:r>
        <w:t>12. On March 5, 2013, a request for participation in the procedure was received from the company Bandini5. The request was accepted on March 7, 20136.</w:t>
      </w:r>
    </w:p>
    <w:p>
      <w:r>
        <w:t>13. The Parties were heard in a hearing before the offices: Akron and HERAmbiente on April 24, 20137 and HERA on April 29, 20138.</w:t>
      </w:r>
    </w:p>
    <w:p>
      <w:r>
        <w:t>14. The reporting party CBRC was also heard on March 15, 20139 and the company Bandini as a participant in the procedure on March 11, 201310. Finally, the Territorial Agency of Emilia-Romagna for water and waste services – ATERSIR was heard on March 25, 201311 and the paper mill Reno de’ Medici S.p.A. on April 22, 201312.</w:t>
      </w:r>
    </w:p>
    <w:p>
      <w:r>
        <w:t>15. HA and Akron submitted briefs on July 16, 201313 and January 31, 2014. All Parties exercised the right of access to the documentation of the file not covered by confidentiality during the procedure14.</w:t>
      </w:r>
    </w:p>
    <w:p>
      <w:r>
        <w:t>16. On October 3, 2013, requests for information were sent to the paper mills Modesto Cardella S.p.A., Progest S.p.A., Cartiera Ciacci S.p.A., Cartiere del Polesine S.p.A., Cartiere di Ferrara S.p.A. and Reno de’ Medici S.p.A.15.</w:t>
      </w:r>
    </w:p>
    <w:p>
      <w:r>
        <w:t>17. On October 30, 2013, the Communication of Inquiry Results was sent to the Parties.</w:t>
      </w:r>
    </w:p>
    <w:p>
      <w:r>
        <w:t>18. On November 28, 2013, the Authority decided to extend the deadline for closing the inquiry procedure16.</w:t>
      </w:r>
    </w:p>
    <w:p>
      <w:r>
        <w:t>19. On December 3, 2013, the Parties to the procedure submitted a request to "open a procedure for the submission of appropriate commitments pursuant to Article 14ter of Law No. 287/90." This request was rejected by the Authority by decision of December 10, 2013, as late and, in any case, not qualifying as a submission of commitments.</w:t>
      </w:r>
    </w:p>
    <w:p>
      <w:r>
        <w:t>20. On February 5, 2014, the final hearing was held before the College17. With the briefs submitted on January 31, 201418, HA submitted to the Authority a commitment to implement pro-competitive procedures for the assignment of the paper from HERA's joint collection. During the final hearing, Hera and HA reiterated their unconditional willingness to implement pro-competitive procedures and submitted a request for an extension of the deadline for closing the procedure in order to allow the occurrence of certain necessary conditions, according to them, for the drafting of the tender and the conduct of such procedures.</w:t>
      </w:r>
    </w:p>
    <w:p>
      <w:r>
        <w:t>III. THE PAPER SUPPLY CHAIN</w:t>
      </w:r>
    </w:p>
    <w:p>
      <w:r>
        <w:t>21. This procedure concerns the differentiated collection and the recovery and recycling activities of cellulosic waste, namely i) waste consisting of cellulosic-based packaging (mainly boxes and cartons in cardboard and paperboard and bags) and ii) other cellulosic materials, different from packaging, such as newspapers, magazines, printed materials, photocopies, etc. Non-packaging cellulosic waste is generally referred to as "similar commodity fractions (f.m.s.)".</w:t>
      </w:r>
    </w:p>
    <w:p>
      <w:r>
        <w:rPr>
          <w:b/>
        </w:rPr>
        <w:t>[Pages 25–27]</w:t>
      </w:r>
    </w:p>
    <w:p>
      <w:r>
        <w:t>BULLETIN NO. 11 OF MARCH 17, 2014 27</w:t>
      </w:r>
    </w:p>
    <w:p>
      <w:r>
        <w:t>22. Once collected, cellulosic waste is transported to specific facilities (the sorting platforms), which may be operated by the same entity that carried out the collection, or by third-party operators. Here, impurities and foreign or non-recoverable material are removed, and different types of cellulosic waste are separated. The selected cellulosic waste is compressed into bales and becomes "pulp," ready to be used as "secondary raw material" by paper mills, which then recycle the cellulosic waste. The paper supply chain is characterized, therefore, as a "closed loop": the recycling of cellulosic waste is indeed carried out by the same producers of cellulosic materials (the paper mills).</w:t>
      </w:r>
    </w:p>
    <w:p>
      <w:r>
        <w:t>23. The following figure describes the main phases of the paper supply chain. They will be briefly analyzed in greater detail below.</w:t>
      </w:r>
    </w:p>
    <w:p>
      <w:r>
        <w:t>28 BULLETIN NO. 11 OF MARCH 17, 2014</w:t>
      </w:r>
    </w:p>
    <w:p>
      <w:r>
        <w:t>Fig. 1: the paper supply chain</w:t>
      </w:r>
    </w:p>
    <w:p>
      <w:r>
        <w:t>Families Businesses, Public Administrations</w:t>
        <w:br/>
        <w:t>Special waste</w:t>
        <w:br/>
        <w:t>Urban solid waste Special waste</w:t>
        <w:br/>
        <w:t>similar to urban waste</w:t>
        <w:br/>
        <w:t>Urban separate collection of cellulosic waste Joint collection of cellulosic special waste</w:t>
        <w:br/>
        <w:t>Selective Packaging Newspapers, magazines,</w:t>
        <w:br/>
        <w:t>books, various printed materials,</w:t>
        <w:br/>
        <w:t>etc.</w:t>
        <w:br/>
        <w:t>COMIECO (administered regime)</w:t>
        <w:br/>
        <w:t>Selection / recovery</w:t>
        <w:br/>
        <w:t>Pulp from packaging in Ordinary paper pulps,</w:t>
        <w:br/>
        <w:t>cardboard (1.04, 1.05, kraft, etc.) medium and</w:t>
        <w:br/>
        <w:t>(“waste paper”)</w:t>
        <w:br/>
        <w:t>higher quality pulps</w:t>
        <w:br/>
        <w:t>PAPER MILLS (recycling)</w:t>
      </w:r>
    </w:p>
    <w:p>
      <w:r>
        <w:t>BULLETIN NO. 11 OF MARCH 17, 2014 29</w:t>
      </w:r>
    </w:p>
    <w:p>
      <w:r>
        <w:t>III.1. Collection Activity</w:t>
      </w:r>
    </w:p>
    <w:p>
      <w:r>
        <w:t>a) Urban Solid Waste and Special Waste</w:t>
      </w:r>
    </w:p>
    <w:p>
      <w:r>
        <w:t>24. In general, depending on their origin – that is, the entity that produces them – waste is distinguished into urban solid waste (“RSU”) – produced by households – and special waste (“RS”) – produced by commercial, artisanal, industrial, or tertiary activities.</w:t>
      </w:r>
    </w:p>
    <w:p>
      <w:r>
        <w:t>25. The collection activity is organized differently depending on the characteristics of the waste producers served. The production of special waste is concentrated among a limited number of medium and large-sized entities. Given the concentration of significant volumes of waste at producing companies, the collection of RS is carried out in a competitive market. RS collectors are often companies integrated into the subsequent selection phase (the recyclers), so that the waste is transported directly to their owned platforms.</w:t>
      </w:r>
    </w:p>
    <w:p>
      <w:r>
        <w:t>26. The production of urban solid waste (RSU) is widespread among a large number of small production units (households). The significant economies of density resulting make it economically more efficient for a single monopolistic entity to carry out the collection of RSU in a certain territorial area, as opposed to what happens with the collection of RS. The collection of RSU has historically been a local public service, carried out by a monopolistic manager entrusted with the service in exclusivity throughout the municipal territory (“Manager”).</w:t>
      </w:r>
    </w:p>
    <w:p>
      <w:r>
        <w:t>27. By virtue of the similar economic characteristics of the collection service, for the purpose of defining the boundaries of the waste collection activities entrusted in monopoly, special waste qualitatively similar to domestic waste, produced by commercial, artisanal, and tertiary activities, has been "assimilated" to RSU, provided that the production is below thresholds defined by specific Municipal Regulations. Special waste assimilated to urban waste is also collected in a monopolistic regime by the monopolistic manager of RSU collection.</w:t>
      </w:r>
    </w:p>
    <w:p>
      <w:r>
        <w:t>b) Urban Separate Collection of Cellulosic Materials</w:t>
      </w:r>
    </w:p>
    <w:p>
      <w:r>
        <w:t>28. Waste collection can occur in a differentiated manner by type of material or in an undifferentiated manner. Separate collection facilitates subsequent sorting operations of the waste and, therefore, reduces the cost of operations functional to their recovery in production processes (recycling). Regarding the separate collection of cellulosic waste, it is important to distinguish the collection of packaging separately from other cellulosic waste (so-called "selective collection") from that in which both packaging and other materials are thrown into the same container (so-called "joint collection"). The former prevails in the collection of special waste, while the latter is typical of the separate collection of RSU (hereinafter, RDU).</w:t>
      </w:r>
    </w:p>
    <w:p>
      <w:r>
        <w:t>29. For the RSU collection service, users pay a fee (TIA/TARSU/TARES) directly to the service Manager. This fee is set by the competent Local Authority, based on the costs of the collection service.</w:t>
      </w:r>
    </w:p>
    <w:p>
      <w:r>
        <w:t>30. The fee paid by citizens is also intended to partially cover the costs of RDU. Current regulations indeed provide that the fee covers the difference between the costs of RDU and the revenues.</w:t>
      </w:r>
    </w:p>
    <w:p>
      <w:r>
        <w:t>19 The Tax for the disposal of urban solid waste (TARSU) was introduced by Legislative Decree No. 507/93 and is proportional to the disposal cost and the average waste production per unit of surface area. The Environmental Hygiene Fee (TIA) was introduced by Legislative Decree 22/97 and was applied simultaneously with TARSU. The TARES, Waste and Services Fee, falls within the interventions provided for in Legislative Decree 201 of December 6, 2011 (so-called Save Italy Decree) and was supposed to replace the Environmental Hygiene Fee (TIA) and the Tax for the disposal of Urban Solid Waste (TARSU), but its entry into force has always been postponed. It will be replaced by TA.RI., the application criteria of which are not yet known.</w:t>
      </w:r>
    </w:p>
    <w:p>
      <w:r>
        <w:rPr>
          <w:b/>
        </w:rPr>
        <w:t>[Pages 28–30]</w:t>
      </w:r>
    </w:p>
    <w:p>
      <w:r>
        <w:t>30 BULLETIN NO. 11 OF MARCH 17, 2014</w:t>
      </w:r>
    </w:p>
    <w:p>
      <w:r>
        <w:t>derived from (i) contributions received from the consortium of the supply chain - in the case of cellulosic waste, the consortium COMIECO (see infra) - as partial coverage of the higher costs of separate collection compared to unsorted collection and (ii) proceeds from any direct sale of waste to recyclers. As the consortium contributions or proceeds from the sale of waste in the market increase, therefore, the fee paid by citizens to cover the costs of separate collection will decrease, all else being equal.</w:t>
      </w:r>
    </w:p>
    <w:p>
      <w:r>
        <w:t>c) The COMIECO consortium system and the ANCI-Conai agreement</w:t>
      </w:r>
    </w:p>
    <w:p>
      <w:r>
        <w:t>31. Community and national regulations establish that all those who place finished packaging on the national market (mainly producers and importers of empty packaging as well as importers of packaged goods) must contribute to financing the separate collection, recovery, and reuse cycle of their packaging (so-called "producer responsibility"). To this end, packaging producers have established in Italy a complex consortium system - composed of CONAI - National Packaging Consortium and the "Supply Chain Consortia" for each specific type of material of which the packaging is composed (for paper waste, COMIECO). For each packaging material, CONAI and the Supply Chain Consortia establish an Environmental Contribution, which constitutes the main form of financing for their activities. The parties required to pay the Contribution are precisely those who share the "producer responsibility".</w:t>
      </w:r>
    </w:p>
    <w:p>
      <w:r>
        <w:t>20 For the TARSU, Article 61, paragraph 3, of Legislative Decree No. 507/93 provides that “[f]rom the cost [of the urban solid waste disposal service] […] a percentage share, corresponding to the ratio between the cost of disposal of internal waste and that relating to the disposal of waste referred to in Article 2, third paragraph, no. 3), of the decree of the President of the Republic of September 10, 1982, no. 915, the revenues from the recovery and recycling of waste in the form of energy or secondary raw materials shall be deducted, reduced by an amount equal to the tax reduction possibly recognized to the individual user pursuant to Article 67, paragraph 2.” For the TIA, Annex 1 to Legislative Decree 22/97 provides that in calculating the management costs of the separate collection cycle, the treatment and recycling costs are to be included “net of the proceeds from the sale of material and energy derived from waste.”</w:t>
      </w:r>
    </w:p>
    <w:p>
      <w:r>
        <w:t>21 Directive 94/62/EC of the European Parliament and of the Council, of December 20, 1994, on packaging and packaging waste and subsequent amendments: Directive 2004/12/EC of the European Parliament and of the Council, of February 11, 2004, Directive 2005/20/EC of the European Parliament and of the Council, of March 9, 2005, Directive 2008/98/EC of the European Parliament and of the Council on waste and repealing certain directives and Regulation (EC) No. 219/2009 of the European Parliament and of the Council, of March 11, 2009.</w:t>
      </w:r>
    </w:p>
    <w:p>
      <w:r>
        <w:t>22 Initially, Legislative Decree of February 5, 1997, No. 22 implementing directives 91/156/EEC on waste, 91/689/EEC on hazardous waste, and 94/62/EC on packaging and packaging waste: Ronchi Decree, subsequently repealed by Legislative Decree No. 152 of April 3, 2006 (Article 264), so-called Consolidated Environmental Act updated to Legislative Decree No. 205/2010. In particular, Article 178, bis, paragraph 2 of the TUA provides: “The extended producer responsibility for the product is applicable without prejudice to the responsibility for the management of waste referred to in Article 188, paragraph 1, and without prejudice to existing legislation concerning waste flows and specific products.”</w:t>
      </w:r>
    </w:p>
    <w:p>
      <w:r>
        <w:t>23 The CONAI system integrates with the activities of six Supply Chain Consortia: steel (Cna), aluminum (Cial), paper (COMIECO), plastic (Corepla), wood (Rilegno), and glass (Coreve).</w:t>
      </w:r>
    </w:p>
    <w:p>
      <w:r>
        <w:t>24 The National Consortium for the Recovery and Recycling of Cellulosic Packaging - COMIECO is a non-profit private law consortium established in 1998 under the repealed Legislative Decree No. 22/97 (so-called Ronchi Decree), aimed at rationalizing, organizing, guaranteeing, and promoting the recovery and recycling of cellulosic packaging, according to principles of transparency, efficiency, and in compliance with competition protection principles. In particular, the Consortium (Article 3 of the Statute) performs the function of rationalizing and organizing, regarding fiber-based packaging: a) the recovery of used packaging; b) the collection of secondary and tertiary packaging waste on private surfaces; c) the withdrawal of packaging waste and other cellulosic materials delivered to the public service, at the request of CONAI, in accordance with the agreements concluded by CONAI with local administrations; d) the recycling and recovery of packaging waste according to criteria of transparency, effectiveness, efficiency, and cost-effectiveness. Based on Article 3, paragraph 3 of the Statute, COMIECO also ensures the withdrawal and recycling of packaging waste coming from the separate collection carried out by the public service.</w:t>
      </w:r>
    </w:p>
    <w:p>
      <w:r>
        <w:t>BULLETIN NO. 11 OF MARCH 17, 2014 31</w:t>
      </w:r>
    </w:p>
    <w:p>
      <w:r>
        <w:t>32. To achieve consortium objectives and incentivize municipalities for separate collection, CONAI and ANCI, since 1999, have defined a framework agreement, aimed at supporting the increased burdens for the separate collection of packaging waste, ensuring the homogeneous growth of separate collection throughout the national territory and the start of recycling of collected materials. The municipalities that sign the agreements provided for by the Agreement transfer the urban waste collected separately to the Supply Chain Consortia and receive an economic compensation based on the quantity and quality of waste delivered to the Consortium.</w:t>
      </w:r>
    </w:p>
    <w:p>
      <w:r>
        <w:t>33. Pursuant to the ANCI-CONAI Agreement and the COMIECO Technical Annex 2009-2013 (point 2), municipalities or, on their behalf, the Urban Hygiene Service Managers, can choose, by December 31 of each year, whether to deliver to COMIECO entirely, partially, or not at all, the cellulosic waste from joint and selective RDU for the year starting from April 1 of the following year (to March 31 of the following year).</w:t>
      </w:r>
    </w:p>
    <w:p>
      <w:r>
        <w:t>34. In particular, since the Manager with the RDU can obtain both selective collection (only packaging) and joint collection (packaging and similar commodity fractions also called f.m.s.), they have the option to choose two modes of agreement with COMIECO. With Option 1, the Manager can deliver to COMIECO only the packaging waste (those from joint and/or selective RDU), marketing the remaining part of the RDU themselves. With Option 2, on the other hand, the Manager can deliver to COMIECO the entire joint collection (Option 2a) or the entire collection of paper waste (joint collection + selective collection, Option 2b). The options are summarized in the following scheme, which highlights (with the circle) for each of them the type of waste that the Manager transfers to COMIECO.</w:t>
      </w:r>
    </w:p>
    <w:p>
      <w:r>
        <w:t>Fig. 2: COMIECO agreement options</w:t>
      </w:r>
    </w:p>
    <w:p>
      <w:r>
        <w:t>Selective Joint</w:t>
        <w:br/>
        <w:t>Option 1a Packaging Packaging + f.m.s.</w:t>
        <w:br/>
        <w:t>Packaging + f.m.s.</w:t>
        <w:br/>
        <w:t>Packaging</w:t>
        <w:br/>
        <w:t>Option 1b</w:t>
        <w:br/>
        <w:t>Packaging</w:t>
        <w:br/>
        <w:t>Option 2a Packaging + f.m.s.</w:t>
        <w:br/>
        <w:t>Option 2b Packaging Packaging + f.m.s.</w:t>
      </w:r>
    </w:p>
    <w:p>
      <w:r>
        <w:t>25 The ANCI-CONAI Framework Agreement is provided for by Article 224, paragraph 5, of the TUA, according to which “CONAI may enter into a national framework program agreement with the National Association of Italian Municipalities (ANCI), with the Union of Italian Provinces (UPI), or with the Authorities of the area in order to ensure the implementation of the principle of shared management responsibility among producers, users, and public administrations.” The current ANCI-CONAI Agreement was signed on December 23, 2008, and is valid for five years from January 1, 2009. Negotiations are currently underway for the conclusion of the new framework agreement. An integral part of this Agreement are the Technical Annexes defined for each supply chain, which regulate the relationships between the municipalities adhering to the Agreement and the Supply Chain Consortia, defined through specific Agreements.</w:t>
      </w:r>
    </w:p>
    <w:p>
      <w:r>
        <w:t>26 See Article 2 of the COMIECO Technical Annex.</w:t>
      </w:r>
    </w:p>
    <w:p>
      <w:r>
        <w:t>32 BULLETIN NO. 11 OF MARCH 17, 2014</w:t>
      </w:r>
    </w:p>
    <w:p>
      <w:r>
        <w:t>35. Waste not delivered to COMIECO is recovered directly by the Manager through the market. Compared to Option 2b, the other options configure forms of more or less extensive recourse to the market for the transfer of paper waste.</w:t>
      </w:r>
    </w:p>
    <w:p>
      <w:r>
        <w:t>36. Conversely, for the cellulosic waste delivered to the Consortium, it is COMIECO that takes care of the recovery of the cellulosic waste, for which it compensates the Manager through:</w:t>
        <w:br/>
        <w:t>- a “full” compensation for a share of the packaging (so-called admitted selective collection as well as for 25% of the total joint collection);</w:t>
        <w:br/>
        <w:t>- a reduced compensation (equal to 33% of the full compensation) for the so-called non-admitted selective collection, that is, for the quantities of selective collection exceeding those admitted to the full contribution;</w:t>
        <w:br/>
        <w:t>- a compensation of €5/t for the f.m.s. contained in the joint collection (conventionally corresponding to 75% of the total volume of the joint collection), which is increased if the market value indicator of paper (the survey by the Chamber of Commerce of Milan of scrap type 1.01) exceeds a threshold value (€30/t).</w:t>
      </w:r>
    </w:p>
    <w:p>
      <w:r>
        <w:t>III.2. Activities downstream of collection: initiation of recovery, selection, and recovery of cellulosic waste</w:t>
      </w:r>
    </w:p>
    <w:p>
      <w:r>
        <w:t>a) Methods of initiation of recovery</w:t>
      </w:r>
    </w:p>
    <w:p>
      <w:r>
        <w:t>37. In the case of cellulosic waste derived from RDU and similar, the methods of initiation of recovery are decided by the collection Manager who can choose to transfer them to the COMIECO consortium system - which identifies the recovery platforms - or to sell them directly to recyclers.</w:t>
      </w:r>
    </w:p>
    <w:p>
      <w:r>
        <w:t>38. In the first scenario, the waste delivered to COMIECO is partially managed by it in an administered manner and, partially, placed on the market through competitive auctions organized by provincial lots. The administered management (pro-rata) concerned, until 2011, all waste delivered to COMIECO. Since May 2011, in fulfillment of the commitments made by COMIECO with the Authority following the I/730 procedure, 40% of the total waste delivered to the Consortium is sold on the market through auctions that, starting from 2012, have concerned both paper waste and already processed waste (so-called secondary raw material or m.p.s.).</w:t>
      </w:r>
    </w:p>
    <w:p>
      <w:r>
        <w:t>39. In the second scenario, the Manager's choice to withdraw part of the volumes of collected waste from the COMIECO system and place them on the market significantly influences the development of a market for the sale of cellulosic waste to recyclers (see infra section V on the relevant market).</w:t>
      </w:r>
    </w:p>
    <w:p>
      <w:r>
        <w:t>b) Selection and recovery: the production of pulps</w:t>
      </w:r>
    </w:p>
    <w:p>
      <w:r>
        <w:t>40. In selection and recovery plants, waste is transformed into pulp to be sold to paper mills. At the end of the selection and pressing operations (the cost of which varies depending on the level of selection chosen and the characteristics of the starting waste), the bales of waste</w:t>
      </w:r>
    </w:p>
    <w:p>
      <w:r>
        <w:rPr>
          <w:b/>
        </w:rPr>
        <w:t>[Pages 31–33]</w:t>
      </w:r>
    </w:p>
    <w:p>
      <w:r>
        <w:t>BULLETIN NO. 11 OF MARCH 17, 2014 33</w:t>
      </w:r>
    </w:p>
    <w:p>
      <w:r>
        <w:t>Recovered materials are sold by recyclers to paper mills as secondary raw materials (or secondary) – the so-called "macero". Macero is the most important raw material for the national paper industry: in 2009, about 60% of national paper production came from macero.</w:t>
      </w:r>
    </w:p>
    <w:p>
      <w:r>
        <w:t>41. There are different types of macero, identified by specific codes, whose standard characteristics are defined by the UNI EN 643 standard. These qualities of macero are derived from cellulosic waste of different types and origins. In particular, the basic quality of selected macero – selected mixed paper and cardboard (code 1.02) – comes from RDU; this is a lower quality type of macero but widely used due to its economic convenience. Other higher quality types of macero come from the collection of packaging (macero 1.0432, 1.0533, kraft34) and thus, mainly, from the collection of special waste. Even the best qualities of macero from non-packaging paper waste35 mostly come from special waste36.</w:t>
      </w:r>
    </w:p>
    <w:p>
      <w:r>
        <w:t>42. The main types of macero have consistently different prices, as shown in the following graph, which illustrates the trend from January 2010 to the present of the prices of the main grades of ordinary macero, recorded by the Chamber of Commerce of Milan37: 1.01 (line 120 of the price list), 1.02 (line 130), 1.04 (line 145), 1.05 (line 150), 1.11 (line 162).</w:t>
      </w:r>
    </w:p>
    <w:p>
      <w:r>
        <w:t xml:space="preserve">32 Macero from paper and cardboard from supermarkets.  </w:t>
        <w:br/>
        <w:t xml:space="preserve">33 Macero from old corrugated containers.  </w:t>
        <w:br/>
        <w:t xml:space="preserve">34 Cellulosic material characterized by high strength.  </w:t>
        <w:br/>
        <w:t xml:space="preserve">35 Unsold newspapers, printed offcuts, white paper, selected office paper, various white papers without wood pulp, as well as graphic paper to be deinked, from which a higher quality type of ordinary macero (1.11) is derived.  </w:t>
        <w:br/>
        <w:t xml:space="preserve">36 The production of such macero at low selection costs indeed requires access to higher quality paper waste, mainly found in businesses and offices; some qualities (e.g., deinking paper) can also be obtained from urban mixed collection from assimilated customers, but at higher selection costs.  </w:t>
        <w:br/>
        <w:t>37 The CCIAA of Milan publishes monthly the minimum and maximum prices of various grades of macero. These prices provide the starting point for negotiations not only between recyclers and paper mills but also between producers of cellulosic waste and recyclers.</w:t>
      </w:r>
    </w:p>
    <w:p>
      <w:r>
        <w:t>34 BULLETIN NO. 11 OF MARCH 17, 2014</w:t>
      </w:r>
    </w:p>
    <w:p>
      <w:r>
        <w:t xml:space="preserve">Fig. 3: Trend of average prices of the main types of ordinary macero, 2010-2014  </w:t>
        <w:br/>
        <w:t>Source: COMIECO Price Observatory</w:t>
      </w:r>
    </w:p>
    <w:p>
      <w:r>
        <w:t>The most common types of macero are the ordinary ones, among which macero 1.02 (selected mixed paper and cardboard, accounting for about 26% of the macero purchased by paper mills) and macero 1.05 (old corrugated containers, accounting for about 34%) prevail.</w:t>
      </w:r>
    </w:p>
    <w:p>
      <w:r>
        <w:t>43. Over 80% of macero is now purchased on the free market or through the auctions of secondary raw materials organized by COMIECO.</w:t>
      </w:r>
    </w:p>
    <w:p>
      <w:r>
        <w:t>III.3. The cellulosic waste supply chain in the areas served by HERA</w:t>
      </w:r>
    </w:p>
    <w:p>
      <w:r>
        <w:t>44. HERA provides urban waste management services – and, in particular, the separate collection of cellulosic waste – in all municipalities of the Provinces of Forlì-Cesena and Ravenna, in most of the Provinces of Modena, Bologna, and Rimini, and in the municipality of Ferrara.</w:t>
      </w:r>
    </w:p>
    <w:p>
      <w:r>
        <w:t>45. In the Provinces of Emilia-Romagna where HERA operates, there are some "minor" Managers: Geovest (Manager of urban hygiene services in 11 municipalities of the Provinces of Bologna and Modena, in which it is a shareholder) and Cosea (Manager of urban hygiene services in 24 municipalities located in the territory of the Tuscan-Emilian Apennines, 17 in the province of Bologna and 7 in the province of Pistoia, in which it is a shareholder) in the province of Bologna, AIMAG S.p.a. and Geovest in the province of Modena, C.M.V. Servizi S.r.l., Area S.p.A. and Soelia S.p.A. in the province of Ferrara.</w:t>
      </w:r>
    </w:p>
    <w:p>
      <w:r>
        <w:t>46. In 2012, the Hera group collected in the considered Provinces approximately [150-200,000]38 tons of cellulosic waste, accounting for [40-50%] of the total cellulosic collection (RS+RDU) in the Provinces served by HERA. About [60-70%] of the cellulosic waste collected by HERA consists of "mixed collection" (approximately 107,000 t). The mixed collection managed by HERA represents, in turn, over 80% of the entire offer of cellulosic waste from mixed collection in the affected Provinces.</w:t>
      </w:r>
    </w:p>
    <w:p>
      <w:r>
        <w:t>47. The recovery of cellulosic waste in the areas where HERA operates is carried out mainly by 23 sorting platforms – 5 of which belong to the Hera group – spread across all the provinces of Emilia-Romagna. The processing capacity for cellulosic waste in these areas is over 680,000 tons per year. This capacity is largely excess compared to the amount of cellulosic waste currently collected.</w:t>
      </w:r>
    </w:p>
    <w:p>
      <w:r>
        <w:t>48. The waste collected by HERA has been recovered predominantly (about 2/3) in plants of the group, managed by the subsidiary Akron, as well as at some third-party platforms (approximately [10-50,000] tons/year): CBRC, Fini, Passerini, Marchesini, Bandini-Casamenti, Il Solco. Akron operates through 5 plants: Modena, Ferrara, Mordano (near Imola, in the province of Bologna), Coriano (RN), and Voltana (RA).</w:t>
      </w:r>
    </w:p>
    <w:p>
      <w:r>
        <w:t>49. Akron is in the process of constructing a plant in Granarolo dell’Emilia (BO), the project for which was developed during 2010-1139 and whose commissioning is expected in the first months of 2014. The plant is intended to provide logistical coverage in the Bologna area for all waste resulting from the separate collections carried out by the urban hygiene service manager as well as for special waste. The capacity of the Granarolo plant40 will be able to fully meet the processing needs of cellulosic RDU in the Bologna area. The commissioning of the Granarolo plant fills a plant deficiency of Akron in the Bologna area but is intended to increase the overall excess processing capacity of paper waste in that area41.</w:t>
      </w:r>
    </w:p>
    <w:p>
      <w:r>
        <w:t>IV. THE INSTRUCTION RESULTS</w:t>
      </w:r>
    </w:p>
    <w:p>
      <w:r>
        <w:t>IV. 1. The options for agreements with COMIECO chosen by HERA since the end of 2010</w:t>
      </w:r>
    </w:p>
    <w:p>
      <w:r>
        <w:t>50. In 2009 and 2010, HERA fully entrusted to COMIECO the mixed and selective collection allowed (option 2b). At the end of December 2010, HERA informed COMIECO of its intention to partially exit the agreement regime it had previously adhered to, due to the greater convenience of free market conditions. In 2011, 2012, and 2013, HERA entrusted COMIECO, everywhere, with the "allowed" selective collection and, only in the province of Forlì and in the municipalities of Ferrara and Rimini, also the packaging extracted from the mixed collection42 and directed, in all areas where it is the Manager, the mixed collection to the free market, transferring it to Akron (option 1).</w:t>
      </w:r>
    </w:p>
    <w:p>
      <w:r>
        <w:t xml:space="preserve">39 See docs. 63 and 64.  </w:t>
        <w:br/>
        <w:t xml:space="preserve">40 See doc. 1, annex 17/B.  </w:t>
        <w:br/>
        <w:t xml:space="preserve">41  </w:t>
        <w:br/>
        <w:t>42 In the following year (2012-2013), only in Bologna did it confer only the allowed selective collection and in the rest of the managed territories it conferred both the allowed selective collection and the cartons extracted from the mixed collection. See doc. 320.</w:t>
      </w:r>
    </w:p>
    <w:p>
      <w:r>
        <w:rPr>
          <w:b/>
        </w:rPr>
        <w:t>[Pages 34–36]</w:t>
      </w:r>
    </w:p>
    <w:p>
      <w:r>
        <w:t>36 BULLETIN NO. 11 OF MARCH 17, 2014</w:t>
      </w:r>
    </w:p>
    <w:p>
      <w:r>
        <w:t>IV.2. The direct and complete conferment of cellulosic waste to Akron through HERAmbiente</w:t>
      </w:r>
    </w:p>
    <w:p>
      <w:r>
        <w:t>IV.2.1. The Hera group's strategy for the conferment of waste to Akron</w:t>
      </w:r>
    </w:p>
    <w:p>
      <w:r>
        <w:t>a) The conferment of waste to Akron</w:t>
      </w:r>
    </w:p>
    <w:p>
      <w:r>
        <w:t>51. The conduct of the Hera group, at the center of this investigation, consists of the direct conferment, by HERA to HA and, ultimately, to Akron of cellulosic waste from urban separate collection removed from the COMIECO system through the exercise of Option 1 in the years 2011, 2012, and 2013.</w:t>
      </w:r>
    </w:p>
    <w:p>
      <w:r>
        <w:t>52. The management of waste not conferred to COMIECO has occurred based on the internal rules of the Hera group. The disposal/recovery of all waste, including cellulosic waste, within the Hera group is managed by HA based on what is provided for in an Intercompany Agreement (referred to as 8C) whose subject also includes the management of relations with CONAI and the sale of differentiated waste with market value. For this purpose, [omissis].</w:t>
      </w:r>
    </w:p>
    <w:p>
      <w:r>
        <w:t>53. The contract provides that, in return for the services provided (treatment, recovery, and disposal), HA is compensated by HERA with fees quantified in a specific appendix of the contract.</w:t>
      </w:r>
    </w:p>
    <w:p>
      <w:r>
        <w:t>54. In implementation of what is provided in the intercompany agreement (8C), two contracts have been entered into which provide, on the one hand, for the direct transfer of cellulosic waste from HERA to HA and, on the other hand, for the transfer of the same from HA to Akron for processing and sale as pulp to paper mills.</w:t>
      </w:r>
    </w:p>
    <w:p>
      <w:r>
        <w:t>55. The following table shows the evolution of the quantities of cellulosic RDU conferred by Hera to COMIECO and transferred to HA and then to Akron between 2010 and 2012.</w:t>
        <w:br/>
        <w:t>Tab. 1 Distribution of cellulosic RDU collected by HERA between COMIECO and Akron</w:t>
        <w:br/>
        <w:t>[OMISSIS]</w:t>
        <w:br/>
        <w:t>Source: Data from Akron and COMIECO.</w:t>
      </w:r>
    </w:p>
    <w:p>
      <w:r>
        <w:t>56. The direct conferment of cellulosic waste to Akron has been confirmed by the elements collected during the investigation and has not been denied in any way by the companies of the Hera group which, on the contrary, have justified their choice, as will be seen later, based on a rational strategy of a vertically integrated group.</w:t>
      </w:r>
    </w:p>
    <w:p>
      <w:r>
        <w:t>57. During the inspection, a representative of HA stated: “Finally, regarding the direct conferment from HERA to HERAmbiente and from the latter to AKRON of the paper from RD of MSW, the company has such waste as they are owned by the parent company that manages the collection under concession. It is then AKRON that operates in the recovery market in competition with other operators.”</w:t>
      </w:r>
    </w:p>
    <w:p>
      <w:r>
        <w:t>58. No form of publicity is provided for the options for the agreement of the Managers with COMIECO, and therefore, the recovery platforms potentially interested in acquiring the cellulosic waste sold on the "free market" become aware of the availability of such waste only if invited to submit an offer for the purchase by the Manager itself, or in the case of the publication of a tender or, in fact, if the conferment of waste undergoes changes compared to the previous year and is redirected to other market operators. CBRC itself confirmed that it learned that the conferment had occurred in favor of Akron (both in 2011, 2012, and 2013) when the latter company asked CBRC to work on its behalf, in the Bologna area, on certain quantities of urban cellulosic separate collection.</w:t>
      </w:r>
    </w:p>
    <w:p>
      <w:r>
        <w:t>b) The HERA group's strategy to replace Akron with COMIECO</w:t>
      </w:r>
    </w:p>
    <w:p>
      <w:r>
        <w:t>59. From the documentation acquired during the inspection, it emerged that HERA chose the options for the agreement with COMIECO in such a way as to exploit the profitability of the sale on the market of differentiated cellulosic waste intended for the production of pulp, in order to maximize the overall revenues of the group. The documents found at HERA testify to internal presentations within the group regarding a transition from an "current" model, in place in 2010, to a model to be realized in the future. In the model in place in 2010, HERA, as the Manager of the urban hygiene service, conferred paper waste from RDU indiscriminately to Akron and to other platforms of third-party operators (such as the reporting CBRC) within the COMIECO consortium mechanism. From what emerges from the inspection documents, the new model that the Hera group aims to achieve provides, exactly in line with what has occurred, for a commercial contract between HERA and HA, in which the latter manages both the relations with Akron in the areas where its plants are located, and with third-party platforms where there are no group plants, and then, Akron markets the pulp produced not only from its plants but also on behalf of third parties from other recoverers. In this latter case, the third-party platforms, downstream of the selection, return the pulp to HA/Akron which sells it to the paper mills.</w:t>
      </w:r>
    </w:p>
    <w:p>
      <w:r>
        <w:t>60. In a document from February 2011, therefore, just before the change of agreement with COMIECO, the Board of Directors of HA examined and approved the project "Management of paper from separate collection and related operational model with Akron S.p.A." which was to begin on April 1, 2011, granting the CEO the mandate to define the related agreements with HERA, with Akron, and with third-party platforms. In this regard, in that meeting, the Head of Development Initiatives, Planning, and Control of HA stated: “highlights [..] that Herambiente has proposed itself as a market interlocutor to fully manage the paper cycle of Hera Spa, negotiating directly with the latter a price for the transfer of the paper [..].” (emphasis added).</w:t>
      </w:r>
    </w:p>
    <w:p>
      <w:r>
        <w:t>61. From a strategic point of view, therefore, HA identifies Akron as a substitute for COMIECO in the management of paper waste collected by the group. The premise for this substitution is necessarily represented by the availability of urban cellulosic waste by the parent company HERA, as the Manager.</w:t>
      </w:r>
    </w:p>
    <w:p>
      <w:r>
        <w:t>62. The aim of this strategy is the internalization of the profits from the sale of the pulp obtained from the unapproved joint and separate collection. In fact, the sale to Akron (rather than to external platforms) of the cellulosic waste collected by HERA allows the group to appropriate the revenues derived from the commercialization of the pulp obtained from such waste. Conversely, in the COMIECO system, Akron, like the other contracted recoverers, is compensated exclusively for the selection service rendered to the paper mills.</w:t>
      </w:r>
    </w:p>
    <w:p>
      <w:r>
        <w:t>63. In particular, the strategy of the Hera group has aimed to directly manage all its flows of joint collection and, therefore, the related pulp, including those from areas where the group's plant endowment was lacking (such as in the Bologna area). In such areas, in fact, Akron has contracted, on a processing account, the platforms of competitors. In this way, the Hera group has centralized the marketing of pulp with the paper mills, managing high volumes that were previously intermediated by the COMIECO consortium system.</w:t>
      </w:r>
    </w:p>
    <w:p>
      <w:r>
        <w:t>c) The consequences of the change of option on the quantities acquired by Akron and the relations with third-party platforms</w:t>
      </w:r>
    </w:p>
    <w:p>
      <w:r>
        <w:t>64. With HERA's transition from option 2 to option 1 – and thus with the exit from the COMIECO circuit of the joint collection – the quantity purchased monthly by Akron increased by approximately [omissis]%, rising from just over [omissis] to over [omissis] tons per month. In 2010, under the COMIECO regime, Akron processed for the paper mills approximately [omissis] tons/year. Starting from 2011, however, Akron took over the management of all joint collection and the unapproved separate collection from Hera, for a total of approximately [omissis] tons/year. These waste were partially processed in its own plants, and partially processed by competitors on a third-party basis (approximately [40-50,000] tons/year). The pulp obtained from such waste was then entirely marketed by Akron.</w:t>
      </w:r>
    </w:p>
    <w:p>
      <w:r>
        <w:rPr>
          <w:b/>
        </w:rPr>
        <w:t>[Pages 37–39]</w:t>
      </w:r>
    </w:p>
    <w:p>
      <w:r>
        <w:t>BULLETIN NO. 11 OF MARCH 17, 2014 39</w:t>
      </w:r>
    </w:p>
    <w:p>
      <w:r>
        <w:t>65. As seen in the section regarding the paper supply chain, the joint RDU represents the necessary input to produce pulp 1.02. The exclusive access to this input in the areas served by HERA has allowed Akron to position itself as a privileged interlocutor for paper mills, capable of putting them in competition for the purchase of its pulp. This is also evident from a letter sent by Akron to several paper mills in February 2013 inviting them to submit purchase offers for the pulp produced from HERA's joint collection.</w:t>
      </w:r>
    </w:p>
    <w:p>
      <w:r>
        <w:t>IV.2.2. Akron's offers for HERA's RDU waste and the available alternatives</w:t>
      </w:r>
    </w:p>
    <w:p>
      <w:r>
        <w:t>a) The offers received by HERA for 2011-2012</w:t>
      </w:r>
    </w:p>
    <w:p>
      <w:r>
        <w:t>66. In anticipation of the change in the COMIECO agreement option, HERA at the end of 2010 examined three proposals from third-party recyclers (CONAPI, Ricicla, and Progetto Interporto) for the purchase/management of all the joint collection of the Hera group at the regional level, which had until then been delivered to COMIECO.</w:t>
      </w:r>
    </w:p>
    <w:p>
      <w:r>
        <w:t>67. HA, in a document dated November 15, 2010, expressed its concerns about the three "market" options, contrasting them with the solution of transferring to the subsidiary Akron. This solution was accepted, and thus all paper waste collected by HERA was managed within the group, entrusting third-party platforms with the quantities that Akron's plants were unable to process.</w:t>
      </w:r>
    </w:p>
    <w:p>
      <w:r>
        <w:t>68. The price conditions agreed between HERA/HA and Akron referenced the CONAPI offer, which was improved by Akron (which offered a spread of [omitted] €/t instead of the 7.5€/t offered by CONAPI) without CONAPI being given the same opportunity.</w:t>
      </w:r>
    </w:p>
    <w:p>
      <w:r>
        <w:t>b) The HA/Akron offer for the years 2012-2013 and 2013-2014</w:t>
      </w:r>
    </w:p>
    <w:p>
      <w:r>
        <w:t>69. The documentation in the case records shows that, starting from 2012, the Hera group never again considered the possibility of conducting a competitive comparison for the sale of the paper from joint collection that it had decided not to deliver to COMIECO.</w:t>
      </w:r>
    </w:p>
    <w:p>
      <w:r>
        <w:t>70. Comments regarding the content of CBRC's offer are found in the records only ex post (July 2012) when the Hera group, following CBRC's appeal before the Regional Administrative Court of Emilia Romagna, faced the issue of how to set up the defense in court. In this circumstance, the Legal Office of HERA wrote to the Head of Quality Recovered Materials and Urban Waste Market of HA asking, for defensive purposes, whether CBRC's offer to HERA was better or not than the price paid by HA/Akron for such cellulosic waste (since the hypothesis of a worse offer would have helped the group to defend its actions). In response to this question, the Head of HA stated that CBRC's offer, on one hand, was based on an incorrect assumption because it considered the return to HERA of the packaging to obtain the full COMIECO contribution, which did not correspond to the Manager's agreement option in the Bologna area for that year and, on the other hand, revealing the "strategic" motivation for the choice, highlighted that there was no reason for HERA to attribute a significant production value ([omitted] euros) to third parties, having all the plant capacities to manage that phase within the group, to the full advantage of the consolidated balance sheet of the parent company.</w:t>
      </w:r>
    </w:p>
    <w:p>
      <w:r>
        <w:t>71. Only at the end of 2012, within the Hera group, a legal in-depth analysis was conducted regarding the necessity to conduct a tender for the transfer of cellulosic waste pursuant to the public contracts code. The outcome of the analysis indicated that there was no obligation to tender as HERA would not act as a contracting authority, nor as a contracting entity. From the documentation in the case records, it emerges that at no time contemporaneous with the decisions to entrust all the joint and selective collection to Akron, at the end of 2010, 2011, and 2012, was the issue of placing the waste on the "free market" addressed within the Hera group, with reference to the possible competitive implications that it could present.</w:t>
      </w:r>
    </w:p>
    <w:p>
      <w:r>
        <w:t>72. Neither for the year 2012-2013, nor for the following year did the Hera group conduct any comparison with possible alternative offers on the market, not even informally as had occurred the previous year. The full transfer to Akron thus occurred directly in execution of the group's strategy described above.</w:t>
      </w:r>
    </w:p>
    <w:p>
      <w:r>
        <w:t>73. In the transition from the first year of intra-group sales of the joint collection to the following years, the Hera group's strategy seems to have increasingly delineated in the sense of: (i) granting Akron particularly advantageous purchase prices for the paper collected by HERA and (ii) in the relationship between HA and Akron, leaving Akron the entire margin derived from the marketing of the pulp produced from HERA's RDU.</w:t>
      </w:r>
    </w:p>
    <w:p>
      <w:r>
        <w:t>74. The agreement for the year 2012-13 appears, in fact, to have significantly reduced the margins that the previous year had been allocated to the parent company, transferring a good part to AKRON. The new agreement, while following the general lines (and in particular, in the identification of different prices based on the trend of the quotation of line 120 of the CCIAA of Milan, quotation of pulp 1.01) of the previous year, provides, depending on the cases, (slightly) better prices than those of COMIECO, equal prices, or even lower prices than those that HERA could have obtained from COMIECO. In addition to the more advantageous price, the 2012-2013 agreement also included other more favorable conditions for Akron compared to the previous year, including, in particular, the elimination of the fees in favor of HA provided for in the contract the previous year.</w:t>
      </w:r>
    </w:p>
    <w:p>
      <w:r>
        <w:t>75. In the hearing, HA representatives argued that the improvement in the conditions for the transfer of paper to Akron would have been the result of a compromise in the negotiation that involved both the transfer of paper waste and plastic waste. With reference to the pricing formula for cellulosic waste, HA stated that it had agreed to grant Akron a higher remuneration for higher but less likely quotations of pulp 1.01 in exchange for coverage against price risk for any downward fluctuations of that index.</w:t>
      </w:r>
    </w:p>
    <w:p>
      <w:r>
        <w:t>76. For the year 2013-14, the contractual conditions agreed between HERA and HA and between HA and Akron are identical to those of the previous year, evidently representing a point of equilibrium among the various needs within the group.</w:t>
      </w:r>
    </w:p>
    <w:p>
      <w:r>
        <w:rPr>
          <w:b/>
        </w:rPr>
        <w:t>[Pages 40–42]</w:t>
      </w:r>
    </w:p>
    <w:p>
      <w:r>
        <w:t>42 BULLETIN NO. 11 OF MARCH 17, 2014</w:t>
      </w:r>
    </w:p>
    <w:p>
      <w:r>
        <w:t>c) The alternatives available to HERA in the years 2012-2013 and 2013-2014</w:t>
      </w:r>
    </w:p>
    <w:p>
      <w:r>
        <w:t>77. As mentioned above, the Hera group starting from 2012 did not consider any possible alternative to the direct and complete conferment to Akron, which represented the implementation of the group's strategy under economically satisfactory conditions for the various companies of the group itself. However, the decision to favor Akron by excluding competitors from access to waste from joint collection and, therefore, from the market for recycled paper forced HERA to sacrifice alternative sales of waste on the market that would have allowed maximizing revenue from the initiation of recovery of collected waste and, with it, the amount to be deducted from the costs of the service remunerated in tariff.</w:t>
      </w:r>
    </w:p>
    <w:p>
      <w:r>
        <w:t>78. In this regard, on one hand, for the Bologna area, HERA in 2012 and 2013 received an offer from CBRC for the purchase of joint collection that was better than that of HA/Akron, as will be better seen in the following paragraphs. On the other hand, selling to the highest bidder – through lots of waste from joint collection and selective collection not allowed – would have allowed HERA to obtain more than what was achieved with the intra-group sale, as evidenced by the experiences of smaller Managers (Geovest and Cosea), operating in some of the Provinces where HERA is active.</w:t>
      </w:r>
    </w:p>
    <w:p>
      <w:r>
        <w:t>1. The offers from CBRC for the years 2012-13 and 2013-14 and the comparison with the Akron offer</w:t>
      </w:r>
    </w:p>
    <w:p>
      <w:r>
        <w:t>The year 2012-2013</w:t>
      </w:r>
    </w:p>
    <w:p>
      <w:r>
        <w:t>79. In 2012, CBRC stated that it decided to submit its purchase offer to HERA in the last days of March 2012, before the start of the annual period April 1, 2012 - March 31, 2013, to avoid favoring Akron as it believed had happened the previous year with the CONAPI offer, of which CBRC had been the promoter.</w:t>
      </w:r>
    </w:p>
    <w:p>
      <w:r>
        <w:t>80. The CBRC offer for 2012-2013 was made only for the part of joint collection corresponding to the f.m.s. (75% of the total), on the assumption that the remaining 25% of the joint collection (the packaging) could be sold by HERA to COMIECO, obtaining the maximum compensation provided for selective collection for 2012-2013 (i.e., €93.09/t). For the f.m.s., CBRC offered to pay HERA the entire value of the wholesale price quotation for recycled paper line 120 of the CCIAA of Milan, recycled paper 1.01. As shown in the following figure, at least for quotations of recycled paper 1.01 above €11/t, the CBRC offer for the part corresponding to the only f.m.s. was better than both the determination of the COMIECO compensation and the price set in the intra-group agreement between HA/Akron and HERA.</w:t>
      </w:r>
    </w:p>
    <w:p>
      <w:r>
        <w:t>Fig. 4: Comparison between Akron and CBRC offers and COMIECO compensation for the f.m.s., 2012-2013</w:t>
      </w:r>
    </w:p>
    <w:p>
      <w:r>
        <w:t>[OMISSIS]</w:t>
      </w:r>
    </w:p>
    <w:p>
      <w:r>
        <w:t>Source: Authority elaborations</w:t>
      </w:r>
    </w:p>
    <w:p>
      <w:r>
        <w:t>74 The experience also appears to be shared by Managers operating in other Regions, e.g., the Provincial Consortium of Brianza Milanese organized a tender in December 2012 for the sale of waste from the joint collection of paper and cardboard in Monza and Seregno, to be awarded based on the spread offered compared to the quotation of recycled paper 1.01.</w:t>
      </w:r>
    </w:p>
    <w:p>
      <w:r>
        <w:t>75 It is not specified in the proposal which month's value was the average, but it can be presumed that it was that preceding the conferment.</w:t>
      </w:r>
    </w:p>
    <w:p>
      <w:r>
        <w:t>BULLETIN NO. 11 OF MARCH 17, 2014 43</w:t>
      </w:r>
    </w:p>
    <w:p>
      <w:r>
        <w:t>81. However, the COMIECO agreement chosen by HERA in the Bologna area did not provide for the return to COMIECO of the packaging contained in the joint collection. Consistently with this, the price agreed by HERA with Akron also included the remuneration of the part of joint collection constituted by the packaging (conventionally indicated as 25% of the total). To adequately compare the two offers (CBRC and Akron), it is therefore necessary to integrate the CBRC offer with an assumption about the price that HERA could have obtained by offering the packaging derived from the joint collection on the market. In the following figure, a realistic assumption was considered that HERA could sell the packaging at the quotation of recycled paper 1.05 – "Corrugated containers".</w:t>
      </w:r>
    </w:p>
    <w:p>
      <w:r>
        <w:t>Fig. 5: Comparison of COMIECO compensation and Akron and CBRC offers for joint collection, 2012-2013</w:t>
      </w:r>
    </w:p>
    <w:p>
      <w:r>
        <w:t>[OMISSIS]</w:t>
      </w:r>
    </w:p>
    <w:p>
      <w:r>
        <w:t>Source: Authority elaborations</w:t>
      </w:r>
    </w:p>
    <w:p>
      <w:r>
        <w:t>82. From the previous comparison, it emerges that the CBRC offer would have been better than that of Akron for reference quotation values above €21/t. It is worth noting that, in light of the actual quotations that occurred (ex-post comparison), the CBRC offer, with the marketing of the packaging returned by CBRC, would have allowed HERA a total revenue higher than the Akron offer. On average, in the period April 2012 – March 2013, the difference would have been over €12/t and would have more than compensated for any incremental management costs necessary to organize the sale of the recycled paper derived from the packaging, which the Parties highlighted in their final memorandum.</w:t>
      </w:r>
    </w:p>
    <w:p>
      <w:r>
        <w:t>The year 2013-2014</w:t>
      </w:r>
    </w:p>
    <w:p>
      <w:r>
        <w:t>83. For the year 2013/2014, CBRC, after the initiation of the present proceedings, again submitted a purchase proposal to HERA, for the Bologna area, similar to that of the previous year in terms of tolerated impurities (3%), but this time explicitly offering the equivalent of the COMIECO compensation for the cartons recoverable from the joint collection (€94.95/t for 25% of the volume). Therefore, in the comparison between the CBRC offer for 2013 and the Akron offer for the same year, the only difference is represented by the price offered for the purchase of the f.m.s. Ex-ante, therefore, the CBRC offer for 2013-14 guarantees HERA higher revenues than that of Akron for all quotations of recycled paper 1.01 above €11/t. Given that since January 2010, the average quotation of recycled paper 1.01 has never fallen below €30/t and has reached this minimum level only in 3 months (January 2010, November-December 2011), the actual risk to which HERA would have been exposed in the event of acceptance of the CBRC offer appears to be decidedly contained.</w:t>
      </w:r>
    </w:p>
    <w:p>
      <w:r>
        <w:t>84. To this proposal, HERA responded through HA on April 19, 2013, arguing that the CBRC offer was still unacceptable as it did not take into account the fact that impurities in the Bologna area for the year 2012 had been above 3% and equal to 6.20% and, in any case, it was late as it arrived on March 29, 2013, regarding a service that began on April 1, 2013. Furthermore, in HA's opinion, the CBRC proposal regarding the cartons contained in the joint collection that, in the Bologna area, could not be returned to COMIECO would still have been ambiguous.</w:t>
      </w:r>
    </w:p>
    <w:p>
      <w:r>
        <w:t>2. The sales made by Geovest and Cosea</w:t>
      </w:r>
    </w:p>
    <w:p>
      <w:r>
        <w:t>85. The company Geovest entrusted through a competitive comparison the volumes of urban joint collection of cellulosic waste in the year 2012-2013 (about 6000 tons) with a tender held in December 2011. The tender was awarded to the company Fini S.r.l. which offered €10/ton above the average quotation of line 120 of the CCIAA for the month preceding the conferment and a minimum price not lower than €40/ton on 100% of the delivered volumes. The company estimated that it obtained approximately €100,000 more than COMIECO for the first 9 months of contract implementation. Based on the available information, these revenues were fully deducted from the costs recognized in the tariff.</w:t>
      </w:r>
    </w:p>
    <w:p>
      <w:r>
        <w:t>86. Cosea, also in March 2012, for 2013-2014, put out to tender all volumes identified as joint collection derived from urban separate collection for which it had opted, already in December 2012, to exit the agreement with COMIECO (about 4000 tons in total for the months from April 1 to December 31, 2013).</w:t>
      </w:r>
    </w:p>
    <w:p>
      <w:r>
        <w:t>87. The tender was awarded based on the criterion of the economically most advantageous offer, taking into account the purchase price of the waste offered – which, in any case, should not have been less than €30/t – the transportation costs conventionally calculated by COSEA and the loading and unloading times. The purchase price was calculated as the sum of the quotation of recycled paper from the CCIAA of Milan and a spread. The subject of the tender was the spread and the minimum purchase price. Four offers were submitted by as many recovery companies, and the winning company was Dife S.p.A. which offered a spread of €34/t and €33/t for the two lots of joint collection.</w:t>
      </w:r>
    </w:p>
    <w:p>
      <w:r>
        <w:t>88. In conclusion, from the results of the competitive comparisons carried out by Geovest and Cosea, it emerges that the offers of the winning bidders, including spreads and minimum prices, are undoubtedly better than the price offered by Akron to HERA. This further confirms that the total renunciation to organize a competitive comparison based on the revelation of its preferences, in favor of its subsidiary, deprived HERA of revenues higher than those actually obtained.</w:t>
      </w:r>
    </w:p>
    <w:p>
      <w:r>
        <w:rPr>
          <w:b/>
        </w:rPr>
        <w:t>[Pages 43–45]</w:t>
      </w:r>
    </w:p>
    <w:p>
      <w:r>
        <w:t>BULLETIN NO. 11 OF MARCH 17, 2014 45</w:t>
      </w:r>
    </w:p>
    <w:p>
      <w:r>
        <w:t>d) The position of the parties on CBRC's offer and the outcomes of the auctions held by Geovest and Cosea</w:t>
      </w:r>
    </w:p>
    <w:p>
      <w:r>
        <w:t>89. The Parties expressed their position on the comparisons mentioned above both in their submissions and during the final hearing. On none of these occasions did the Parties contest the outcome of the comparisons, both with regard to CBRC's offer and the results obtained by Geovest and Cosea. In other words, the fact that the three considered offers were more advantageous than that presented by Akron was not called into question. Rather, according to the parties, “the three cases […] are characterized by contractual and economic elements such that they cannot be validly taken as a reference for the market price.”</w:t>
      </w:r>
    </w:p>
    <w:p>
      <w:r>
        <w:t>90. The Parties argue both general arguments aimed at contesting the validity and significance of all three comparisons, as well as specific arguments. Regarding the general arguments, the parties first note that all three offers pertain to geographical areas and volumes of limited size (approximately 23,000 t/year in the Bologna area for CBRC, 4,000 t/year for Dife, and 25,900 t/year for Fini) rather than the entire collection of cellulosic waste of HERA (approximately 120,000 t/year) to which Akron's offer was directed. That said, the parties justify the fact that Akron's offer was less advantageous for HERA by invoking “diseconomies of scale” that would allow for a higher price for smaller lot sizes since “(a) the risks associated with ensuring the continuity of operation of the plants are lower; (b) it is easier to place the volumes on the downstream market; (c) the financial commitment is lower.”</w:t>
      </w:r>
    </w:p>
    <w:p>
      <w:r>
        <w:t>91. On this point, it must be noted that the argument only confirms the existence of more efficient solutions for HERA than the intra-group one that the company chose, which could prevail only because HERA itself did not conduct any competitive comparison. In fact, it is the Parties themselves who highlight that the assignment of paper for smaller lots would have allowed for the exploitation of economies that are even specifically listed (lower risks arising from the need to ensure the continuity of operations, greater ease of placing the product on the downstream market, lower financial commitment) and that could have been transferred to the price offered to HERA for the cellulosic waste in the event of a competitive comparison.</w:t>
      </w:r>
    </w:p>
    <w:p>
      <w:r>
        <w:t>92. A second general argument aimed at contesting the significance of the comparisons between the price offered by Akron for cellulosic waste from urban mixed collection and the alternatives available on the market is based on the assumption – supported by the Parties – that citizens-users would have no legally qualified expectation that the Manager of the urban collection service would deduct amounts greater than the COMIECO fee from the service costs, considering that it is at its discretion whether to join the Consortium or not. In this perspective, the only truly relevant comparison would be, according to the parties, that between the remuneration guaranteed by Akron and that obtainable from COMIECO, and, in this respect, nothing could be reproached to HERA since in the three years in which it chose to sell cellulosic waste from urban mixed collection to Akron (2011, 2012, and 2013) the company deducted approximately 1.5 million euros more from the collection service costs compared to the COMIECO fee.</w:t>
      </w:r>
    </w:p>
    <w:p>
      <w:r>
        <w:t>93. In this regard, it should first be noted that the behaviors subject to this proceeding were adopted by HERA and HA after deciding to leave the agreement with COMIECO, a decision that amounts to having chosen to subject themselves to the functioning of the market and its rules.</w:t>
      </w:r>
    </w:p>
    <w:p>
      <w:r>
        <w:t>94. In any case, it should be emphasized that HERA, as seen above, also based on the texts of the existing Agreements with the former area authorities, has the obligation to maximize the revenues from the sale of separated waste, for the benefit of citizens. Therefore, the choice to exit the consortium regime, which is made precisely for the greater economic opportunities it entails, implies that the Manager must obtain “in the free market” the maximum price that it is able to express. In other words, once the exit from the Consortium is decided, the Manager's obligation can be considered fulfilled only if it maximizes revenues based on market demand (the offers from recyclers). Such maximization does not appear to have occurred in this case.</w:t>
      </w:r>
    </w:p>
    <w:p>
      <w:r>
        <w:t>95. Turning to the arguments related to the individual comparisons, regarding CBRC's offer, the parties focus on the fact that the offer from this company for 2012-2013 did not include the collection of the mixed collection represented by packaging, believing that HERA's own sale of such packaging (according to the hypotheses illustrated above) would have entailed the establishment of a new structure for managing such activities, with the need to bear the related costs. They also state that CBRC's offer, not providing for a guaranteed minimum price, would not have protected HERA from the risk of a sharp drop in the value of paper and, in any case, the payment terms proposed by CBRC (60 days) would have been significantly worse than those proposed by Akron (30 days). It was also argued that CBRC's offer was late, as it was made at the end of March 2012 for a contract that was supposed to take effect from April 1 of the following year, and that the impurity percentage that CBRC had planned to recognize in the contract would not have been acceptable to HERA, which in the Bologna area was experiencing impurity percentages in paper waste that were at least double.</w:t>
      </w:r>
    </w:p>
    <w:p>
      <w:r>
        <w:t>96. In responding to these arguments, it is first necessary to recall, preliminarily, that since a proper negotiation was never initiated by the HERA group and, in particular, by HA with the notifier, during which the Manager's preferences could have been communicated to CBRC, it does not seem logical to attribute to the offer presented by CBRC the lack of requirements that were not known ex ante to CBRC itself.</w:t>
      </w:r>
    </w:p>
    <w:p>
      <w:r>
        <w:t>97. Coming to the individual objections, the main one concerns the fact that CBRC's offer did not include the purchase of the packaging contained in the mixed collection but their return to the Manager. On this point, however, it should be noted that, on the one hand, the notifier stated that in its intentions the offer presented was the one it believed would be most appreciated by HERA and, in any case, if it had had the opportunity to have a real negotiation with HERA, it would have shown its willingness to purchase such packaging at a price equivalent to the COMIECO fee for the separate collection, should that solution have been preferred by the Manager (which it did for the year 2013 without the offer being taken into consideration just as in the previous year). In any case, as seen above, the packaging could have been profitably sold by HERA/HA on the market, nor does it seem that this would have entailed a particular increase in management costs, since HA manages, on behalf of HERA, the waste collected by it and could therefore have organized the sale on the market of the packaging returned by CBRC.</w:t>
      </w:r>
    </w:p>
    <w:p>
      <w:r>
        <w:t>BULLETIN NO. 11 OF MARCH 17, 2014 47</w:t>
      </w:r>
    </w:p>
    <w:p>
      <w:r>
        <w:t>98. Regarding the lack, in CBRC's offer, of a guarantee of a minimum price, it is noted that the price offered by CBRC was, in any case, more advantageous than that paid by Akron to HA for all the quotations of scrap 1.01 above 11€/t (which is still an extremely low quotation). If the Hera group intended to cover itself from market risk even for such quotations, the context in which this could have been made known was, again, inevitably a negotiation with the counterparty that, however, never took place. Moreover, it should be noted that Akron's own offer in 2012 and 2013, for some quotations of scrap 1.01, provided for the payment to HERA/HA of a price lower than that guaranteed by COMIECO.</w:t>
      </w:r>
    </w:p>
    <w:p>
      <w:r>
        <w:t>99. Nor does the alleged lateness of CBRC's proposal (submitted, it should be recalled, on March 29, 2012) appear to be decisive, as the documents on record clearly show that in March and April 2012 discussions were still ongoing within the Hera group regarding the content of the contract for that year. Considering, therefore, that the negotiation with Akron was still ongoing and concluded only in the second half of April 2012, CBRC's offer could not be considered late if it had been of interest.</w:t>
      </w:r>
    </w:p>
    <w:p>
      <w:r>
        <w:t>100. The Parties also raised objections regarding the significance of the comparisons between Akron's offer and the conditions obtained through a bidding process by the two collection companies Cosea and Geovest. With regard to the offer made by Dife to Cosea, the parties believe that the sum of the costs generated by the offer (73.75 €/ton offered for paper and 22-24 euros/ton average cost of recovery and pressing as per the COMIECO-Unionmaceri agreement) is higher than the revenues obtainable from selling scrap 1.02 at the market quotation for the reference period (approximately 92 €/ton). Therefore, Dife's offer would be below cost and for this reason, according to the Parties, could not be used as a correct indicator of the alternatives to Akron's offer present on the market.</w:t>
      </w:r>
    </w:p>
    <w:p>
      <w:r>
        <w:t>101. Also, the offer from Fini to Geovest, according to the Parties, would be below cost, as it was developed without having to take into account the depreciation cost of the plants. This is because Fini's plant in 2012 would have already been occupied for 70% by processing paper from a contract with HA and the proceeds from that contract would have fully covered Fini's fixed costs.</w:t>
      </w:r>
    </w:p>
    <w:p>
      <w:r>
        <w:t>102. Essentially, as anticipated, just as was done regarding CBRC's offer, the parties acknowledge that the offers considered as market alternatives (Fini, Dife) were better than the price at which Akron obtained the supply from HERA/HA, and they limit themselves to providing “explanations” with which they intend to show that such offers, although better, could not be used as a comparison to evaluate Akron's offer. In reality, again, these “explanations” effectively confirm that HERA had more efficient solutions than the intra-group one chosen by the company. In fact, the parties substantially apodictically attribute a below-cost character to offers that could very well have exploited greater efficiency of the operators, for example in finding downstream buyers or in the management of the offers.</w:t>
      </w:r>
    </w:p>
    <w:p>
      <w:r>
        <w:rPr>
          <w:b/>
        </w:rPr>
        <w:t>[Pages 46–48]</w:t>
      </w:r>
    </w:p>
    <w:p>
      <w:r>
        <w:t>48 BULLETIN NO. 11 OF MARCH 17, 2014</w:t>
      </w:r>
    </w:p>
    <w:p>
      <w:r>
        <w:t>organization of the recovery-pressing work. In other words, the Parties with their defenses effectively confirm that, by turning to the market, they could have negotiated better prices for paper than those obtained from Akron.</w:t>
      </w:r>
    </w:p>
    <w:p>
      <w:r>
        <w:t>IV.3. The deduction from the costs of the urban hygiene service under concession of the revenues from the sale on the free market of cellulosic waste</w:t>
      </w:r>
    </w:p>
    <w:p>
      <w:r>
        <w:t>103. The data provided by COMIECO and HERA have demonstrated that HERA deducted from the costs for the collection of urban waste the contributions received from COMIECO. As for the revenues that HERA obtained from the sale of waste in the free market in 2011 and 2012, the amounts deducted by HERA were found to be substantially corresponding to what Akron paid to HA for the purchase of the waste.</w:t>
      </w:r>
    </w:p>
    <w:p>
      <w:r>
        <w:t>104. The investigation thus confirmed what was hypothesized in the initiation provision, namely, that within the Hera group, the sale of cellulosic waste to Akron occurred at prices lower than market prices. This circumstance resulted in the amount deducted from the costs of the urban hygiene service being lower than what could be obtained from sales at market prices, to the detriment of citizens who pay the TARSU/TIA/TARES in the areas where HERA is the Manager.</w:t>
      </w:r>
    </w:p>
    <w:p>
      <w:r>
        <w:t>IV.4. The sale of grade 1.02 waste paper by Akron</w:t>
      </w:r>
    </w:p>
    <w:p>
      <w:r>
        <w:t>105. Before HERA exited the COMIECO system, Akron primarily operated within the consortium system. The company, therefore, processed cellulosic waste and sold it to the paper mills indicated by COMIECO itself. The direct sale of waste paper to the paper mills was limited to the few special waste collected. Akron's presence in the market for the sale of waste paper to the paper mills was very limited. With HERA's choice of Option 1, this situation changed significantly, as shown in the following figure.</w:t>
      </w:r>
    </w:p>
    <w:p>
      <w:r>
        <w:t>Fig. 6 Sales trend of waste paper by Akron</w:t>
      </w:r>
    </w:p>
    <w:p>
      <w:r>
        <w:t>Source: elaborations on Akron data</w:t>
      </w:r>
    </w:p>
    <w:p>
      <w:r>
        <w:t>Following the change of option, Akron's sales of waste paper, slightly above [omissis] tons per quarter, quadrupled. In particular, sales of grade 1.02 waste paper increased tenfold.</w:t>
      </w:r>
    </w:p>
    <w:p>
      <w:r>
        <w:t>106. Akron specialized in the sale of grade 1.02 waste paper, leveraging the exclusive availability of HERA's urban joint collection. Sales of this waste paper rose from about 11,000 tons in 2010 to about 77,000 in 2011 and to about 87,000 in 2012. Sales of other types of waste paper are minor. Akron's sales of grade 1.02 waste paper are concentrated in four Regions, which accounted for [omissis].</w:t>
      </w:r>
    </w:p>
    <w:p>
      <w:r>
        <w:t>107. Other recyclers operating in the Provinces served by HERA show a completely different composition of the waste paper sold, with a prevalence of grade 1.05 waste paper obtained from packaging collected in the special circuit and higher quality paper waste obtained from the f.m.s. collected in the same circuit. HA, therefore, thanks to the exclusive access to the joint collection reserved for Akron, effectively excluded competing recyclers in the areas served by HERA from the market for the sale of grade 1.02 waste paper.</w:t>
      </w:r>
    </w:p>
    <w:p>
      <w:r>
        <w:t>108. The following table shows the trend of the share of sales of grade 1.02 waste paper held by Akron in the regions where its supplies are concentrated.</w:t>
      </w:r>
    </w:p>
    <w:p>
      <w:r>
        <w:t>Tab. 2: weight of sales of grade 1.02 waste paper by Akron in the purchases on the free market made by the paper mills located in certain regions</w:t>
      </w:r>
    </w:p>
    <w:p>
      <w:r>
        <w:t>[OMISSIS]</w:t>
      </w:r>
    </w:p>
    <w:p>
      <w:r>
        <w:t>Source: elaborations on Akron and Comieco data</w:t>
      </w:r>
    </w:p>
    <w:p>
      <w:r>
        <w:t>The table highlights the strong impact of the increased availability of waste paper by Akron between 2010 and 2011. Regarding the reduction of shares between 2011 and 2012, it can be attributed to the significant expansion of the free market for grade 1.02 waste paper that occurred between 2011 and 2012, following the reduction of waste paper supplies to the paper mills through COMIECO. In particular, against stable total purchases of grade 1.02 waste paper in the Marche and Veneto regions and increasing in other regions, the proportion purchased through the market – and no longer through COMIECO – increased between 2011 and 2012 by [70-80]% in Emilia-Romagna, by [60-70]% in Trentino, by [40-50]% in Tuscany, and more than doubled in the Marche, Veneto, and San Marino.</w:t>
      </w:r>
    </w:p>
    <w:p>
      <w:r>
        <w:t>109. The data sent by the paper mills show that, following the increase in the quantity of grade 1.02 waste paper marketed directly, Akron has become the most important supplier to the geographically closest paper mills, [omissis]. This reflects the fact that Akron, thanks to the conferment of the entire joint collection of HERA, has become the recycler with the greatest availability of grade 1.02 waste paper operating in Emilia-Romagna; this availability is sufficiently large that the paper mills closest to its platforms cannot replace its supplies with those of competitors, due to both the constraints on the availability of waste paper from competing recyclers and the high transportation costs that the paper mills would have to incur to source further away.</w:t>
      </w:r>
    </w:p>
    <w:p>
      <w:r>
        <w:t>110. The selling prices of grade 1.02 waste paper to the paper mills by Akron consist of [omissis]. The strong market position acquired has allowed Akron to increase this spread by approximately [omissis]% between 2010 and 2011, bringing it to a level above the set target and to maintain it subsequently, as shown in the following table, as evidence of the greater ability to exercise market power conferred by the control of significant quantities of joint collection and, therefore, of grade 1.02 waste paper.</w:t>
      </w:r>
    </w:p>
    <w:p>
      <w:r>
        <w:t>Tab. 3 Average selling price of grade 1.02 waste paper by Akron, CCIAA quotation and spread, 2010-2012, €/t</w:t>
      </w:r>
    </w:p>
    <w:p>
      <w:r>
        <w:t>1.02 2010 2011 2012 Q1 2013</w:t>
        <w:br/>
        <w:t>Akron [omissis] [omissis] [omissis] [omissis]</w:t>
        <w:br/>
        <w:t>CCIAA max 81.17 90.67 70.42 60.67</w:t>
        <w:br/>
        <w:t>Spread [omissis] [omissis] [omissis] [omissis]</w:t>
      </w:r>
    </w:p>
    <w:p>
      <w:r>
        <w:t>Source: elaborations on Akron data</w:t>
      </w:r>
    </w:p>
    <w:p>
      <w:r>
        <w:t>89 See doc. 347, 348, 350, 351, 352, 353, 355.</w:t>
        <w:br/>
        <w:t>90 Currently, Akron offers the paper mills supply contracts for grade 1.02 waste paper characterized by a minimum price of [omissis] €/t (except for Interseroh for which the price is [omissis]€/t) and minimum quantities to be withdrawn. The selling price is constructed as stated. Contracts of this type have been concluded with Ricicla S.r.l. (doc. 30), Cartiere di Ferrara S.p.A. (doc. 31), LCI S.r.l. (doc. 32), Progest S.p.A. (doc. 33), Interseroh Italia S.r.l. (doc. 34). For all these paper mills, the spread applied by Akron ranges between [omissis] and [omissis] €/t.</w:t>
        <w:br/>
        <w:t>91 See doc. 59.</w:t>
      </w:r>
    </w:p>
    <w:p>
      <w:r>
        <w:rPr>
          <w:b/>
        </w:rPr>
        <w:t>[Pages 49–51]</w:t>
      </w:r>
    </w:p>
    <w:p>
      <w:r>
        <w:t>BULLETIN NO. 11 OF MARCH 17, 2014 51</w:t>
      </w:r>
    </w:p>
    <w:p>
      <w:r>
        <w:t>111. This ability to maintain a high spread compared to the CCIAA quotation appears even more significant in light of the aforementioned expansion of the waste paper market that occurred after 2011.</w:t>
      </w:r>
    </w:p>
    <w:p>
      <w:r>
        <w:t>112. The impact of Akron's increased market position was particularly evident during 2011. Akron was indeed able to supply waste paper 1.02 to its most important customers - the paper mills of the Pro-Gest group (the largest paper group in Italy) closest to its platforms - at a higher price than the average paid by these mills to other suppliers.</w:t>
      </w:r>
    </w:p>
    <w:p>
      <w:r>
        <w:t>113. The Parties in their final submissions contested the reference to spreads compared to the CCIAA quotation as an indicator of Akron's actual ability to exert market power in the waste paper 1.02 market. In particular, the spreads would not be determined by Akron's market power, but by the volume of minimum purchases guaranteed by the customer mills (in the sense that higher purchases would correspond to lower spreads). The correlation coefficients between spreads and minimum contractual purchases calculated by the Parties in support of this thesis appear, however, statistically flawed by the presence of an "anomalous value," constituted by the contract with Pro-Gest, which due to its size (it includes three mills) provides for minimum purchases much higher than the others. Eliminating this anomalous value, the values of the correlation coefficients do not allow any inference in the sense indicated by the Parties in their submissions.</w:t>
      </w:r>
    </w:p>
    <w:p>
      <w:r>
        <w:t>114. Overall, therefore, the available data indicate that due to the increase in volumes of waste paper 1.02 that it could access and the exclusion of competing recyclers from Eastern Emilia from access to the jointly collected waste necessary for its production, Akron was able to exert market power over the customer mills.</w:t>
      </w:r>
    </w:p>
    <w:p>
      <w:r>
        <w:t>IV.5. The pro-competitive measures presented by HA in the final hearing</w:t>
      </w:r>
    </w:p>
    <w:p>
      <w:r>
        <w:t>115. In the final submission, the representatives of HA submitted to the Authority a "proposal for pro-competitive commitments" which consists of a manifestation of intent to initiate a competitive procedure for the assignment through tender, by lots, of the jointly collected paper waste from HERA. The procedure should take place in two phases: as a manifestation of interest for participation in a subsequent negotiated procedure to be awarded according to the criterion of the economically most advantageous offer. In order to allow the Authority to fully evaluate this proposal, the Parties in the final hearing requested an extension of the closing deadline of the present proceeding.</w:t>
      </w:r>
    </w:p>
    <w:p>
      <w:r>
        <w:t>116. The draft tender submitted to the Authority, however, does not represent a definitive text for the conduct of the procedure and, in any case, does not present all the elements to be submitted to the market. HA, moreover, emphasizes that it has not yet been activated as some essential information is missing: the amount of the COMIECO contribution in the new Technical Annex to the ANCI-COMIECO Agreement which should be adopted by the end of March 2014 for the next five years (the previous Agreement, in fact, was in effect from 2009 to 2013 and has been extended to March 31, 2014); whether the Manager will always be the Delegated Entity on behalf of the Municipalities to manage the contractual relationships with COMIECO; the technical specifications for joining the Consortium (quality ranges of the cellulosic fractions and corresponding contributions, options exercisable for joining). Also in order to await the signing of the new ANCI-COMIECO agreement, the Parties requested an extension of the closing deadline of the investigative procedure.</w:t>
      </w:r>
    </w:p>
    <w:p>
      <w:r>
        <w:t>117. In this regard, however, the Parties have nonetheless expressed the unconditional willingness to carry out the competitive procedure in the near future, regardless of the final outcome of the present proceeding.</w:t>
      </w:r>
    </w:p>
    <w:p>
      <w:r>
        <w:t>V. EVALUATIONS</w:t>
      </w:r>
    </w:p>
    <w:p>
      <w:r>
        <w:t>V.1. The relevant markets</w:t>
      </w:r>
    </w:p>
    <w:p>
      <w:r>
        <w:t>118. The investigative analysis has allowed to ascertain that the conduct subject to the present proceeding specifically concerns the section of the paper supply chain that deals with the collection and recovery of urban cellulosic waste and, in particular, of urban joint collection, highlighted in bold on the left side of fig. 7. Within it, three distinct relevant markets will be identified for the evaluation of the conduct attributed to the Parties: (1) the market for the separate collection of urban cellulosic waste; (2) the market for the sale of waste from urban joint collection; (3) the market for waste paper 1.02.</w:t>
      </w:r>
    </w:p>
    <w:p>
      <w:r>
        <w:t>BULLETIN NO. 11 OF MARCH 17, 2014 53</w:t>
      </w:r>
    </w:p>
    <w:p>
      <w:r>
        <w:t>Figure 7: The relevant markets for the present proceeding and their overall sizes in the Provinces served by the Hera Group</w:t>
      </w:r>
    </w:p>
    <w:p>
      <w:r>
        <w:t>Collection of cellulosic RDU (approx. 195,000t)</w:t>
      </w:r>
    </w:p>
    <w:p>
      <w:r>
        <w:t>Joint Selective (approx. 132,000 t) (approx. 63,000 t)</w:t>
      </w:r>
    </w:p>
    <w:p>
      <w:r>
        <w:t>COMIECO (regulated regime, approx. 76,000t)</w:t>
      </w:r>
    </w:p>
    <w:p>
      <w:r>
        <w:t>Market for the sale of waste</w:t>
      </w:r>
    </w:p>
    <w:p>
      <w:r>
        <w:t>Market for the sale of packaging Market for the sale of cellulosic RDU (urban selective collection + special waste)</w:t>
      </w:r>
    </w:p>
    <w:p>
      <w:r>
        <w:t>JOINT collection of special waste from paper and mixed (approx. 114,000 t) (approx. 49,000 t)</w:t>
      </w:r>
    </w:p>
    <w:p>
      <w:r>
        <w:t>(approx. 115,000 t)</w:t>
      </w:r>
    </w:p>
    <w:p>
      <w:r>
        <w:t>Selection / recovery</w:t>
      </w:r>
    </w:p>
    <w:p>
      <w:r>
        <w:t>Ordinary waste paper markets</w:t>
      </w:r>
    </w:p>
    <w:p>
      <w:r>
        <w:t>Market for the sale of waste paper 1.02 Markets for waste paper (newspapers, de-inked, 1.04, 1.05, kraft, etc.) and medium and high-quality waste paper</w:t>
      </w:r>
    </w:p>
    <w:p>
      <w:r>
        <w:t>PAPER MILLS</w:t>
      </w:r>
    </w:p>
    <w:p>
      <w:r>
        <w:rPr>
          <w:b/>
        </w:rPr>
        <w:t>[Pages 52–54]</w:t>
      </w:r>
    </w:p>
    <w:p>
      <w:r>
        <w:t>54 BULLETIN NO. 11 OF MARCH 17, 2014</w:t>
      </w:r>
    </w:p>
    <w:p>
      <w:r>
        <w:t>a) The market for the collection of cellulosic waste from municipal solid waste (MSW)</w:t>
      </w:r>
    </w:p>
    <w:p>
      <w:r>
        <w:t>119. The service for the collection of MSW takes place at the local level. It is a public service, entrusted by the Local Authority to a specific company, which operates in monopoly within a specified geographical area.</w:t>
      </w:r>
    </w:p>
    <w:p>
      <w:r>
        <w:t>120. The exclusive right granted to the entity that carries out the collection of MSW is limited to the activity of collection and initiation to recovery, to be understood as the activity of transferring waste to the gates of recovery plants (in the case of cellulosic waste, the sorting plants that produce the pulp intended for paper mills). The exclusion of recovery and disposal activities from the scope of the municipal exclusive right not only emerges from the Environmental Code, but has been confirmed in hearings by ATERSIR and is explicitly stated both in Article 15, paragraph 1 of L.R. 25/1999 of Emilia Romagna, and in numerous Agreements entered into by HERA (ATO5 Bologna, ATO 7 Ravenna Imola Faenza, ATO 8 Forlì Cesena).</w:t>
      </w:r>
    </w:p>
    <w:p>
      <w:r>
        <w:t>121. The subject of this proceeding is exclusively the separate collection of MSW and assimilated cellulosic waste, the so-called "cellulosic MSW".</w:t>
      </w:r>
    </w:p>
    <w:p>
      <w:r>
        <w:t>122. The relevant market for the collection and transport of cellulosic MSW, in the case at hand, has a local dimension, coinciding with the scope of the exclusive right granted to the Manager of the public service of collection and transport of MSW and assimilated waste. On the supply side, there operates a monopolistic manager, while on the demand side are the citizen users of the service.</w:t>
      </w:r>
    </w:p>
    <w:p>
      <w:r>
        <w:t>123. The relevant geographical markets for the assessment of the described conduct are all the Municipalities in the Provinces of Forlì-Cesena and Ravenna, Modena, Bologna, Rimini, and Ferrara where HERA provides the urban waste management service – and, in particular, the separate collection of cellulosic waste.</w:t>
      </w:r>
    </w:p>
    <w:p>
      <w:r>
        <w:t>124. This service is carried out under Agreements entered into with the Public Service Area Agencies (ATO) of the respective Provinces – now replaced by ATERSIR – with which the urban hygiene service has been directly entrusted to HERA. Almost all Agreements expired in 2011 or at the beginning of 2012. HERA, therefore, operates in most of the served areas under a regime of extension. Procedures provided for by L.R. 23/2011 of Emilia Romagna for the determination of basins for new assignments are currently underway.</w:t>
      </w:r>
    </w:p>
    <w:p>
      <w:r>
        <w:t>b) The market for the sale of waste from urban joint collection</w:t>
      </w:r>
    </w:p>
    <w:p>
      <w:r>
        <w:t>125. The market for waste from urban joint collection is the market in which the buying and selling of cellulosic waste from joint collection occurs. On the supply side, there are the Managers of the urban collection service for the volumes of waste not delivered to COMIECO and COMIECO itself for the share of waste that the Consortium is required to auction (40% of the total); on the demand side, there are the sorting platforms and intermediaries, who purchase such waste to transform it into pulp 1.02.</w:t>
      </w:r>
    </w:p>
    <w:p>
      <w:r>
        <w:t>126. Where, as in Emilia Romagna until 2010, the entire cellulosic MSW was delivered to COMIECO, there was no market for cellulosic MSW. The exercise of Option 1 by HERA since 2011, prior to the start of COMIECO auctions, has potentially created a market for the sale to sorting platforms, by the Managers, of cellulosic waste from joint collection. In particular, HERA's choice to adhere to Option 1 – albeit with differentiated methods in various basins – has allowed the "virtual" birth of a market for over 100,000 tons of waste from joint collection.</w:t>
      </w:r>
    </w:p>
    <w:p>
      <w:r>
        <w:t>127. In turn, the COMIECO auctions of cellulosic waste – in which joint collection was primarily offered – have created (where the Managers did not exercise Option 1) or expanded (in areas where only some Managers exercised Option 1) a market for joint collection waste (as well as for selective collection, see infra).</w:t>
      </w:r>
    </w:p>
    <w:p>
      <w:r>
        <w:t>128. Joint collection and selective collection of cellulosic waste have, as seen previously, a profoundly different composition, with the joint collection prevailing in mixed fractions. Furthermore, the two collections provide inputs for different types of pulp (1.02 for joint and 1.04-1.05 for selective), the production of which has significantly different costs. Such pulps are used in certain proportions in the production of various paper products, particularly packaging or components of packaging. The substitution between such pulps, when technically possible, is not economically convenient, due to the significant and stable price difference that exists, amounting to about €20/ton, or about one-third of the value of pulp 1.02 or one-fourth of the value of pulp 1.05. For these reasons, waste from joint collection and that from selective collection belong to distinct relevant markets.</w:t>
      </w:r>
    </w:p>
    <w:p>
      <w:r>
        <w:t>129. It can also be excluded that there is economic substitutability between joint collection and the mixed fractions collected in the special waste market for the production of pulp 1.02. In fact, special waste is suitable for producing higher value types of pulp (medium quality and higher), whose pricing is at least 15-20% higher than that of pulp 1.02. Therefore, their use to produce pulp 1.02 would result in a clear cost burden and the loss of inputs suitable for more profitable productions.</w:t>
      </w:r>
    </w:p>
    <w:p>
      <w:r>
        <w:t>130. Finally, it should be noted that the structure of the supply of urban waste is profoundly different from that of special waste: for cellulosic MSW, the supply is highly concentrated and comes directly (the Managers) or indirectly (the auctions of waste delivered by the Managers to COMIECO) from collectors operating in a monopoly in certain areas, while in the case of special waste, it is fragmented and comes from the companies producing the waste itself.</w:t>
      </w:r>
    </w:p>
    <w:p>
      <w:r>
        <w:t>131. For these reasons, the sale of cellulosic waste from urban joint collection constitutes a distinct relevant market.</w:t>
      </w:r>
    </w:p>
    <w:p>
      <w:r>
        <w:t>132. The geographical extent of the market for the sale of cellulosic waste from joint MSW collection is local, due to the level of transport costs and their weight relative to the selling prices of the waste. Data provided by Akron and other recyclers show that the platforms predominantly or exclusively process waste coming from the province in which the platform is located or from neighboring provinces, in the case of platforms near provincial borders.</w:t>
      </w:r>
    </w:p>
    <w:p>
      <w:r>
        <w:rPr>
          <w:b/>
        </w:rPr>
        <w:t>[Pages 55–57]</w:t>
      </w:r>
    </w:p>
    <w:p>
      <w:r>
        <w:t>BULLETIN NO. 11 OF MARCH 17, 2014 57</w:t>
      </w:r>
    </w:p>
    <w:p>
      <w:r>
        <w:t>133. For these reasons, the market for the sale of cellulosic waste from urban joint collection will be considered of local scope, conventionally identified with the extension of the Province for the purposes of this proceeding. Therefore, the relevant markets for the assessment of the conduct attributed to the Hera group are the markets for the sale of cellulosic waste from joint collection in the Provinces of Bologna, Modena, Ferrara, Ravenna, Forlì-Cesena, and Rimini.</w:t>
      </w:r>
    </w:p>
    <w:p>
      <w:r>
        <w:t>c) The market for paper grade 1.02</w:t>
      </w:r>
    </w:p>
    <w:p>
      <w:r>
        <w:t>134. In this market, cellulosic waste – in particular, waste from urban joint collection – transformed into paper grade 1.02 by sorting platforms (the recyclers) is sold to paper mills. The supply of paper grade to paper mills comes from sorting platforms or from intermediaries, who have purchased processing services or the paper grade itself from the platforms. On the demand side, there are the paper mills. Therefore, flows of paper grade acquired by paper mills through the allocation of cellulosic waste administered by COMIECO are excluded from this market.</w:t>
      </w:r>
    </w:p>
    <w:p>
      <w:r>
        <w:t>135. The "recipes" that paper mills use for the production of various types of paper products require the dosing of paper grades of different qualities and compositions. Among the paper grades, there are indeed relationships of complementarity and limited technical substitutability. In some cases, technical substitutability is excluded; in other cases, involving paper grades with very different costs, substitutability, although technically possible, is considered economically unfeasible by the paper mills, due to the significant price difference, which is at least 30% of the average quotation of paper grade 1.02.</w:t>
      </w:r>
    </w:p>
    <w:p>
      <w:r>
        <w:t>136. The lack of substitutability between different types of paper grade is reflected in consistently different price levels (see fig. 3 above).</w:t>
      </w:r>
    </w:p>
    <w:p>
      <w:r>
        <w:t>137. Based on these elements, it appears possible to identify a distinct relevant market from a commodity perspective for paper grade 1.02.</w:t>
      </w:r>
    </w:p>
    <w:p>
      <w:r>
        <w:t>138. As for the geographical scope of this relevant market, it should be noted that it is larger than that of the markets for the sale of waste from which the platforms source their inputs, for two main reasons:</w:t>
        <w:br/>
        <w:t>(i) the transportation cost – which is approximately the same for waste and for paper grade, given the same distance traveled and vehicle load – has a lesser impact on the value of paper grade than it had on the value of waste;</w:t>
        <w:br/>
        <w:t>(ii) most Italian paper mills are located in Central-Northern Italy (as many as 47 of the 61 active paper mills in 2012) and, in particular, in Veneto, Tuscany, and Lombardy; this greater polarization of paper mills compared to a more uniform presence of recovery platforms and the production of waste, and therefore of paper grade, in the territory leads to the presence of paper grade flows between Regions, particularly from Regions with fewer paper mills to those with a greater presence. Specifically regarding paper grade 1.02, from the comparison between the regional purchases of paper mills and the data on urban separate collection, it emerges that Tuscany, Veneto, Trentino, and Marche are importing regions for paper grade 1.02, while Emilia-Romagna is an exporting Region.</w:t>
      </w:r>
    </w:p>
    <w:p>
      <w:r>
        <w:t>139. Transportation costs limit the scope of the supply basin for paper mills, albeit less than in the market for the sale of waste from joint separate collection: this is particularly true for purchases that occur in the free market.</w:t>
      </w:r>
    </w:p>
    <w:p>
      <w:r>
        <w:t>140. Data sent by paper mills show that about half of the purchases of paper grade 1.02 in the free market are made within the Region where the paper mill is located, and almost all within a basin with a radius of less than 200 km, in order to keep transportation costs within 15 €/t, corresponding to an incidence of 10%-15% on the total purchase cost of the paper grade.</w:t>
      </w:r>
    </w:p>
    <w:p>
      <w:r>
        <w:t>141. The geographical distribution of Akron's sales confirms the limited geographical scope of the paper grade sales market. A large part of the company's paper grade sales is concentrated in the four neighboring regions, and the supplies made by the various plants have been delivered mainly within 200 km, so that the customer paper mills are primarily served by the nearest Akron platforms.</w:t>
      </w:r>
    </w:p>
    <w:p>
      <w:r>
        <w:t>142. In the final memorandum, the Parties presented data, based on Akron's sales, according to which supplies of paper grade 1.02 made within 200 km from Akron's platforms would have been 43% in 2011 and 68% in 2012 and 2013. These data do not contradict what was stated previously, especially in light of the fact that in recent years, most of Akron's sales have been delivered directly to the paper mills (about 57% in 2012 and about 62% in the first quarter of 2013, compared to 32% in 2011), rather than to intermediaries, and therefore the data for 2012-2013 is certainly more representative of the supply basins of the paper mills.</w:t>
      </w:r>
    </w:p>
    <w:p>
      <w:r>
        <w:t>143. The data provided by Akron during the proceedings also allows for tracing the type of first buyer of the paper grade (paper mill, intermediary, sorting plant) and, in the case of intermediaries, it is possible to determine, in numerous cases, whether the delivery location indicated to Akron corresponds to a paper mill or to a warehouse or other structure of the intermediary. This has allowed for verifying that the percentages indicated by the Parties in their final memoranda were calculated by (correctly) taking as the numerator the supplies delivered to paper mills within 200 km from the sorting plant, but using as the denominator the total supplies (i.e., delivered both to paper mills and to other structures of intermediaries or sorting plants). This means that these percentages were calculated using non-homogeneous quantities and do not appear, therefore, to be correct. Furthermore, they refer only to supplies of paper grade departing from Akron's plants and do not include supplies of paper grade departing from third-party plants operating as subcontractors for Akron, which should have been taken into account. By performing the calculation correctly, it emerges that at least two-thirds of the supplies to paper mills were made within 200 km.</w:t>
      </w:r>
    </w:p>
    <w:p>
      <w:r>
        <w:t>144. The available data indicate, therefore, that competition among recyclers for the sale of paper grade to paper mills has a local dimension and is limited by the scope of the supply basin of the paper mills and, therefore, by the transportation costs that they must incur to procure paper grade.</w:t>
      </w:r>
    </w:p>
    <w:p>
      <w:r>
        <w:t>145. Competition among recyclers is conditioned by the fact that the quantity of paper grade available in a certain area is, in any case, a given quantity, as it derives from the production of waste and the percentage of separate collection, variables entirely outside the control of recyclers. This means that the possibilities for competitors to react to a price increase by a recycler are constrained by their availability of waste – and therefore of paper grade. Therefore, recyclers located in regions that import paper grade (e.g., Marche, Veneto, and Tuscany) will more rarely represent a competitive constraint for recyclers located in exporting regions (Emilia-Romagna), while the opposite will hold true for recyclers located in exporting regions.</w:t>
      </w:r>
    </w:p>
    <w:p>
      <w:r>
        <w:t>146. Based on these elements, for the purposes of this assessment, the geographical dimension of the paper grade market can be defined as at least regional. In particular, a distinct market for paper grade 1.02 can be identified for the area corresponding to Emilia-Romagna, while regarding the other regions where Akron sells paper grade 1.02, for the purposes of this assessment, the markets can be considered to have a broader scope than regional. In particular, considering that a large part of the imports of paper grade 1.02 in Marche come from Emilia-Romagna and that a large part of the Abruzzo joint collection is sold to COMIECO, it is also possible to identify a geographical market encompassing Marche and Emilia-Romagna. Regarding the other regions where Akron operates, a precise definition of the geographical scope of the markets to which they belong does not appear necessary for the purposes of this case.</w:t>
      </w:r>
    </w:p>
    <w:p>
      <w:r>
        <w:t>147. In conclusion, the relevant markets for the assessment of the conduct of the companies of the HERA group are:</w:t>
        <w:br/>
        <w:t>(i) the markets for the collection of cellulosic waste from joint separate collection in the Municipalities of the Provinces of Forlì-Cesena and Ravenna, Rimini, Bologna, Modena, and Ferrara where HERA is entrusted with the urban management service;</w:t>
      </w:r>
    </w:p>
    <w:p>
      <w:r>
        <w:rPr>
          <w:b/>
        </w:rPr>
        <w:t>[Pages 58–60]</w:t>
      </w:r>
    </w:p>
    <w:p>
      <w:r>
        <w:t>60 BULLETIN NO. 11 OF MARCH 17, 2014</w:t>
      </w:r>
    </w:p>
    <w:p>
      <w:r>
        <w:t xml:space="preserve">(ii) the markets for the sale of cellulosic waste from joint collection in the Provinces of Bologna, Modena, Ferrara, Ravenna, Forlì-Cesena, Rimini;  </w:t>
        <w:br/>
        <w:t>(iii) the markets for the sale of macero 1.02 in Emilia Romagna and the macro-region Emilia Romagna – Marche, as well as those of the macro-regions that include Tuscany and Trentino.</w:t>
      </w:r>
    </w:p>
    <w:p>
      <w:r>
        <w:t xml:space="preserve">V.2. The position of the Parties in the relevant markets  </w:t>
        <w:br/>
        <w:t xml:space="preserve">148. In the markets for the separate collection of urban cellulosic waste and similar, HERA operates in legal monopoly and, therefore, is in a dominant position in all the Municipalities of the Provinces of Forlì-Cesena and Ravenna, in most of the Municipalities of the Provinces of Rimini, Bologna, and Modena, and in the Municipality of Ferrara.  </w:t>
        <w:br/>
        <w:t>149. As for the markets for the sale of cellulosic waste from joint RDU, it is noted that over 80% of the joint RDU from the Provinces of Modena, Ferrara, Bologna, Forlì-Cesena, Ravenna, and Rimini is collected by HERA and, therefore, the monopolistic position held by HERA in the upstream market of RDU collection is also reflected in this market. HA – which materially manages the waste collected by the parent company – thus holds a dominant position in the Provinces of Bologna (with a share of 82% in 2012) and Modena (94.5% in 2012) and a monopolistic position in the Provinces of Ferrara, Ravenna, Forlì-Cesena, and Rimini.</w:t>
      </w:r>
    </w:p>
    <w:p>
      <w:r>
        <w:t xml:space="preserve">Tab. 4: shares in the markets for the sale of cellulosic waste from RDU  </w:t>
        <w:br/>
        <w:t xml:space="preserve">BO FC FE MO RA RN  </w:t>
        <w:br/>
        <w:t xml:space="preserve">HA 82.4% 100.0% 100.0% 94.5% 100.0% 100.0%  </w:t>
        <w:br/>
        <w:t xml:space="preserve">Cosea 5.7%  </w:t>
        <w:br/>
        <w:t xml:space="preserve">Geovest 11.9% 5.5%  </w:t>
        <w:br/>
        <w:t>Source: processing of data from requests for information to HERA, Akron, and recyclers</w:t>
      </w:r>
    </w:p>
    <w:p>
      <w:r>
        <w:t xml:space="preserve">150. As for the markets for the sale of macero 1.02 to paper mills, Akron's position in these markets changed significantly between 2010 and 2011, following the transfer to the company of waste from joint collection (subject of this proceeding) and, therefore, in the possibility given to Akron to market directly all the macero 1.02 produced, without the intermediation of COMIECO.  </w:t>
        <w:br/>
        <w:t xml:space="preserve">151. As described in the factual part, despite an increase in the size of the macero 1.02 market following the shift to the free market of quantities of waste previously absorbed by the COMIECO system, Akron significantly increased its market shares between 2010 and 2011, and was able to increase its sales between 2011 and 2012, maintaining high average spreads.  </w:t>
        <w:br/>
        <w:t>152. In particular, Akron maintained a high market share, exceeding [40-50]%, in the relevant markets of Emilia Romagna and the macro-region Emilia Romagna – Marche, where it practiced increasing spreads between 2011 and 2012. In other regions where Akron operates – for example, Tuscany and Trentino – which are part of broader relevant markets from a geographical perspective, Akron's share is significantly lower and does not exceed [10-20]%.</w:t>
      </w:r>
    </w:p>
    <w:p>
      <w:r>
        <w:t xml:space="preserve">Tab.5: Akron's shares in the sale of macero 1.02  </w:t>
        <w:br/>
        <w:t xml:space="preserve">2010 2011 2012  </w:t>
        <w:br/>
        <w:t xml:space="preserve">Emilia-Romagna [omissis] [omissis] [omissis]  </w:t>
        <w:br/>
        <w:t xml:space="preserve">Marche + Emilia Romagna [omissis] [omissis] [omissis]  </w:t>
        <w:br/>
        <w:t xml:space="preserve">Tuscany [omissis] [omissis] [omissis]  </w:t>
        <w:br/>
        <w:t xml:space="preserve">Trentino [omissis] [omissis] [omissis]  </w:t>
        <w:br/>
        <w:t>Source: processing of data from COMIECO (doc. 335) and Akron</w:t>
      </w:r>
    </w:p>
    <w:p>
      <w:r>
        <w:t>153. The ability to increase sales in a context of market size increase, while maintaining high average spreads, appears to be an indicator of the independence of behavior that Akron can enjoy due to the quantity of macero 1.02 it is able to manage, to which competitors have not had access. This independence of behavior appears particularly high in Emilia-Romagna, as evidenced by the comparison between the average price charged by Akron in 2012 in Emilia Romagna and in other Regions and the average auction price of macero 1.02 in the lots auctioned by COMIECO in Emilia Romagna and in other regions during the same year, reported in the following table. From the examination of this comparison, it emerges that Akron sold macero 1.02 in Emilia Romagna in 2012 at a price over [10-20]% higher than the value of the COMIECO auctions.</w:t>
      </w:r>
    </w:p>
    <w:p>
      <w:r>
        <w:t xml:space="preserve">Tab. 6: comparison between average prices charged by Akron in 2012 and auction prices in the COMIECO auctions for macero 1.02  </w:t>
        <w:br/>
        <w:t xml:space="preserve">(euro/t) Auctions Akron  </w:t>
        <w:br/>
        <w:t xml:space="preserve">Emilia Romagna 81.90 [omissis]  </w:t>
        <w:br/>
        <w:t xml:space="preserve">Tuscany 98.24 [omissis]  </w:t>
        <w:br/>
        <w:t xml:space="preserve">Trentino 94.57 [omissis]  </w:t>
        <w:br/>
        <w:t xml:space="preserve">Piedmont 86.57 [omissis]  </w:t>
        <w:br/>
        <w:t>Source: processing of data from Comieco and Akron</w:t>
      </w:r>
    </w:p>
    <w:p>
      <w:r>
        <w:t xml:space="preserve">154. Ultimately, Akron appears to have been able to exercise significant market power in the sales of macero 1.02 to paper mills, particularly in the markets of Emilia Romagna and the macro-region Emilia Romagna + Marche, in 2011-2012.  </w:t>
        <w:br/>
        <w:t xml:space="preserve">155. The Parties contested this conclusion in their final submissions, arguing that (i) the prices of macero 1.02 charged by Akron would not have been higher in regions closer to the company's platforms and lower elsewhere, but would have been independent of distance and (ii) the average price charged by Akron would have been lower on average than the average auction price of COMIECO.  </w:t>
        <w:br/>
        <w:t xml:space="preserve">156. Regarding the first objection, it appears irrelevant, given that the price charged by a company exercising market power locally also depends on the specific characteristics of the market in which it operates, such as, for example, its size and level of demand. In other words, the absolute level of the price charged by Akron in Emilia Romagna, a Region where the company holds market power, does not necessarily have to be higher than the price in Regions further away from the plants where the market power exercised is lower. This is because the absolute level of prices depends on the characteristics of the markets: in markets where demand is higher and paper mills resort to strong imports, the price will be higher than that prevailing in smaller markets or characterized by strong exports (like Emilia Romagna). Given the profound differences existing between such Regions in terms of structural conditions of the macero market, there is therefore no reason to expect that the price of macero charged by Akron is higher in the regions where it exercises its market power more than in others where such market power is lower.  </w:t>
        <w:br/>
        <w:t>157. As for the second objection, based on the comparison between the average auction prices of COMIECO in Northern Italy and the average price charged by Akron, it is believed, for the same reasons expressed in the previous paragraph, that the comparison should be made at the level of regional average prices. In this regard, it has just been seen how the average price charged by Akron in Emilia Romagna in 2012 is over [10-20]% higher than the average auction price of COMIECO in the same Region.</w:t>
      </w:r>
    </w:p>
    <w:p>
      <w:r>
        <w:t xml:space="preserve">V.3. The conduct of the Hera group  </w:t>
        <w:br/>
        <w:t xml:space="preserve">V.3.1. The abuse of dominant position  </w:t>
        <w:br/>
        <w:t xml:space="preserve">158. HERA holds a dominant position (in the form of legal monopoly) in the relevant markets for the separate collection of urban cellulosic waste in the Municipalities where it is the exclusive contractor of the public urban hygiene service. As a result, HA is the seller in a largely dominant position in the relevant provincial markets of joint RDU created by the choice of Option 1 COMIECO.  </w:t>
        <w:br/>
        <w:t xml:space="preserve">159. The conduct attributed to HERA and HA – which will be described in the following paragraphs – consisted of conferring all the joint collection resulting from the monopoly (cellulosic RDU) directly and integrally to Akron.  </w:t>
        <w:br/>
        <w:t>160. From the investigative findings, it emerged that the Hera group at the end of 2010, due to favorable economic conditions for the marketing of paper in the free market, decided to opt out of the COMIECO consortium system and to sell on the market the joint collection (about 94,000 tons/year in 2012) and selective waste not accepted (about [0-10,000] tons/year in 2012) in all areas where HERA is the monopolistic Manager of the urban hygiene service in Emilia Romagna.</w:t>
      </w:r>
    </w:p>
    <w:p>
      <w:r>
        <w:rPr>
          <w:b/>
        </w:rPr>
        <w:t>[Pages 61–63]</w:t>
      </w:r>
    </w:p>
    <w:p>
      <w:r>
        <w:t>BULLETIN NO. 11 OF MARCH 17, 2014 63</w:t>
      </w:r>
    </w:p>
    <w:p>
      <w:r>
        <w:t>161. In the first year (2011-2012), HERA/HA entrusted Akron with the urban joint collection after examining several offers made by competitors interested in acquiring it and allowing its subsidiary to submit a better offer than those of the competitors. This was in light of the impossibility for other operators to have the same opportunity.</w:t>
      </w:r>
    </w:p>
    <w:p>
      <w:r>
        <w:t>162. The strategy of the Hera group, as it emerges from the records of the proceedings, is clearly identifiable in the intention to position Akron as the focal point for the marketing of the recovered paper 1.02 obtained from HERA's joint collection. Thus, Akron effectively replaces COMIECO in this activity.</w:t>
      </w:r>
    </w:p>
    <w:p>
      <w:r>
        <w:t>163. This strategy was then fully implemented in the following years (2012-2013) in which HERA and HA again carried out the direct intra-group conferment of the joint collection, exclusively and without any competitive comparison.</w:t>
      </w:r>
    </w:p>
    <w:p>
      <w:r>
        <w:t>164. In the first year in which there was a direct conferment of paper to Akron (2011), the margins from the sale to paper mills of the recovered paper 1.02 obtained from HERA's joint collection were allocated primarily to HERA and HA (based on the purchase conditions of the paper paid by Akron to HA); starting from the second year, however, a larger share was attributed to Akron, through a significant reduction in the purchase price of the waste and the elimination of the fees that Akron had recognized to HA the previous year.</w:t>
      </w:r>
    </w:p>
    <w:p>
      <w:r>
        <w:t>165. The direct conferment to Akron excluded competitors from access to an essential input for the production of recovered paper 1.02 and thus gave the company controlled by HA a non-replicable competitive advantage in the competition in the market for the sale of recovered paper 1.02, which paper mills cannot do without. This behavior identifies a conduct of input foreclosure carried out by a seller, monopolist of the input, in favor of its downstream subsidiary.</w:t>
      </w:r>
    </w:p>
    <w:p>
      <w:r>
        <w:t>166. Furthermore, from the findings acquired during the proceedings, it emerged that the sale of paper waste to Akron occurred at prices lower than those that HERA/HA could obtain on the market. It follows that HA's revenues from the sale of waste from joint collection were lower than those it could have obtained from a competitive sales procedure. Since these revenues reduce the costs of collection and, therefore, the fee paid by citizen-users, HERA and HA's conduct resulted in the citizens being charged an excessively burdensome price for the collection service.</w:t>
      </w:r>
    </w:p>
    <w:p>
      <w:r>
        <w:t>V.3.2. The Exclusionary Profile</w:t>
      </w:r>
    </w:p>
    <w:p>
      <w:r>
        <w:t>167. In 2011, when HERA decided to exit option 2 of the agreement with COMIECO to switch to option 1, the approximately 100,000 tons of waste from joint collection (joint collection + unaccepted selective collection) in the territories of HERA became potentially available to the market, largely (about 94,000 tons) in the form of joint collection intended for the production of recovered paper 1.02. Thus, a market for the purchase of this joint collection potentially opened up, which did not exist until 2011 as there was a total agreement with COMIECO, and therefore, the recyclers only performed the selection and pressing service for the paper mills.</w:t>
      </w:r>
    </w:p>
    <w:p>
      <w:r>
        <w:t>168. However, the potential opening of this market for joint cellulosic waste was completely thwarted by HA's conduct, which, by directly conferring all the paper that exited the COMIECO circuit to the Hera group, excluded competing recyclers from access to such waste, thereby preventing the development of competition in the market for recovered paper 1.02. In this situation of "virtual" opening of a new market, in which the monopolist Manager's group is active in the downstream market (in competition with other recyclers) and holds a dominant position in the supply of the input that recyclers need to produce recovered paper 1.02, the manner in which the same Manager administers this input is of fundamental importance to ensure competition and a level playing field in the downstream markets of production and sale of recovered paper 1.02 to paper mills.</w:t>
      </w:r>
    </w:p>
    <w:p>
      <w:r>
        <w:t>169. The direct and complete conferment to Akron of the entire quantity of joint collection waste was made possible by the monopoly that HERA enjoys in the upstream market of collection, which, due to HERA's widespread presence as a Manager, automatically grants HA a dominant position in the supply of urban joint collection waste in the free market in the provinces of Bologna, Modena, Ferrara, Ravenna, Forlì-Cesena, and Rimini. The abuse occurred in the relevant provincial markets for the sale of joint cellulosic waste in the free market where HA was able to use its market power to block Akron's competitors from access, conferring the entire available volume to its subsidiary at a favorable price (particularly starting from 2012). This conduct, in a context where it is demonstrated that there were competitors interested in acquiring the waste at prices higher than those paid by Akron, constitutes an abuse of the monopolist with exclusionary effects on recyclers' access to an essential input for the production of recovered paper 1.02.</w:t>
      </w:r>
    </w:p>
    <w:p>
      <w:r>
        <w:t>170. HERA/HA's choice to sell the waste on the "free market" should have made the entire quantity of joint collection removed from the consortium management contestable, including the quantities previously processed by Akron. The direct intra-group conferment, however, doubly penalized the competitive process, on one hand, preventing the volumes previously processed by Akron from being contestable, and on the other hand, conferring to Akron itself the volumes previously processed by its competitors. In this way, HERA/HA excluded Akron's competitors from access to all cellulosic inputs from joint collection that were not conferred to COMIECO.</w:t>
      </w:r>
    </w:p>
    <w:p>
      <w:r>
        <w:t>171. The exclusion of access to the input in the relevant markets of joint collection waste has resulted in the inability of competing platforms to compete in the market for recovered paper 1.02, because it would have been too costly for them to produce such paper with higher quality waste and, in any case, there was not enough availability of joint collection on the market, outside the quantities collected by HERA.</w:t>
      </w:r>
    </w:p>
    <w:p>
      <w:r>
        <w:t>172. Moreover, the conduct has had prejudicial effects on all the paper mills for which Akron's platforms represent the most important suppliers among the closest ones. It has, in fact, allowed Akron to assume a position of significant relevance in the downstream markets for the sale of recovered paper 1.02 to paper mills. This has translated into the sale of such recovered paper 1.02 at prices much higher than in the past and, therefore, into an increase in the average price paid by paper mills that source this type of secondary raw material in Emilia Romagna and in the neighboring areas. In particular, there has been an increase of about 70% in the spread practiced by Akron to the paper mills compared to the quotation of recovered paper 1.02 at the CCIAA of Milan, from 2010 to 2012.</w:t>
      </w:r>
    </w:p>
    <w:p>
      <w:r>
        <w:t>V.3.3. The Exploitative Profile</w:t>
      </w:r>
    </w:p>
    <w:p>
      <w:r>
        <w:t>173. The abusive conduct also has an exploitative profile towards the citizen-users of the urban hygiene service in the Provinces where HERA legally monopolizes this service: in fact, having sold to Akron – at least in 2012-2013 and in 2013-2014 - the cellulosic waste at a price lower than that realizable as a result of a competitive comparison, did not allow for maximizing revenues to be deducted from the costs of the urban hygiene service recognized in the fee (TIA/TARSU/TARES). In this sense, therefore, in the basins served by HERA, the citizen-users have seen the fee quantified in excess compared to what would have happened in the presence of behavior that maximized the revenues obtainable on the market by the Manager.</w:t>
      </w:r>
    </w:p>
    <w:p>
      <w:r>
        <w:t>174. The tariff regulation that influences the revenues of the monopolist Manager for the provision of the urban hygiene service (and consequently the fee/tax paid by the service users) provides that the ownership of the waste from urban separate collection is held by the Manager concerning the responsibility for disposal and/or recovery, without this resulting in the Manager's right to economically exploit, for its exclusive benefit, the "value" of such waste. In fact:</w:t>
        <w:br/>
        <w:t>- the conferment of waste to the COMIECO consortium entitles the Manager to collect a fee that is expected to be deducted from the costs of the service;</w:t>
        <w:br/>
        <w:t>- alternatively to joining the consortium regime, that is, in the case of selling the same separated waste on the "free market," the Manager is also obliged to deduct from the costs of the service the revenues generated from such sale.</w:t>
        <w:br/>
        <w:t>Therefore, the system is structured so that the service is, in any case, remunerated for the costs of execution, and the COMIECO fees and/or the revenues from sales in the free market reduce the amount that citizens are required to pay and that is calculated according to conventional indices of waste production. In this context, it should be noted that the Agreements, entered into by HERA with the Area Agencies, for the conferment of fractions intended for recovery, assign to the Manager the obligation to choose the recipient subject based on the best economic conditions available on the market.</w:t>
      </w:r>
    </w:p>
    <w:p>
      <w:r>
        <w:t>175. However, as seen above, the fee for the service is paid by citizens based on management costs, the fact that the Hera group, in favoring its operating company in recovery, sold the waste at a price lower than that obtainable on the market while keeping the difference within the group, in addition to violating what is provided in the Agreements, appears to be conduct likely to cause harm to citizen-users. This is even more evident starting from the point that the difference, in fact, being perceived in the form of higher profits in the downstream market for the sale of recovered paper 1.02, is collected by Akron and through it by the entire Hera group.</w:t>
      </w:r>
    </w:p>
    <w:p>
      <w:r>
        <w:rPr>
          <w:b/>
        </w:rPr>
        <w:t>[Pages 64–66]</w:t>
      </w:r>
    </w:p>
    <w:p>
      <w:r>
        <w:t>66 BULLETIN NO. 11 OF MARCH 17, 2014</w:t>
      </w:r>
    </w:p>
    <w:p>
      <w:r>
        <w:t>2012-13, when there was a significant reduction in revenue from the sale of waste for HERA, due to the better contractual conditions granted to Akron.</w:t>
      </w:r>
    </w:p>
    <w:p>
      <w:r>
        <w:t>176. The contested conduct, moreover, appears to produce economically harmful effects for the citizen-users even where the destination of the cellulosic waste to the Akron plants implies for the Manager a higher transportation cost, due to the greater distance of the Akron platform from the collection site. This higher cost for HERA, in fact, would ultimately be passed on to the tariff paid by the citizen-users for obtaining the service. This seems to be particularly evidenced in the Province of Forlì Cesena in 2012, where HERA transported the cellulosic waste for processing at the Rimini plant, located more than 60 km away.</w:t>
      </w:r>
    </w:p>
    <w:p>
      <w:r>
        <w:t>177. The investigative findings showed that there were competitors interested in acquiring the joint collection from HERA at better prices than what the company obtained from Akron. In fact, CBRC's offer for the periods 2012-2013 and 2013-2014 would have been more advantageous for the HERA Manager, both than the compensation obtainable from COMIECO and than Akron's offer. If HA had then solicited a broader competitive comparison in the market, the elements in the records indicate that it could plausibly have obtained better economic conditions than those offered by CBRC. In this sense, the outcomes of the auctions conducted by Geovest (for 2012-13) and by Cosea (for 2013-14) showed better purchase prices for the collected paper than the contract between HERA and HA (as well as those of the contract between HA and Akron) and also better than CBRC's offer. In the Facts section, it has been shown how the arguments put forward by the Parties to render such comparisons unusable for the purposes of this proceeding do not appear to be shareable (see section IV.2.2).</w:t>
      </w:r>
    </w:p>
    <w:p>
      <w:r>
        <w:t>V.3.4. The further defenses of the Parties to the proceedings and their responses</w:t>
      </w:r>
    </w:p>
    <w:p>
      <w:r>
        <w:t>a) The necessity to consult the Local Authorities</w:t>
      </w:r>
    </w:p>
    <w:p>
      <w:r>
        <w:t>178. The companies HERA and HA, in the final hearing, believed that the Offices should have consulted the Emilia Romagna Region and the concerned Provinces during the proceedings regarding the possibility of proceeding with a competitive assignment of the paper waste from urban joint collection not managed by COMIECO; this because, according to the Parties, such competitive assignment would not have been consistent with both the future tender procedures for the assignment of urban hygiene services that will soon be defined by ATERSIR after consulting the Local Authorities, and with the current environmental legislation (particularly due to the stringent authorization requirements governing the recovery of packaging). This lack of investigation, in addition to preventing a correct qualification of the conduct, would represent, in the opinion of the Parties, a procedural defect of the investigation.</w:t>
      </w:r>
    </w:p>
    <w:p>
      <w:r>
        <w:t>179. In this regard, it is noted that the regulatory and legislative situation to which the Authority is required to refer is that in force at the time when the conduct is carried out. Where, moreover, such plants were located more than 30 km from the collection site, this would also contravene the criterion identified in the Technical Annex ANCI-COMIECO which, although not legally applicable to sales on the free market, represents a reference for reasonable distance of the platform from the collection site, in order to contain the transportation costs paid by the citizen-users.</w:t>
      </w:r>
    </w:p>
    <w:p>
      <w:r>
        <w:t>180. ATERSIR, in the hearing, while having expressly discussed the ongoing process for the adoption of new procedures for the assignment of waste services, and being fully aware of the subject of the present proceedings, did not raise any compatibility issues either with the current or the future regulation with the case contested against the Hera group.</w:t>
      </w:r>
    </w:p>
    <w:p>
      <w:r>
        <w:t>181. Regarding the procedural aspects raised in the defenses of the Parties, it was deemed that the hearing with ATERSIR, the territorial authority competent in matters of tenders for the assignment of urban hygiene services in Emilia Romagna, made it unnecessary to consult the Region and the concerned Provinces. As for, more specifically, the environmental legislation, it is noted that the transfer of cellulosic waste to the competing recoverers of Akron would not have violated any regulations, since they are equipped with the required authorizations for the exercise of the activity and other environmental certifications and that, in any case, HERA and HA would have been able to carry out all necessary verifications in the context of a possible competitive procedure.</w:t>
      </w:r>
    </w:p>
    <w:p>
      <w:r>
        <w:t>b) The applicability of internal transactions within a corporate group to antitrust legislation</w:t>
      </w:r>
    </w:p>
    <w:p>
      <w:r>
        <w:t>182. HERA has repeatedly emphasized that the group companies, being part of a single economic entity, would not be subject to antitrust legislation regarding internal transactions within the group. In fact, there would be a lack of an element of third-party involvement among the interested companies, as there would be no basis for an appeal to the market. This would only occur if HERA/HA intended to turn to distinct economic operators, substantially, and not just formally, in relation to it. Similarly, HA reiterated the absence, in the contractual relationship with Akron, of an element of third-party involvement, as it is a company of the same group subject to the Direction and Coordination of HA and, therefore, the lack of prerequisites for the application of antitrust legislation.</w:t>
      </w:r>
    </w:p>
    <w:p>
      <w:r>
        <w:t>183. This argument appears irrelevant in this case as the accusation against HERA and HA is that they have engaged in an abuse of a dominant position. In this case, as is known, the corporate structures within the group do not matter (as instead occurs in the case of agreements and concentration operations) but rather the external relevance of the conduct of the enterprise. The conduct observed, therefore, would have been censurable regardless of the corporate structure of the HERA group, thus even if a single company performed all the functions distributed among HERA, HA, and Akron.</w:t>
      </w:r>
    </w:p>
    <w:p>
      <w:r>
        <w:t>c) The ownership of waste by HERA</w:t>
      </w:r>
    </w:p>
    <w:p>
      <w:r>
        <w:t>184. Similarly, the argument presented by the Parties based on the ownership of the assets that the companies of the Hera group have, on several occasions, used to justify the thesis of the non-applicability of Article 3 of Law No. 287/90 is not shareable. In this regard, it is worth noting that any asset produced by a subject in a dominant position is undoubtedly its property. When, then, as in this case, the owned asset constitutes an essential input, such a company, due to the position it occupies in the market and the "independence" it enjoys, in whole or in part, in determining its market behavior strategy with respect to other players (competitors, customers, suppliers), is subject to a special responsibility in light of competition law.</w:t>
      </w:r>
    </w:p>
    <w:p>
      <w:r>
        <w:t>d) The complete assignment of paper to Akron as "responsibility for the entire treatment chain" and as a rational choice of a vertically integrated subject</w:t>
      </w:r>
    </w:p>
    <w:p>
      <w:r>
        <w:t>185. HERA and HA also argued that the choice to confer the waste to be recovered to the controlled company Akron, as it represents the highest level of functional integration, would maximally satisfy the objectives of general public interest of regularity, continuity, and safety as well as effectiveness and efficiency of the service and would be the implementation of the principle of "responsibility for the entire treatment chain" that falls on the holder of the waste (Article 188, paragraph 1 of the Environmental Code). The choice, by HA, to confer all waste to Akron would also be justified by the fact that only Akron, in Emilia Romagna, has the plant capacity to treat the large quantity of waste from separate collection coming from the territories where it is the Manager, at the best available technology level and this in the interest of all (citizen-users and paper mills).</w:t>
      </w:r>
    </w:p>
    <w:p>
      <w:r>
        <w:t>186. All the arguments of the Hera group centered on the preference for Akron as the "best" company in the market from the plant and economic-financial point of view do not appear relevant to justify the conduct in question, since this supposed superiority of Akron would in any case be compatible with the performance of competitive modalities for the transfer of paper waste from RDU by the HERA group. Moreover, since Akron's competitors, including the reporting CBRC, have been present in the market for many years, as platforms contracted with COMIECO, which Akron itself has used and uses for the production on behalf of third parties of waste that it markets just like that produced at its plants, the argument regarding the "qualitative" superiority of Akron appears, at the very least, inconsistent.</w:t>
      </w:r>
    </w:p>
    <w:p>
      <w:r>
        <w:t>187. Regarding this last argument, and the greater convenience for HA in having a single interlocutor, this, on the one hand, does not take into account the reasons why the transfer of joint RDU waste could more profitably occur according to competitive procedures on a local basis (for example, provincial). In any case, even if a single comparison were made across all areas managed by HERA - a suboptimal solution from a competitive point of view - this would not preclude Akron's competitors from forming consortia to obtain the minimum size necessary to participate.</w:t>
      </w:r>
    </w:p>
    <w:p>
      <w:r>
        <w:t>e) The obligation to tender</w:t>
      </w:r>
    </w:p>
    <w:p>
      <w:r>
        <w:t>188. HERA and HA finally noted that, even if one were to admit that the group's conduct is abusive, it could not be considered serious since there is no legal obligation to carry out tender procedures for the transfer of separated waste; tenders do not represent the rule in this market and, in any case, the Hera group had no intention of violating the regulations.</w:t>
      </w:r>
    </w:p>
    <w:p>
      <w:r>
        <w:rPr>
          <w:b/>
        </w:rPr>
        <w:t>[Pages 67–69]</w:t>
      </w:r>
    </w:p>
    <w:p>
      <w:r>
        <w:t>BULLETIN NO. 11 OF MARCH 17, 2014 69</w:t>
      </w:r>
    </w:p>
    <w:p>
      <w:r>
        <w:t>competitive rules also due to the limited economic impact of the contested conduct in relation to the overall turnover and profits of the group.</w:t>
      </w:r>
    </w:p>
    <w:p>
      <w:r>
        <w:t>188. Furthermore, HA argued that there is no regulatory source that imposes the observance of competitive procedures for the transfer of goods to third parties, procedures that the company is required to undertake only as far as it concerns its own procurement contracts (for works, supplies, or services), in the presence of the applicable conditions of the provisions of Legislative Decree No. 163 of April 12, 2006 (Public Contracts Code).</w:t>
      </w:r>
    </w:p>
    <w:p>
      <w:r>
        <w:t>189. HA further argued that, even assuming the existence of a legal obligation to conduct a competitive procedure in the case under examination, among the general principles related to competitive procedures is the one that allows proceeding without competitive comparison when the circumstances are such that the requested performance can only be provided by a specific subject: the uniqueness of the possible counterparty, arising from objective technical reasons or exclusive rights, would render the conduct of a public comparison unnecessary.</w:t>
      </w:r>
    </w:p>
    <w:p>
      <w:r>
        <w:t>190. Such would be the situation in the case at hand due to the fact that Akron would be the only operator capable of ensuring the recovery of the dry fractions of urban waste coming from the separate collection of HERA taken over by HA: throughout the reference territory of HERA; for all types subject to separate collection (mono-material: plastic, paper, wood, glass, metals, etc. and/or multi-material); for the entire quantity collected; with certified plants using advanced technology, based on high-capacity automated sorting lines that allow for increasing the amount of waste actually recovered, reducing the processing waste to be sent for disposal, and achieving the highest standards of quality of the recovered material.</w:t>
      </w:r>
    </w:p>
    <w:p>
      <w:r>
        <w:t>191. Without delving into the merits of the considerations that HERA has put forward to exclude the application of the Public Contracts Code, it is noted that this evaluation is, in this context, irrelevant. In fact, the challenge that is intended to be made against HERA in the context of this investigation concerns the compatibility of the conduct held by HERA/HA with competition law and not with any other special regulation. The choice of the monopolistic Manager of the collection to abandon the consortium system to enhance the paper from urban separate collection on the market was potentially pro-competitive as it implied the opening of waste supply markets, but such potential could only be realized by allowing a fair, transparent, and non-discriminatory comparison among all the recyclers interested in purchasing the waste through a genuinely competitive procedure. This was not the choice made by HERA/HA, which instead exhausted itself in the direct conferment of the entire joint collection to its downstream subsidiary.</w:t>
      </w:r>
    </w:p>
    <w:p>
      <w:r>
        <w:t>f) The ability to invest in technologically advanced plants</w:t>
      </w:r>
    </w:p>
    <w:p>
      <w:r>
        <w:t>192. The Parties also stated that the certainty of the waste flow would allow HA, through the subsidiary Akron, to make investments in technologically advanced plants, with evident advantages in terms of production capacity, process efficiency, and environmental sustainability.</w:t>
      </w:r>
    </w:p>
    <w:p>
      <w:r>
        <w:t>193. In this regard, it is sufficient to note that it was precisely the absence of competitive procedures for the sale of waste from HERA's joint collection that guaranteed Akron sole access to a certain flow of waste and, therefore, made such investments certainly profitable for the Hera group, depriving, conversely, its competitors of the same opportunity.</w:t>
      </w:r>
    </w:p>
    <w:p>
      <w:r>
        <w:t>70 BULLETIN NO. 11 OF MARCH 17, 2014</w:t>
      </w:r>
    </w:p>
    <w:p>
      <w:r>
        <w:t>V.3.5. Conclusions on the abuse of dominant position</w:t>
      </w:r>
    </w:p>
    <w:p>
      <w:r>
        <w:t>194. In light of all the above, it is possible to conclude that the companies HERA and HA have engaged in a violation of Article 3 of Law No. 287/90, letter b), consisting of having abused the monopolistic position of HERA as the Manager of urban cellulose separate collection and the consequent dominant position held by HA in the relevant geographic markets for the sale of waste from urban joint collection in the Provinces of Bologna, Modena, Ferrara, Ravenna, Forlì-Cesena, and Rimini, preventing access to such markets for Akron's competitors (exclusionary abuse). The direct and complete conferment to Akron of an input of fundamental importance for the production and sale of pulp 1.02 has, in fact, precluded competitors from the possibility of competing in the relevant downstream markets for the sale of pulp 1.02 to paper mills, granting Akron a high degree of behavioral independence that has reflected in the exercise of significant market power. At the same time, the fact that the assignment of waste to Akron occurred at a price lower than that obtainable through a market solicitation constituted an exploitative abuse of the dominant position held by HERA in the relevant cellulose RDU collection markets, pursuant to Article 3 of Law No. 287/90, letter a), to the detriment of citizens/users. This, in fact, resulted in a higher cost of urban separate collection to be covered by the fee/tax paid by the same citizens in the areas where HERA is the Manager.</w:t>
      </w:r>
    </w:p>
    <w:p>
      <w:r>
        <w:t>V.3.6. Attribution of conduct</w:t>
      </w:r>
    </w:p>
    <w:p>
      <w:r>
        <w:t>195. The contested behaviors are jointly attributable to HERA and HA and have produced effects on the market for pulp 1.02. Akron directly benefited from this, but HERA and HA also gained from it. In fact, this conduct allowed them to retain within the group the higher profits derived from the sale of pulp 1.02 (due both to the higher quantities sold and the low acquisition cost of the input).</w:t>
      </w:r>
    </w:p>
    <w:p>
      <w:r>
        <w:t>196. The two companies HERA and HA appear to share every decision related to the management of the waste collected by the parent company. Not irrelevant in this regard is the fact that numerous board members of the two companies coincide. The waste collected by HERA, within the group, is managed by HA based on what is provided in the "8C" contract. HA stated in the hearing that the same choices regarding the options for joining the agreement with COMIECO were made jointly with HERA. HA, after all, originated as the Environment Division of Hera Spa and was only transformed into a joint-stock company in July 2009.</w:t>
      </w:r>
    </w:p>
    <w:p>
      <w:r>
        <w:t>197. The direct conferment to Akron and the economic conditions under which this occurred are therefore the result of the joint decision of HERA and HA. HA has represented, so to speak, the pivot of the contractual arrangements with which the conditions for the transfer of paper waste from joint RDU were defined, upstream between HERA and HA and downstream between HA and Akron. The acquisition price of the input (paper waste) by HA (from HERA) and by Akron (from HA) is exactly the same in both contracts, in all years (2011, 2012, and 2013).</w:t>
      </w:r>
    </w:p>
    <w:p>
      <w:r>
        <w:t>In the hearing, representatives of Hera stated that "when CBRC contacted the company to purchase the cellulose waste collected in the Bologna area (RDU), HERA invited CBRC to contact the CEO of HA."</w:t>
      </w:r>
    </w:p>
    <w:p>
      <w:r>
        <w:t>BULLETIN NO. 11 OF MARCH 17, 2014 71</w:t>
      </w:r>
    </w:p>
    <w:p>
      <w:r>
        <w:t>V.4. The expressed intention of HA to transfer the cellulose waste from HERA's joint RDU through a tender and the request for an extension</w:t>
      </w:r>
    </w:p>
    <w:p>
      <w:r>
        <w:t>198. The unconditional intention expressed by HERA and HA in the final hearing of February 5, 2014, to initiate competitive procedures for the allocation of HERA's joint collection, by lots, appears commendable as, despite the uncertainty of the conditions and terms under which it will actually be carried out, it implies that the companies of the Hera group have decided, for the future, to transfer urban joint collection waste through a market solicitation.</w:t>
      </w:r>
    </w:p>
    <w:p>
      <w:r>
        <w:t>199. However, it is believed that this expression of intent by HERA and HA cannot be evaluated in any way as a presentation of commitments pursuant to Article 14-ter of Law 287/90. In any case, the request is to be considered late as already expressed in the Authority's communication of December 13, 2013, which rejected an initial request in this regard. It should be noted, moreover, that during the proceedings, the Parties were fully assured the right to contradiction and participation, including the possibility of presenting commitments within the terms provided by current legislation. For these reasons, the Authority rejects the request for an extension of the procedure deadline made during the final hearing.</w:t>
      </w:r>
    </w:p>
    <w:p>
      <w:r>
        <w:t>V.5. Severity and duration of the infringement</w:t>
      </w:r>
    </w:p>
    <w:p>
      <w:r>
        <w:t>200. Article 15, paragraph 1, of Law No. 287/90 provides that the Authority, in cases of serious infringements, shall impose an administrative pecuniary sanction of up to ten percent of the turnover achieved by each company responsible for the infringement in the last financial year, considering the severity and duration of such infringements.</w:t>
      </w:r>
    </w:p>
    <w:p>
      <w:r>
        <w:t>201. Regarding the severity of the abuse committed by HERA and HA, according to the Authority's practice, in accordance with community guidelines, its assessment is determined by a plurality of elements that must be taken into account, such as the nature of the conduct, the importance of the company, and the context in which the behavior was carried out.</w:t>
      </w:r>
    </w:p>
    <w:p>
      <w:r>
        <w:t>202. In this regard, it is noted that the behaviors carried out by HERA and HA constitute a case of abuse that presents both exclusionary and exploitative profiles, profiles that thus appear to harm competitors and citizens-users.</w:t>
      </w:r>
    </w:p>
    <w:p>
      <w:r>
        <w:t>203. The contested conduct appears particularly serious in light of the fact that the only channel for collecting the input (the joint collection) for the production of a type of pulp (1.02) - urban separate collection - is subject upstream to a monopolistic regime of operation by the Manager of the urban hygiene service and the development of a competitive market for cellulose waste from RDU, beyond the COMIECO auctions, depends, in every geographical area, on the decisions of the Managers regarding adherence to the consortium system compared to the exercise of the Options provided in the Technical Annex, which allow for the removal of significant quantities of waste from this regime.</w:t>
      </w:r>
    </w:p>
    <w:p>
      <w:r>
        <w:t>204. Based on the above, it emerges, therefore, in accordance with community and national jurisprudential guidelines, that the conduct carried out by HERA, operating in legal monopoly, and by HA, both companies of economic importance and considerable size in the entire national landscape, aimed at hindering the activities of competitors in the downstream market for the sale of pulp 1.02, with prejudicial effects on the level of...</w:t>
      </w:r>
    </w:p>
    <w:p>
      <w:r>
        <w:rPr>
          <w:b/>
        </w:rPr>
        <w:t>[Pages 70–72]</w:t>
      </w:r>
    </w:p>
    <w:p>
      <w:r>
        <w:t>72 BULLETIN NO. 11 OF MARCH 17, 2014</w:t>
      </w:r>
    </w:p>
    <w:p>
      <w:r>
        <w:t>the tariff/tax for waste services paid by citizens constitutes a serious violation of the regulations protecting competition.</w:t>
      </w:r>
    </w:p>
    <w:p>
      <w:r>
        <w:t>205. Regarding the duration of the alleged abuses, based on the investigative findings, it emerges that such conduct has been in place since at least April 1, 2011, the date from which the contracts between HERA and HA and between HA and Akron are applicable, and is still ongoing. In the first year, HERA and HA only formally resorted to the market as, due to the methods used, they favored the subsidiary Akron without a fair and transparent competitive comparison among potential competitors, while for the second and third years (2012-13 and 2013-14), there was a direct assignment to Akron.</w:t>
      </w:r>
    </w:p>
    <w:p>
      <w:r>
        <w:t>V.6. Determination of the sanction</w:t>
      </w:r>
    </w:p>
    <w:p>
      <w:r>
        <w:t>206. For the purpose of identifying the criteria for quantifying the sanction, it is necessary to take into account the Commission Communication 2006/C 210/02 "Guidelines for the calculation of fines imposed pursuant to Article 23, paragraph 2, letter a), of Regulation EC No. 1/2003" (hereinafter also referred to as the Communication). Pursuant to Article 11 of Law No. 689/1981, as recalled by Article 31 of Law No. 287/90, the severity of the violation, the economic conditions, the behavior of the companies involved, and any initiatives aimed at eliminating or mitigating the consequences of the violations must also be considered. In light of these criteria, the amounts of the sanctions that can be imposed on the parties are determined, also taking into due consideration the actual economic capacity of the parties to significantly harm competition.</w:t>
      </w:r>
    </w:p>
    <w:p>
      <w:r>
        <w:t>207. Considering the Guidelines contained in the aforementioned Communication from the Commission for the calculation of fines, to calculate the base amount of the sanction, the value of the sales made by the companies concerning the goods involved in the infringement was referenced, namely the revenue from the sales of paper waste from urban joint collection by HERA to HA and from HA to Akron in 2012 (as the revenue for 2013 is not available). The revenue from these sales amounts to €3,164,499.96.</w:t>
      </w:r>
    </w:p>
    <w:p>
      <w:r>
        <w:t>208. For the purpose of determining the base amount of the sanction, the Community Guidelines suggest setting a percentage of up to 30% of the value of the sales mentioned above, determined based on "a number of factors, such as the nature of the infringement, market share, the geographical extent of the infringement, and whether or not the practices have been implemented."</w:t>
      </w:r>
    </w:p>
    <w:p>
      <w:r>
        <w:t>209. In this case, recalling the considerations already made regarding the severity of the violation, it must be reiterated that the infringement in question, as seen above, has substantially precluded the emergence of a new market for the free market sale of paper waste from urban joint collection, outside the administered consortium regime COMIECO and the auctions held by it since 2011.</w:t>
      </w:r>
    </w:p>
    <w:p>
      <w:r>
        <w:t>210. It is also significant that the abuse has been fully implemented and has resulted in the direct assignment to Akron of all the joint collection of HERA.</w:t>
      </w:r>
    </w:p>
    <w:p>
      <w:r>
        <w:t>211. Furthermore, it must be taken into account that HERA and HA are companies of such size that they possess the legal and economic knowledge necessary to understand the illegitimate nature of their conduct and the consequences that arise from a competition perspective.</w:t>
      </w:r>
    </w:p>
    <w:p>
      <w:r>
        <w:t>212. The percentage applied to the value of the sales of the goods to which the infringement refers, due to the severity of the violation, is set at 20%. Regarding the duration, the abuse began on April 1, 2011, and is still ongoing, having therefore lasted for three years.</w:t>
      </w:r>
    </w:p>
    <w:p>
      <w:r>
        <w:t>213. Considering the severity and duration of the infringement, the base amount of the sanction thus amounts to €1,898,700.</w:t>
      </w:r>
    </w:p>
    <w:p>
      <w:r>
        <w:t>214. In the final hearing on February 5, 2014, the Parties expressed their unconditional willingness to implement competitive procedures for the assignment in lots of the paper waste from HERA's joint collection in the future.</w:t>
      </w:r>
    </w:p>
    <w:p>
      <w:r>
        <w:t>215. While this expression of willingness by HERA and HA, as already mentioned above, cannot be evaluated in any way as a presentation of commitments pursuant to Article 14-ter of Law 287/90, it is deemed appropriate to apply, due to its consideration as a mitigating circumstance, a reduction to the base amount by 20%. This reduction is applied regardless of the methods by which HERA and HA will proceed to carry out the competitive procedures, which, to date, have not yet been initiated. The specific methods of conducting the tenders are therefore not subject to evaluation in this context.</w:t>
      </w:r>
    </w:p>
    <w:p>
      <w:r>
        <w:t>216. Finally, it is deemed appropriate to apply point 30 of the aforementioned Guidelines which allows for an increase in the fine to be imposed on companies with particularly large revenues, beyond the sales of the goods and services to which the infringement refers, in order to ensure the most deterrent effect possible of the fine. In this case, the revenue of HERA and HA in the relevant market is less than 0.07% of HERA's consolidated revenue in 2012. To ensure a deterrent effect of the sanction, a 20% increase is therefore applied to the base amount of the sanction mentioned above.</w:t>
      </w:r>
    </w:p>
    <w:p>
      <w:r>
        <w:t>217. In consideration of the above, the final amount of the sanction is set at €1,898,700, imposed jointly on HERA and HA, which is less than 10% of the consolidated revenue for 2012 of both HERA and HA.</w:t>
      </w:r>
    </w:p>
    <w:p>
      <w:r>
        <w:t>All of the above having been stated and considered;</w:t>
      </w:r>
    </w:p>
    <w:p>
      <w:r>
        <w:t>DELIBERATION</w:t>
      </w:r>
    </w:p>
    <w:p>
      <w:r>
        <w:t>a) that the companies HERA S.p.A. and Herambiente S.p.A. have engaged in an abuse of a dominant position contrary to Article 3 of Law No. 287/90, consisting of having exclusively assigned to the subsidiary Akron S.p.A. without any fair, transparent, and non-discriminatory comparison and at a price lower than the market price, the urban joint collection waste of HERA S.p.A., resulting in a higher level of the tariff/tax for urban hygiene services in the municipalities where HERA S.p.A. is the Manager and excluding Akron S.p.A.'s competitors from access to an essential input for the production of paper waste 1.02;</w:t>
      </w:r>
    </w:p>
    <w:p>
      <w:r>
        <w:t>b) that the companies HERA S.p.A. and Herambiente S.p.A. cease the infringement and refrain in the future from engaging in behaviors similar to that which is the subject of the same infringement;</w:t>
      </w:r>
    </w:p>
    <w:p>
      <w:r>
        <w:t>c) to impose, jointly, on the companies HERA S.p.A. and Herambiente S.p.A., due to the severity and duration of the infringements referred to in point a), an administrative pecuniary sanction of €1,898,700 (one million eight hundred ninety-eight thousand seven hundred euros);</w:t>
      </w:r>
    </w:p>
    <w:p>
      <w:r>
        <w:t>d) that HERA S.p.A. and Herambiente S.p.A. submit within three months from the notification of this provision a report concerning the tender procedures, attaching the relevant notices before they are carried out, as well as, subsequently, for 5 years from the date of notification of this provision, submit an annual report regarding the measures taken to comply with this provision;</w:t>
      </w:r>
    </w:p>
    <w:p>
      <w:r>
        <w:t>e) that the request for an extension of the deadline for closing the procedure, made by HERA S.p.A. and Herambiente S.p.A. in the final hearing, is rejected.</w:t>
      </w:r>
    </w:p>
    <w:p>
      <w:r>
        <w:t>The administrative sanction referred to in the previous letter c) must be paid within ninety days from the notification of this provision, using the attached model F24 with identifying elements, pursuant to Legislative Decree No. 241/1997.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w:t>
      </w:r>
    </w:p>
    <w:p>
      <w:r>
        <w:t>Pursuant to Article 37, paragraph 49, of Decree-Law No. 223/2006, VAT-registered subjects are required to submit the F24 model electronically.</w:t>
      </w:r>
    </w:p>
    <w:p>
      <w:r>
        <w:t>After the aforementioned deadline, for the period of delay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w:t>
      </w:r>
    </w:p>
    <w:p>
      <w:r>
        <w:rPr>
          <w:b/>
        </w:rPr>
        <w:t>[Pages 73–75]</w:t>
      </w:r>
    </w:p>
    <w:p>
      <w:r>
        <w:t>BULLETIN NO. 11 OF MARCH 17, 2014 75</w:t>
      </w:r>
    </w:p>
    <w:p>
      <w:r>
        <w:t>concessionaire for collection; in this case, the increase absorbs the late payment interest accrued during the same period.</w:t>
      </w:r>
    </w:p>
    <w:p>
      <w:r>
        <w:t>Immediate notification of the payments made must be given to the Authority, through the sending of a copy of the form certifying the payment made.</w:t>
      </w:r>
    </w:p>
    <w:p>
      <w:r>
        <w:t>Pursuant to Article 26 of the same law, companies in economically disadvantaged conditions may request the payment of the penalty in installments.</w:t>
      </w:r>
    </w:p>
    <w:p>
      <w:r>
        <w:t>This provision will be notified to the interested parties and published in the Bulletin of the Competition and Market Authority.</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or an extraordinary appeal may be proposed to the President of the Republic, pursuant to Article 8, paragraph 2, of the Decree of the President of the Republic of November 24, 1971, No. 1199, within the term of one hundred and twenty days from the date of notification of the provision itself.</w:t>
      </w:r>
    </w:p>
    <w:p>
      <w:r>
        <w:t xml:space="preserve">THE SECRETARY GENERAL THE PRESIDENT </w:t>
        <w:br/>
        <w:t>Roberto Chieppa Giovanni Pitruzzella</w:t>
      </w:r>
    </w:p>
    <w:p>
      <w:r>
        <w:t>76 BULLETIN NO. 11 OF MARCH 17, 2014</w:t>
      </w:r>
    </w:p>
    <w:p>
      <w:r>
        <w:t>I744 - RCA TENDERS FOR LOCAL PUBLIC TRANSPORT</w:t>
      </w:r>
    </w:p>
    <w:p>
      <w:r>
        <w:t>Provision No. 24822</w:t>
      </w:r>
    </w:p>
    <w:p>
      <w:r>
        <w:t>THE COMPETITION AND MARKET AUTHORITY</w:t>
      </w:r>
    </w:p>
    <w:p>
      <w:r>
        <w:t>IN ITS MEETING of February 27, 2014;</w:t>
      </w:r>
    </w:p>
    <w:p>
      <w:r>
        <w:t>HEARD the Rapporteur Professor Piero Barucci;</w:t>
      </w:r>
    </w:p>
    <w:p>
      <w:r>
        <w:t>HAVING REGARD to Law No. 287 of October 10, 1990;</w:t>
      </w:r>
    </w:p>
    <w:p>
      <w:r>
        <w:t>HAVING REGARD to Article 101 of the Treaty on the Functioning of the European Union (TFEU);</w:t>
      </w:r>
    </w:p>
    <w:p>
      <w:r>
        <w:t>HAVING REGARD to Regulation No. 1/2003 of the Council of December 16, 2002;</w:t>
      </w:r>
    </w:p>
    <w:p>
      <w:r>
        <w:t>HAVING REGARD to its resolution of November 14, 2012, with which an investigation was initiated pursuant to Article 14 of Law No. 287/90, against the companies Assicurazioni Generali S.p.A., INA Assitalia S.p.A., Fondiaria SAI S.p.A. and Unipol Assicurazioni S.p.A. to ascertain the existence of violations of Article 2 of Law No. 287/90 and/or Article 101 of the TFEU in relation to the conduct of the procedures for the awarding of insurance coverage services for RC Auto in the local public transport sector;</w:t>
      </w:r>
    </w:p>
    <w:p>
      <w:r>
        <w:t>HAVING REGARD to the acts of the proceedings;</w:t>
      </w:r>
    </w:p>
    <w:p>
      <w:r>
        <w:t xml:space="preserve">HAVING CONSIDERED the elements acquired during the investigative activity, with particular reference to the complaint received from the company AMT Azienda Mobilità e Trasporti S.p.A. of Genoa and the responses to the requests for information from the companies Società per l’Ammodernamento e la Gestione delle Ferrovie e Tramvie Vicentine S.p.A., Umbria TPL e Mobilità S.p.A., Azienda Trasporti di Messina, ASM Rieti S.p.A., Tiemme S.p.A., ATAM Reggio Calabria S.p.A., from which it emerges that the conduct subject to proceeding No. I744 initiated on November 14, 2012, pursuant to Article 14 of Law No. 287/90 to ascertain the existence of violations of Article 2 of Law No. 287/90 or Article 101 TFEU, could also concern some procedures for the awarding of insurance coverage services for RC Auto carried out by said local public transport companies, specifically the awarding procedures carried out: </w:t>
        <w:br/>
        <w:t xml:space="preserve">- by AMT Azienda Mobilità e Trasporti S.p.A. of Genoa since 2009; </w:t>
        <w:br/>
        <w:t xml:space="preserve">- by the Società per l’Ammodernamento e la Gestione delle Ferrovie e Tramvie Vicentine S.p.A. since 2010; </w:t>
        <w:br/>
        <w:t xml:space="preserve">- by ATC TPL e Mobilità S.r.l. (now Umbria TPL e Mobilità S.p.A.) between 2006 and 2010; </w:t>
        <w:br/>
        <w:t xml:space="preserve">- by the Azienda Trasporti di Messina between 2006 and 2012; </w:t>
        <w:br/>
        <w:t xml:space="preserve">- by ASM Rieti S.p.A. in 2012; </w:t>
        <w:br/>
        <w:t xml:space="preserve">- by Tiemme S.p.A. since 2010; </w:t>
        <w:br/>
        <w:t>- by ATAM Reggio Calabria S.p.A. since 2010.</w:t>
      </w:r>
    </w:p>
    <w:p>
      <w:r>
        <w:t>THEREFORE CONSIDERED, to expand the scope of the investigation to ascertain possible violations of Article 2 of Law No. 287/90 or Article 101 TFEU concerning the methods of participation in the procedures for the awarding of insurance services for RC Auto of the above-listed TPL companies;</w:t>
      </w:r>
    </w:p>
    <w:p>
      <w:r>
        <w:t>ALSO CONSIDERED necessary, for the needs arising from the expansion of the scope of the proceedings, to extend the deadline for concluding the same;</w:t>
      </w:r>
    </w:p>
    <w:p>
      <w:r>
        <w:t>BULLETIN NO. 11 OF MARCH 17, 2014 77</w:t>
      </w:r>
    </w:p>
    <w:p>
      <w:r>
        <w:t>RESOLVES</w:t>
      </w:r>
    </w:p>
    <w:p>
      <w:r>
        <w:t xml:space="preserve">a) to objectively expand the investigation to ascertain possible violations of Article 2 of Law No. 287/90 or Article 101 TFEU concerning the methods of participation in the procedures for the awarding of insurance services for RC Auto of AMT Azienda Mobilità e Trasporti S.p.A. of Genoa, Società per l’Ammodernamento e la Gestione delle Ferrovie e Tramvie Vicentine S.p.A., Umbria TPL e Mobilità S.p.A., Azienda Trasporti di Messina, ASM Rieti S.p.A., Tiemme S.p.A. and ATAM Reggio Calabria S.p.A.; </w:t>
        <w:br/>
        <w:t xml:space="preserve">b) to set the deadline of thirty days from the notification of this provision for the exercise by the legal representatives of the parties of the right to be heard, specifying that the request for a hearing must be received by the Credit Directorate of the General Directorate for Competition of this Authority at least fifteen days before the expiration of the above-mentioned deadline; </w:t>
        <w:br/>
        <w:t xml:space="preserve">c) that the person responsible for the proceedings is Dr. Bianca Maria Cammino; </w:t>
        <w:br/>
        <w:t xml:space="preserve">d) that the acts of the proceedings can be viewed by the companies against which the investigation is being conducted, or by persons delegated by them, at the Credit Directorate of the General Directorate for Competition of this Authority; </w:t>
        <w:br/>
        <w:t>e) to extend the deadline for concluding the proceedings to November 30, 2014.</w:t>
      </w:r>
    </w:p>
    <w:p>
      <w:r>
        <w:t>This provision will be notified to the interested parties and published in the Bulletin of the Competition and Market Authority.</w:t>
      </w:r>
    </w:p>
    <w:p>
      <w:r>
        <w:t xml:space="preserve">THE SECRETARY GENERAL THE PRESIDENT </w:t>
        <w:br/>
        <w:t>Roberto Chieppa Giovanni Pitruzzella</w:t>
      </w:r>
    </w:p>
    <w:p>
      <w:r>
        <w:rPr>
          <w:b/>
        </w:rPr>
        <w:t>[Pages 76–78]</w:t>
      </w:r>
    </w:p>
    <w:p>
      <w:r>
        <w:t>78 BULLETIN NO. 11 OF MARCH 17, 2014</w:t>
      </w:r>
    </w:p>
    <w:p>
      <w:r>
        <w:t>I760 - ROCHE-NOVARTIS/AVASTIN AND LUCENTIS MEDICINES</w:t>
      </w:r>
    </w:p>
    <w:p>
      <w:r>
        <w:t>Provision No. 24823</w:t>
      </w:r>
    </w:p>
    <w:p>
      <w:r>
        <w:t>THE ANTITRUST AUTHORITY</w:t>
      </w:r>
    </w:p>
    <w:p>
      <w:r>
        <w:t>IN ITS MEETING of February 27, 2014;</w:t>
      </w:r>
    </w:p>
    <w:p>
      <w:r>
        <w:t>HEARD the Rapporteur Professor Piero Barucci;</w:t>
      </w:r>
    </w:p>
    <w:p>
      <w:r>
        <w:t>HAVING REGARD to Article 101 of the Treaty on the Functioning of the European Union;</w:t>
      </w:r>
    </w:p>
    <w:p>
      <w:r>
        <w:t>HAVING REGARD to the Presidential Decree of April 30, 1998, No. 217;</w:t>
      </w:r>
    </w:p>
    <w:p>
      <w:r>
        <w:t>HAVING REGARD to Council Regulation (EC) No. 1/2003, of December 16, 2002;</w:t>
      </w:r>
    </w:p>
    <w:p>
      <w:r>
        <w:t>HAVING REGARD to the Commission Communication on cooperation within the network of competition authorities, of April 27, 2004;</w:t>
      </w:r>
    </w:p>
    <w:p>
      <w:r>
        <w:t>HAVING REGARD to the resolution of February 6, 2013, which initiated an investigation, pursuant to Article 14 of Law No. 287 of October 10, 1990, against the companies F.Hoffmann-La Roche Ltd., Genentech Inc., Novartis AG, Novartis Farma S.p.A., Roche S.p.A. to ascertain the existence of violations of Article 101 TFEU;</w:t>
      </w:r>
    </w:p>
    <w:p>
      <w:r>
        <w:t>HAVING REGARD to the communication of the investigative findings, sent to the parties on October 25, 2013, and the subsequent clarifications sent on December 20, 2013;</w:t>
      </w:r>
    </w:p>
    <w:p>
      <w:r>
        <w:t>HAVING REGARD to the communication to the European Commission, pursuant to Article 11, paragraph 4, of Regulation (EC) No. 1/2003;</w:t>
      </w:r>
    </w:p>
    <w:p>
      <w:r>
        <w:t>HAVING REGARD to the resolutions adopted on November 13, 2013, and December 20, 2013, in which the deadline for closing the procedure was extended to February 13, 2014, and February 28, 2014, respectively;</w:t>
      </w:r>
    </w:p>
    <w:p>
      <w:r>
        <w:t>HAVING REGARD to the acts of the procedure and the documentation acquired during the investigation;</w:t>
      </w:r>
    </w:p>
    <w:p>
      <w:r>
        <w:t>CONSIDERING the following:</w:t>
      </w:r>
    </w:p>
    <w:p>
      <w:r>
        <w:t>I. THE INVESTIGATIVE PROCEDURE</w:t>
      </w:r>
    </w:p>
    <w:p>
      <w:r>
        <w:t>1. On February 6, 2013, following some complaints received from the Italian Association of Dedicated Private Day Surgery Units (also Aiudapds) and the Italian Ophthalmological Society (SOI), the Antitrust Authority (Authority) initiated an investigation, pursuant to Article 14 of Law No. 287/1990, against the companies F.Hoffmann-La Roche Ltd. (Roche), Genentech Inc. (Genentech), Novartis AG (Novartis), Novartis Farma S.p.A. (Novartis Farma), Roche S.p.A. (Roche Italia), for alleged violations of Article 101 TFEU regarding the marketing in Italy of the medicines Avastin and Lucentis.</w:t>
      </w:r>
    </w:p>
    <w:p>
      <w:r>
        <w:t>2. On February 14, 2013, inspections were carried out at the premises of Roche Italia, Novartis Farma, and Alcon Italia S.p.A., the latter being part of the Novartis group. The notification of the initiation of the investigation to the foreign companies Roche, Novartis, and Genentech was carried out according to the international notification procedures of the original provision in Italian with a translated copy, managed by the Single Office of Judicial Officers of the Court of Rome. Roche and Novartis were notified of the aforementioned provisions on March 19, 2013, through the Zivilgericht Basel-Stadt; Genentech was notified on April 5, 2013, through Process Forwarding International, Official Process Server to U.S. Department of Justice and U.S. State Department.</w:t>
      </w:r>
    </w:p>
    <w:p>
      <w:r>
        <w:t>3. On March 26, 2013, the Emilia-Romagna Region and the consumer association Altroconsumo (Altroconsumo) submitted a request to participate in the procedure pursuant to Article 7, paragraph 1, letter b), of Presidential Decree No. 217/1998, which was accepted.</w:t>
      </w:r>
    </w:p>
    <w:p>
      <w:r>
        <w:t>4. During the procedure, the following hearings were held: the Emilia-Romagna Region was heard on May 27, 2013; Aiudapds on May 29, 2013; the Veneto Region on May 31, 2013; SOI on June 14, 2013; the Italian Medicines Agency (AIFA) on June 17, 2013; Roche, Genentech, and Roche Italia jointly on June 19, 2013.</w:t>
      </w:r>
    </w:p>
    <w:p>
      <w:r>
        <w:t>5. Requests for information were addressed to the companies Roche, Novartis, Genentech, Roche Italia, Novartis Farma, Pfizer Italia S.r.l. (Pfizer), Bayer S.p.A. (Bayer), IMS Health S.p.A. (IMS), as well as to the European Medicines Agency (EMA). Roche and Novartis, to whom information was requested on May 9, 2013, initially indicated the need to obtain specific authorization for the transmission of the requested information from the competent Swiss authorities pursuant to Article 271 of the Swiss Penal Code. The two companies then carried out the necessary activities to obtain such authorization, providing the requested information on July 11, 2013 (Roche) and August 9, 2013 (Novartis).</w:t>
      </w:r>
    </w:p>
    <w:p>
      <w:r>
        <w:t>6. The parties repeatedly exercised the right of access to the documents of the procedure, starting from March 2013.</w:t>
      </w:r>
    </w:p>
    <w:p>
      <w:r>
        <w:t>7. On October 25, 2013, the communication of the investigative findings (CRI) was sent to the parties, setting the deadline for acquiring evidence, pursuant to Article 14, paragraph 1, of Law No. 287 of October 10, 1990, and Article 14, paragraph 2, of Presidential Decree No. 217 of April 30, 1998, to November 27, 2013. On December 20, 2013, following requests from the parties, clarifications were sent regarding the methods of calculating the economic estimates contained in the CRI: consequently, in order to allow for a full contradiction, the deadline for acquiring evidence was postponed to January 27, 2014. The deadline for closing the procedure was extended for the first time at the request of the companies to February 13, 2014, and then to February 28, 2014, as a result of the postponement of the deadline for acquiring evidence mentioned above.</w:t>
      </w:r>
    </w:p>
    <w:p>
      <w:r>
        <w:t>8. All parties to the procedure submitted final submissions, which were received on January 22, 2014: on January 27, 2014, the final hearing took place before the Authority's College.</w:t>
      </w:r>
    </w:p>
    <w:p>
      <w:r>
        <w:t>II. THE PARTIES</w:t>
      </w:r>
    </w:p>
    <w:p>
      <w:r>
        <w:t>9. F.Hoffmann-La Roche Ltd. (Roche) is a Swiss company with its registered office in Basel, the operational head of the Roche group, which is globally active in the production and marketing of pharmaceutical and diagnostic products. The control of the group is attributable to some members of the Roche-Oeri family through Roche Holding Ltd., of which they hold a total of 50.01% based on a shareholder pooling agreement established in 1948 and still in force; the remaining share capital is distributed among a company that is part of the Novartis group, holding a 33.33% stake, and other minor shareholders. In 2012, Roche's global revenue was [10-15 billion] euros.</w:t>
      </w:r>
    </w:p>
    <w:p>
      <w:r>
        <w:t>10. Genentech Inc. (Genentech) is a U.S. corporation with its registered office in San Francisco, active in the development and production of biotechnology drugs. Genentech is part of the Roche group as it is wholly controlled by Roche, which has held the absolute majority since 1990 with the purchase of a 55.9% stake, and finally acquired the entire share capital in March 2009 with a public offer for the remaining 44.1%. In 2012, Genentech's global revenue was [10-15 billion] euros.</w:t>
      </w:r>
    </w:p>
    <w:p>
      <w:r>
        <w:t>11. Roche S.p.A. (Roche Italia) is the Italian subsidiary of the Roche group and has its registered office in Milan. In 2012, Roche Italia's revenue was 951,850,000 euros, entirely generated in Italy.</w:t>
      </w:r>
    </w:p>
    <w:p>
      <w:r>
        <w:t>12. Novartis AG (Novartis) is a Swiss public limited company with its registered office in Basel, the operational head of the eponymous Swiss group, which is globally active in the production and marketing of pharmaceutical products. Novartis is a public company listed on the stock exchanges of Zurich and New York. In 2012, the global revenue of the Novartis group was [40-45 billion] euros.</w:t>
      </w:r>
    </w:p>
    <w:p>
      <w:r>
        <w:t>13. Novartis Farma S.p.A. (Novartis Farma) is the Italian subsidiary of the Novartis group and has its registered office in Origgio (Varese). In 2012, Novartis Farma's revenue was 957,262,000 euros, entirely generated in Italy.</w:t>
      </w:r>
    </w:p>
    <w:p>
      <w:r>
        <w:t>14. The Italian Association of Dedicated Private Day Surgery Units (Aiudapds) is an association of about forty private healthcare facilities operating nationwide, some of which specialize in ophthalmology. Aiudapds is a party to the procedure as a complainant.</w:t>
      </w:r>
    </w:p>
    <w:p>
      <w:r>
        <w:t>15. The Italian Ophthalmological Society (SOI) is a scientific association with about 5,000 members, representing over 60% of ophthalmologists operating nationwide. SOI, which is the largest ophthalmological society in Europe, is a party to the procedure as a complainant.</w:t>
      </w:r>
    </w:p>
    <w:p>
      <w:r>
        <w:t>16. The Emilia-Romagna Region is a region with ordinary statute of the Italian State, with its capital in Bologna and a population of about 4.5 million inhabitants.</w:t>
      </w:r>
    </w:p>
    <w:p>
      <w:r>
        <w:t>17. The Altroconsumo Association (Altroconsumo) is a non-profit consumer association registered with the National Council of Consumers and Users, with its registered office in Milan and about 300,000 members.</w:t>
      </w:r>
    </w:p>
    <w:p>
      <w:r>
        <w:t>IV. THE INVESTIGATIVE FINDINGS</w:t>
      </w:r>
    </w:p>
    <w:p>
      <w:r>
        <w:t>18. The business conduct relevant to the above procedure concerns certain biotechnology drugs used in the treatment of eye diseases. Given the high</w:t>
      </w:r>
    </w:p>
    <w:p>
      <w:r>
        <w:rPr>
          <w:b/>
        </w:rPr>
        <w:t>[Pages 79–81]</w:t>
      </w:r>
    </w:p>
    <w:p>
      <w:r>
        <w:t>BULLETIN NO. 11 OF MARCH 17, 2014 81</w:t>
      </w:r>
    </w:p>
    <w:p>
      <w:r>
        <w:t>specificity of the subject matter, some relevant information from a regulatory and industrial perspective is provided below.</w:t>
      </w:r>
    </w:p>
    <w:p>
      <w:r>
        <w:t>iv.i The regulatory context</w:t>
      </w:r>
    </w:p>
    <w:p>
      <w:r>
        <w:t>19. With specific reference to European Union (EU) law, the main regulation of pharmaceutical products intended for human use is contained in Directive 2001/83/EC and Regulation No. 726/2004/EC.</w:t>
      </w:r>
    </w:p>
    <w:p>
      <w:r>
        <w:t>Marketing authorization and pharmacovigilance</w:t>
      </w:r>
    </w:p>
    <w:p>
      <w:r>
        <w:t>20. A pharmaceutical product can only be placed on the market after a long scientific-administrative process, consisting of various phases of study and experimentation, following the obtaining of a Marketing Authorization (AIC) from the relevant authorities (so-called drug agencies). While in the United States (USA) the competent drug agency for issuing the relevant AIC is the U.S. Food and Drug Administration (FDA), within the EU there is a division of responsibilities between the European Medicines Agency (EMA) and national authorities of the individual Member States.</w:t>
      </w:r>
    </w:p>
    <w:p>
      <w:r>
        <w:t>21. More specifically, pursuant to Regulation No. 726/2004/EC, the EMA has exclusive competence over the centralized procedure for obtaining an AIC valid at the community level. This procedure is provided exclusively for a specific series of drugs, including biotechnological ones, and consists of an evaluation of the documentation submitted by the requesting company (Marketing Authorization Holder, MAH) which is carried out by a specific scientific committee (Committee for Human Medicinal Products, CHMP) and transmitted to the EU Commission, which adopts a decision granting an AIC valid throughout the EU territory. Also, the EMA, based on the evaluations of the CHMP, is responsible for any interventions to review the AIC of a drug authorized through the centralized procedure, interventions that may depend on (1) the emergence of changes in the risk/benefit profile, (2) specific requests from the MAH.</w:t>
      </w:r>
    </w:p>
    <w:p>
      <w:r>
        <w:t>22. When the centralized procedure is not provided, the administration of the AIC of a drug remains the responsibility of the individual national drug agencies, each for its own territory. With regard to Italy, the reference subject in this sense is the Italian Medicines Agency (AIFA), a public law entity with legal personality, established by Decree Law No. 269 of September 30, 2003, converted into Law No. 326 of November 24, 2003.</w:t>
      </w:r>
    </w:p>
    <w:p>
      <w:r>
        <w:t>23. At the same time as the granting of the AIC, whether centralized or national, the competent drug agency approves a document relating to the therapeutic indications, routes, and methods of administration of the drug: this document, called the Summary of Product Characteristics (RCP, the Italian translation of Summary of Product Characteristics, SmPC, included in the general information document prepared by the EMA for each drug and called the European Public Assessment Report, EPAR), represents the fundamental guiding act for the standard use of the product by doctors and healthcare facilities: such use is defined according to label/registration, or "on-label."</w:t>
      </w:r>
    </w:p>
    <w:p>
      <w:r>
        <w:t>24. The drug agencies also provide for the monitoring of the safety of products after their marketing. This activity, known as pharmacovigilance, corresponds to programs for the surveillance of drugs on the market aimed at monitoring the risks of products for patient health or public health: this occurs through the collection in specific databases of all reports related to negative side effects/serious adverse events of a drug (Adverse Drug Reactions/Serious Adverse Events) observed in medical practice or in new research. National agencies maintain databases related to the territory of their State, while at the supranational level, some general reference databases operate, particularly those managed by the EMA, FDA, and the World Health Organization (WHO).</w:t>
      </w:r>
    </w:p>
    <w:p>
      <w:r>
        <w:t>25. Pursuant to current community legislation (in particular Articles 101 et seq. of Directive 2001/83/EC, and Articles 16 et seq. of Regulation No. 726/2004/EC), the responsibility for pharmacovigilance rests with the EMA and the authorities of the Member States in general, as well as with the MAH of the drug. When the number of recorded adverse events reaches a significant level, a communication regarding the safety of the product is adopted and circulated by the MAH, intended for healthcare professionals (Dear HealthCare Professional, DHCP, sometimes also referred to as Dear Doctor Letter, DDL): the sending and content of a DHCP must be agreed upon by the MAH with the EMA, while circulation in the various Member States must be further authorized by the individual competent national agencies.</w:t>
      </w:r>
    </w:p>
    <w:p>
      <w:r>
        <w:t>26. National agencies, such as AIFA, have exclusive competence for determining the prices of drugs valid in their respective Member States and for the possible provision of coverage of the resulting costs by the National Health Service (SSN). The methods for defining these matters also vary considerably across different legal systems, although there is a substantial recurrence of certain negotiation mechanisms between pharmaceutical companies and the competent national entities. With specific reference to Italy, it should be noted that, by virtue of the universalistic and solidarity principle of access to care that characterizes the SSN, the various Regional Health Systems (SSR) fully cover the costs of drugs and treatments deemed essential for the health of citizens.</w:t>
      </w:r>
    </w:p>
    <w:p>
      <w:r>
        <w:t>Use of off-label drugs</w:t>
      </w:r>
    </w:p>
    <w:p>
      <w:r>
        <w:t>27. Compliance with the RCP of a drug in terms of therapeutic indications and/or methods of administration is the basis of on-label use, or according to label. Nevertheless, when deemed useful for patient health, based on the fundamental principle of freedom of judgment and independence of therapeutic choice inherent to their profession, a doctor may decide to use a drug outside the indications reported in the RCP. This use, commonly referred to as off-label, may pertain to the use of the drug according to (i) a different therapeutic indication, (ii) a different dosage, (iii) a different patient group, compared to those for which it obtained the AIC and reported in the RCP.</w:t>
      </w:r>
    </w:p>
    <w:p>
      <w:r>
        <w:t>28. The practice of off-label use is very widespread, particularly in some important therapeutic areas: the support from clinical-scientific evidence for off-label uses of drugs, however, varies from case to case, often not existing at all. Despite its prevalence, the phenomenon of off-label use remains devoid of common references at the international level from a regulatory perspective: for example, there is a lack of a shared definition of such practices, and it is therefore necessary to consider any existing regulations in the various legal systems.</w:t>
      </w:r>
    </w:p>
    <w:p>
      <w:r>
        <w:t>29. With reference to the EU, there is a generic reference to the legitimacy of existing national provisions in this regard, provided for by Article 5, paragraph 1, of Directive 2001/83/EC, according to which "a Member State may, in accordance with the legislation in force and to meet special needs, exclude from the scope of this directive medicines supplied to meet a bona fide unsolicited order, prepared in accordance with the prescriptions of an authorized healthcare professional and intended for a specific patient under their personal and direct responsibility." A ruling from the Court of Justice has recently provided a restrictive interpretation of off-label applications, noting that these must</w:t>
      </w:r>
    </w:p>
    <w:p>
      <w:r>
        <w:rPr>
          <w:b/>
        </w:rPr>
        <w:t>[Pages 82–84]</w:t>
      </w:r>
    </w:p>
    <w:p>
      <w:r>
        <w:t>84 BULLETIN NO. 11 OF MARCH 17, 2014</w:t>
      </w:r>
    </w:p>
    <w:p>
      <w:r>
        <w:t>to respond to special medical needs, based on strictly therapeutic considerations and in the absence of drugs already authorized for the same indication.</w:t>
      </w:r>
    </w:p>
    <w:p>
      <w:r>
        <w:t>30. As for the regulation of off-label uses currently in force in Italy, it consists of a complex combined provision of regulations that have been adopted over time for different purposes, from managing emergency issues related to the use of experimental therapies to economic reasons concerning the coverage of healthcare costs by the National Health Service (SSN). The main reference in this regard is the decree-law of October 21, 1996, No. 536, converted into law on December 23, 1996, No. 648, in Article 1, paragraph 4, which states that "when there is no valid therapeutic alternative, innovative medicines whose marketing is authorized in other States but not in the national territory may be provided at the total expense of the [SSN], starting from January 1, 1997, as well as medicines not yet authorized but undergoing clinical trials and medicines to be used for a therapeutic indication different from that authorized"; for this purpose, the drugs in question are included "in a special list prepared and periodically updated" by AIFA ("List 648").</w:t>
      </w:r>
    </w:p>
    <w:p>
      <w:r>
        <w:t>31. Since 1996, therefore, the SSN can provide at its own expense drugs used off-label, provided they are included in List 648 following a specific decision by AIFA. According to what was represented during the investigation by the General Director of EMA (formerly the General Director of AIFA), Law No. 648/1996 with its consequent list was introduced "not to deny patients a hope of treatment. In reality, it has proven to be a tool of great advantage primarily for the industry. It constitutes an early commercial advantage with off-label use in the absence of authorization (AIC), and it also allows for the production of efficacy data for new therapeutic indications that may be useful for a subsequent registration phase (development funded by the SSN!)".</w:t>
      </w:r>
    </w:p>
    <w:p>
      <w:r>
        <w:t>32. In light of this general provision, Article 3 of the decree-law of February 17, 1998, No. 23, converted with amendments by Law April 8, 1998, No. 94 (the so-called Di Bella law), has subordinated the prescriptibility of off-label drugs – and their use at the expense of the SSN – to the conviction of the attending physician that their patient cannot be treated with already approved medicines (i.e., those with an AIC that expressly states the relevant therapeutic indication), provided that similar off-label use has already been documented in the scientific literature.</w:t>
      </w:r>
    </w:p>
    <w:p>
      <w:r>
        <w:t>11 Court of Justice EU, judgment of March 29, 2012, C-185/10, Commission v. Poland, para. 30 et seq.</w:t>
      </w:r>
    </w:p>
    <w:p>
      <w:r>
        <w:t>12 According to what was reported by the General Director of AIFA, "The existence of such regulation represents a peculiarity of the Italian legal system: in other countries, both EU and non-EU, different rules apply that, on the one hand, generally do not provide for the coverage of expenses for off-label uses by the competent SSN, and on the other hand, allow attending physicians to maintain decision-making autonomy" (doc. 321, minutes of AIFA hearing, p. 3).</w:t>
      </w:r>
    </w:p>
    <w:p>
      <w:r>
        <w:t>13 See doc. 307, communication from the General Director of EMA, p. 5. The considerations in this regard continue by noting that "the price element is also fundamental. For these drugs, the purchase by the SSN occurs without negotiation, the price is imposed by the company and is generally very high due to the asserted innovativeness. The advantage persists even when subsequent studies confirm the efficacy hypothesized during the off-label use phase and the data allow for the extension of the AIC. The pharmaceutical company, having already distributed the drug at a non-negotiated price, has no need to hasten the negotiation, which occurs in a situation of necessity, since at that point several patients will be undergoing treatment. This constitutes an evident negotiating advantage for the industry" (ibidem, pp. 5-6).</w:t>
      </w:r>
    </w:p>
    <w:p>
      <w:r>
        <w:t>14 "In individual cases, the attending physician may, under their direct responsibility and after informing the patient and obtaining their consent, use an industrially produced medicine for an indication or route of administration or method of administration or use different from that authorized, or recognized for the purposes of applying Article 1, paragraph 4, of the decree-law of October 21, 1996, No. 536, converted, with amendments, by Law December 23, 1996, No. 648, when the physician believes, based on documentable data, that the patient cannot be effectively treated with medicines for which that therapeutic indication or route or method of administration is already approved and provided that such use is known and conforms to works published in accredited scientific publications internationally."</w:t>
      </w:r>
    </w:p>
    <w:p>
      <w:r>
        <w:t>BULLETIN NO. 11 OF MARCH 17, 2014 85</w:t>
      </w:r>
    </w:p>
    <w:p>
      <w:r>
        <w:t>33. Article 1, paragraph 796, letter z), of Law December 27, 2006, No. 296 (Financial Law 2007) has therefore introduced an additional limitation on the prescriptions of off-label drugs within the SSN and at its expense, establishing that the use of pharmacological therapies with modalities or indications different from those authorized is allowed only within the framework of clinical trials, prohibiting it when it assumes a widespread and systematic character and is configured as a therapeutic alternative for patients suffering from diseases for which specific drugs are authorized under the respective RCP. Furthermore, Article 2, paragraph 348, of Law December 24, 2007, No. 244 (Financial Law 2008), has stipulated that for the treatment of a specific pathology, a drug that is not authorized for marketing cannot be prescribed under any circumstances, unless it is at least in an advanced phase of accredited experimentation.</w:t>
      </w:r>
    </w:p>
    <w:p>
      <w:r>
        <w:t>34. In light of the regulatory framework thus outlined, it can be noted that in Italy the prescription of off-label drugs is legitimate but has undergone progressive limitations, mostly determined by the legislator's intention to curb the widespread use in the SSN of drugs with particularly high costs at its expense. This has occurred through interventions that have significantly impacted the profiles of responsibility of the attending physician, combining with a regulation of professional liability already characterized by a peculiar complexity.</w:t>
      </w:r>
    </w:p>
    <w:p>
      <w:r>
        <w:t>35. Such complexity, with the resulting interpretative difficulties, has recently been exacerbated by the innovations introduced by Article 3, paragraph 1, of decree-law September 13, 2012, No. 158, converted into law November 8, 2012, No. 189, which, by providing that adherence by the healthcare operator to guidelines and good practices accredited by the scientific community excludes their criminal liability for slight negligence, has at the same time referred to an unprecedented criterion of civil liability of an extracontractual type, likely to weigh particularly on physicians regarding their treatment decisions for patients and consequently conditioning the fears of professionals regarding the emergence of damage actions against them when, as in the case of off-label drug prescriptions (both at the expense of the SSN and directly from the patient), information on the safety of such therapies may be controversial.</w:t>
      </w:r>
    </w:p>
    <w:p>
      <w:r>
        <w:t>iv.ii The market context</w:t>
      </w:r>
    </w:p>
    <w:p>
      <w:r>
        <w:t>Eye diseases and their treatments</w:t>
      </w:r>
    </w:p>
    <w:p>
      <w:r>
        <w:t>36. The reports that initiated the present investigative procedure concerned two products, Avastin and Lucentis, whose use occurs in the treatment of a series of ocular diseases very common in the population – exudative maculopathies and neovascular glaucoma – determined in their entirety by vascular disorders and more specifically by the proliferation of new blood vessels, a biological process known as "angiogenesis."</w:t>
      </w:r>
    </w:p>
    <w:p>
      <w:r>
        <w:t>37. Exudative maculopathies are a group of ocular conditions that affect the central area of the retina responsible for distinct vision, called the macula. Among these diseases, the following are particularly noteworthy:</w:t>
        <w:br/>
        <w:t>- wet Age-related Macular Degeneration (AMD). The main risk factor for AMD is advanced age: according to recent studies, at least 60% of individuals over sixty suffer from more or less severe forms of AMD resulting in low vision, and of these, at least 4% are affected by a form so advanced that they are at risk of blindness. AMD is the leading cause of blindness in industrialized countries and the third worldwide, with a homogeneous distribution both demographically and territorially in industrialized countries. Worldwide, at least thirty million people suffer from AMD, while in Italy it is estimated that about one million people are affected by AMD, of which three hundred thousand have the most severe form;</w:t>
        <w:br/>
        <w:t>- Diabetic Macular Edema (DME). DME is the most common cause of loss of visual function in diabetic patients: worldwide, at least thirty million people suffer from DME, while in Italy it is estimated that the number of patients is nearly two hundred thousand;</w:t>
        <w:br/>
        <w:t>- Retinal Vein Occlusion (RVO). RVO depends on a group of rather common retinal vascular diseases, with a higher incidence in the elderly population; in Italy, it is estimated that the number of patients is nearly one hundred thousand;</w:t>
        <w:br/>
        <w:t>- Myopic Macular Degeneration (MMD). Unlike the previous conditions, this pathology is not age-related, occurring already in the young population affected by high pathological myopia (greater than six diopters).</w:t>
      </w:r>
    </w:p>
    <w:p>
      <w:r>
        <w:rPr>
          <w:b/>
        </w:rPr>
        <w:t>[Pages 85–87]</w:t>
      </w:r>
    </w:p>
    <w:p>
      <w:r>
        <w:t>BULLETIN NO. 11 OF MARCH 17, 2014 87</w:t>
      </w:r>
    </w:p>
    <w:p>
      <w:r>
        <w:t>38. The further pathology for which the drugs Avastin and Lucentis are used is neovascular glaucoma, which is a chronic and progressive damage to the optic nerve, usually occurring in diabetic patients. While in the early and less severe forms of the disease, intraocular pressure is kept under control through non-invasive pharmacological applications (e.g., eye drops), as conditions worsen, it may become necessary to resort to interventions such as those described below.</w:t>
      </w:r>
    </w:p>
    <w:p>
      <w:r>
        <w:t>39. Numerous therapies have been developed over time for the treatment of ophthalmic pathologies. Until the 1990s, the most common treatments were laser surgery and photodynamic therapy (in the latter case using Visudyne, the trade name for the active ingredient verteporfin, marketed by Novartis): the risks of damaging healthy tissues, the limited applicability to a small number of patients, and the predominantly temporary results of both therapies have, however, led to their residual use. This decline has been significantly influenced by the advent of a new therapeutic standard based on the use of drugs capable of blocking the development of capillaries within the eye, which, as already seen, are the origin of both exudative maculopathies and neovascular glaucoma.</w:t>
      </w:r>
    </w:p>
    <w:p>
      <w:r>
        <w:t>40. The newly introduced drugs are biotechnological products whose mechanism of action consists of intervening on a group of proteins that act as vascular growth factors (Vascular-Endothelial Growth Factor, "VEGF") which, in addition to occurring within the eye, are also the basis of pathological phenomena such as tumor formation and the development of metastases. Some innovative therapies initiated in the early 1990s have therefore included the treatment of various tumor forms with drugs aimed at counteracting VEGF in combination with chemotherapy, leading to the same drugs being referred to as "anti-VEGF" or "anti-angiogenic."</w:t>
      </w:r>
    </w:p>
    <w:p>
      <w:r>
        <w:t>41. Unlike what occurs with the anti-VEGF therapies developed so far for the treatment of tumors, whose benefits tend to be mostly transient, in applications to the aforementioned ophthalmic pathologies, anti-VEGF drugs have demonstrated the ability to block, and in some cases even reverse, vision loss. These treatments are administered via injection into the eye (so-called intravitreal) primarily on an outpatient basis and for a variable number of times (generally three monthly, but with the possibility that the number of injections may reach six to seven over the course of a year to achieve definitive stabilization of visual capacity).</w:t>
      </w:r>
    </w:p>
    <w:p>
      <w:r>
        <w:t>42. From the perspective of international medical-pharmaceutical classification, and particularly in light of the ATC Index developed by the WHO, these drugs fall under the third level S01L, related to products for the treatment of ocular vascular disorders (Ocular Vascular Disorder Agents), representing within it a specific class of anti-angiogenic products (S01LA, Antineovascularisation agents). This category also includes a drug with a mechanism of action different from anti-VEGF (Ozurdex, the trade name for the active ingredient dexamethasone, marketed by Allergan) and some corticosteroid drugs (with active ingredients triamcinolone and anecortave) used off-label: in both cases, as will be seen later, the uses are marginal.</w:t>
      </w:r>
    </w:p>
    <w:p>
      <w:r>
        <w:t>43. The first anti-VEGF drug used in ophthalmology was Macugen (the trade name for the active ingredient pegaptanib), marketed by Pfizer with an AIC for the treatment of AMD released by the FDA in December 2004 and by the EMA in February 2006. In the second half of 2005, immediately after the introduction of Macugen in the U.S. market, the off-label use of Avastin, which had until then been intended exclusively for anti-tumor uses, gained traction. Subsequently, in June 2006 and January 2007, Genentech and Novartis obtained authorization from the FDA and EMA respectively for Lucentis for the treatment of AMD. Finally, in November 2011 and November 2012, the FDA and EMA authorized another anti-VEGF drug called Eylea (active ingredient aflibercept) for the treatment of AMD, marketed in Europe by Bayer.</w:t>
      </w:r>
    </w:p>
    <w:p>
      <w:r>
        <w:t>44. In light of these approvals, the following anti-VEGF drugs are currently available on the market: (1) Macugen (Pfizer); (2) Avastin (Roche); (3) Lucentis (Novartis); (4) Eylea (Bayer). More generally, regarding the treatment of ophthalmic pathologies due to the aforementioned vascular disorders, the drugs (non anti-VEGF) Ozurdex (Allergan) and Visudyne (Novartis) should also be mentioned, along with some corticosteroid drugs based on triamcinolone and anecortave currently under investigation.</w:t>
      </w:r>
    </w:p>
    <w:p>
      <w:r>
        <w:t>Table 1</w:t>
        <w:br/>
        <w:t>MAIN DRUGS USED IN ITALY FOR THE TREATMENT OF VISION PATHOLOGIES RELATED TO VASCULAR DISORDERS IN THE EYE</w:t>
      </w:r>
    </w:p>
    <w:p>
      <w:r>
        <w:t>| Drug       | Date of Introduction | Current Price (euros) | Class of Reimbursement | Format of Distribution |</w:t>
        <w:br/>
        <w:t>|------------|----------------------|------------------------|------------------------|------------------------|</w:t>
        <w:br/>
        <w:t>| Avastin    | May 2007             | 81.64                  | Off-label              | 0.1 ml single-dose vial |</w:t>
        <w:br/>
        <w:t>| Lucentis   | December 2008        | 902.00                 | H                      | 0.23 ml single-dose syringe |</w:t>
        <w:br/>
        <w:t>| Macugen    | December 2008        | 753.47                 | H                      | 0.3 ml single-dose syringe |</w:t>
        <w:br/>
        <w:t>| Eylea      | May 2013            | 900.00                 | C                      | 0.3 ml implant |</w:t>
        <w:br/>
        <w:t>| Ozurdex    | December 2010        | 1044.00                | H                      | Intravitreal |</w:t>
        <w:br/>
        <w:t>| Visudyne   | November 2000        | 1060.20                | H                      | Infusion solution |</w:t>
      </w:r>
    </w:p>
    <w:p>
      <w:r>
        <w:t>Source: elaboration based on documents from the investigation file and public information</w:t>
      </w:r>
    </w:p>
    <w:p>
      <w:r>
        <w:t>45. In this regard, however, it should be noted that (i) non-anti-angiogenic drugs find marginal and residual use in ophthalmology; (ii) Macugen, due to its mechanism of action limited to a single subtype of VEGF, has soon been considered clinically much less effective than the other drugs that became available over time; (iii) Avastin, although never registered for ophthalmic applications and thus used exclusively off-label, quickly became the reference anti-angiogenic drug in ophthalmology; (iv) Eylea has only been marketed very recently and for applications limited to AMD.</w:t>
      </w:r>
    </w:p>
    <w:p>
      <w:r>
        <w:t>46. From the elements mentioned above, it follows that Avastin and Lucentis account for the vast majority of anti-VEGF drug applications in ophthalmology, and more generally for the treatment of vision pathologies due to vascular disorders in the eye.</w:t>
      </w:r>
    </w:p>
    <w:p>
      <w:r>
        <w:rPr>
          <w:b/>
        </w:rPr>
        <w:t>[Pages 88–90]</w:t>
      </w:r>
    </w:p>
    <w:p>
      <w:r>
        <w:t>90 BULLETIN NO. 11 OF MARCH 17, 2014</w:t>
      </w:r>
    </w:p>
    <w:p>
      <w:r>
        <w:t>The following paragraphs provide a specific consideration of Avastin and Lucentis both from a pharmacological and production-commercial perspective.</w:t>
      </w:r>
    </w:p>
    <w:p>
      <w:r>
        <w:t>Avastin</w:t>
      </w:r>
    </w:p>
    <w:p>
      <w:r>
        <w:t>47. Avastin is the trade name of the active ingredient bevacizumab, a monoclonal antibody indicated as Mab A.4.6.1 and endowed with high anti-angiogenic activity against VEGF-A34. According to statements made during the investigation, Avastin was developed by Genentech starting in 1996 with a series of preclinical and clinical tests dedicated exclusively to verifying its efficacy in the treatment of particularly severe tumor pathologies, and it represented the first anti-VEGF drug available on the market. Based on the phase 3 tests conducted by Genentech, which showed that Avastin – in combination with chemotherapy – prolongs the life of patients, the drug was indeed approved by the FDA and EMA in February 2004 and January 200535 respectively for on-label use in the treatment of metastatic colorectal cancer, followed by further therapeutic indications related to the treatment of different metastatic tumors36.</w:t>
      </w:r>
    </w:p>
    <w:p>
      <w:r>
        <w:t>48. According to the information acquired during the investigative proceedings, Genentech has retained exclusive marketing rights for Avastin only for the territory of the USA – which the company considers its privileged commercial area – and ceded those for the rest of the world to Roche: this occurred based on a general marketing agreement signed in July 1999, replacing a previous agreement dating back to October 1995 (Amended and Restated Agreement regarding the Commercialization of Genentech’s Products outside the United States, G-R Agreement)37.</w:t>
      </w:r>
    </w:p>
    <w:p>
      <w:r>
        <w:t>49. By virtue of the G-R Agreement, Genentech granted Roche an option to acquire, product by product, the exclusive marketing rights outside the USA for all drugs developed by the company up to that point and in the future: following the exercise of this option right, each party is exclusively responsible, in its own territory of competence, for the further development and marketing of the opted products, including the request for the relevant AIC. Roche effectively exercised the option for Avastin in March 2003, committing to pay a royalty to Genentech38. Below is a table containing the amounts of royalties recognized to Genentech for Avastin sales made by Roche (outside the USA) starting from 2005.</w:t>
      </w:r>
    </w:p>
    <w:p>
      <w:r>
        <w:t>Table 2</w:t>
        <w:br/>
        <w:t>ROYALTIES RECOGNIZED BY ROCHE TO GENENTECH FOR AVASTIN (million euros)</w:t>
        <w:br/>
        <w:t>Year 2005 2006 2007 2008 2009 2010 2011 2012</w:t>
        <w:br/>
        <w:t>[omissis] [omissis] [omissis] [omissis] [omissis] [omissis] [omissis] [omissis]</w:t>
        <w:br/>
        <w:t>Source: Genentech-Roche (doc. 342, p. 28)</w:t>
      </w:r>
    </w:p>
    <w:p>
      <w:r>
        <w:t>50. From a production perspective, the active ingredient of Avastin was produced by Genentech and supplied to Roche until the end of 2009, when the latter independently began the production necessary for its needs at the new facility in Basel. From a distribution-commercial perspective, Avastin is presented in the form of a concentrate for infusion solution, to be diluted prior to intravenous administration in on-label applications to oncology patients, and is sold – by Genentech in the USA, by Roche in the rest of the world – in vials of 4 or 16 ml. According to the information reported in the drug's RCP, “each ml of concentrate contains 25 mg of bevacizumab. Each 4 ml vial contains 100 mg of bevacizumab, corresponding to 1.4 mg/ml when diluted as recommended. Each 16 ml vial contains 400 mg of bevacizumab, corresponding to 16.5 mg/ml when diluted as recommended”39.</w:t>
      </w:r>
    </w:p>
    <w:p>
      <w:r>
        <w:t>51. In the ophthalmic field, as previously mentioned, the use of Avastin occurs off-label. This is due to the fact that the drug has been registered exclusively for anti-tumor uses and, despite the expectations generated since its early applications for the treatment of AMD, neither Genentech as the MAH of the drug in the USA, nor Roche as the MAH in the EU have ever requested the competent authorities to register therapeutic indications in this regard. The conduct of the companies in this respect has been the subject of strong concerns, recurring both in the general press and in scientific publications40.</w:t>
      </w:r>
    </w:p>
    <w:p>
      <w:r>
        <w:t>52. Also during the present proceedings, the anomaly has repeatedly emerged – from the perspective of the typical interest of a MAH to expand the sales of its drug as much as possible by obtaining an extension of its therapeutic applications – of such behavior: according to what was considered by representatives of AIFA, “With regard to the case of Avastin […] it is noteworthy how it may indeed appear unusual that the MAH of the drug, namely Roche, in light of the increasing off-label use for the treatment of conditions such as [AMD] has not developed its product in the ophthalmic field”41.</w:t>
      </w:r>
    </w:p>
    <w:p>
      <w:r>
        <w:t>53. Similar evaluations are in line with what has also been expressed by ophthalmic experts, according to whom it is “[…] difficult to understand the commercial strategy of a company (Roche) that, despite having a drug (Avastin) that the scientific community and scientific evidence consider comparable to another (Lucentis), in terms of efficacy and safety, does not request registration for new specific therapeutic indications that would place it in competition with the competitor”42.</w:t>
      </w:r>
    </w:p>
    <w:p>
      <w:r>
        <w:t>54. In this regard, the correspondence that took place in May 2011 between Roche and the French drug agency (“AFSSAPS”) is also relevant. In response to an offer from AFSSAPS to develop a therapeutic protocol for the ophthalmic use of Avastin, also due to the positive outcomes of recent comparative studies funded by various national health systems (on which see better below, §§72 ss.), Roche indeed rejected the offer, responding that such a program for the development of its drug “does not seem appropriate.” In its response, Roche specifically stated that Avastin was specifically developed for the treatment of certain tumor forms and authorized for intravenous administration, and furthermore there exists a drug, Lucentis, specifically developed and authorized for ophthalmic applications with intravitreal administration43.</w:t>
      </w:r>
    </w:p>
    <w:p>
      <w:r>
        <w:t>55. Regarding off-label applications in the ophthalmic field, Avastin is repackaged with (1) the extraction of the product from the original vials, and (2) its fractionation into single-use syringes of 0.1 ml each. The repackaging must occur with procedures aimed at ensuring sterility in order to avoid risks of bacterial infections, and is carried out by laboratories equipped with appropriate facilities. Documentation obtained from Roche Italia revealed that the company has internally verified the different methods of fractionating Avastin for off-label use, concluding that, in compliance with safety criteria, from a 16 ml vial it is possible to obtain 15 injections, while the number rises to 20 injections that can be obtained from the 4 ml vial when the same criteria are not met44.</w:t>
      </w:r>
    </w:p>
    <w:p>
      <w:r>
        <w:t>56. This repackaging has a significant effect on the costs of off-label ophthalmic treatments based on Avastin. In Italy, in fact, Avastin was registered in class H in October 2005 with prices (ex factory, VAT excluded) of 321.85 euros for the 4 ml package and 1289.00 euros for the 16 ml package, which starting from July 2008 decreased respectively to 305.76 and 1224.55 euros45. Based on these amounts, performing a calculation based on what Roche considered, the fractionation of the drug leads to a current cost for a single intravitreal injection of Avastin corresponding to 81.64 euros in compliance with safety criteria, and to 15.29 euros in the absence of such criteria; until July 2008 the costs were respectively 85.93 euros and 16.09 euros. These amounts are significantly lower than the prices of Lucentis, namely the other anti-VEGF drug used in the treatment of various ophthalmic conditions.</w:t>
      </w:r>
    </w:p>
    <w:p>
      <w:r>
        <w:rPr>
          <w:b/>
        </w:rPr>
        <w:t>[Pages 91–93]</w:t>
      </w:r>
    </w:p>
    <w:p>
      <w:r>
        <w:t>BULLETIN NO. 11 OF MARCH 17, 2014 93</w:t>
      </w:r>
    </w:p>
    <w:p>
      <w:r>
        <w:t>Lucentis</w:t>
      </w:r>
    </w:p>
    <w:p>
      <w:r>
        <w:t>57. Lucentis is the trade name of the active ingredient ranibizumab, a fragment of a monoclonal antibody (referred to as RhuFabV2) derived from bevacizumab: as in the case of Avastin, its active ingredient acts with a specific anti-angiogenic activity against VEGF-A. According to what was communicated by Genentech, Lucentis was developed by the company with a parallel effort to that undertaken for the development of bevacizumab, starting from the same monoclonal antibody Mab A.4.6.1, in an attempt to identify an anti-VEGF drug dedicated to the treatment of eye diseases caused by angiogenesis.</w:t>
      </w:r>
    </w:p>
    <w:p>
      <w:r>
        <w:t>58. As already seen, the AIC of Lucentis was obtained from the FDA and EMA respectively in June 2006 and January 2007 for the treatment of AMD, a few months after the spread of off-label use of Avastin. At that time, Lucentis had already been the subject of a specific commercial agreement, entered into in June 2003 between Genentech and Novartis (Licence and Collaboration Agreement, “G-N Agreement”) immediately after Roche's failure to exercise its option rights on the drug.</w:t>
      </w:r>
    </w:p>
    <w:p>
      <w:r>
        <w:t>59. By virtue of the G-N Agreement, Genentech retained exclusive marketing rights for Lucentis only for the territory of the USA, transferring to Novartis – along with a license for the relevant patents – those relating to the rest of the world and for the "technical field of use" of the drug, identified as the "treatment of diseases or disorders of the human eye and/or retinal and/or choroidal vascularization." Both parties are required to make every commercially diligent effort for the development of Lucentis in their respective exclusive territories: with specific reference to Novartis's activities in the EU (and consequently in Italy), the company has taken care of what is necessary to obtain the AIC of the drug, remaining solely responsible for all subsequent relations with the various competent authorities.</w:t>
      </w:r>
    </w:p>
    <w:p>
      <w:r>
        <w:t>60. From an operational point of view, by virtue of a specific supply contract (Supply Agreement) entered into in November 2005, Genentech produces and supplies the active ingredient of the drug (ranibizumab) to Novartis, which then takes care of the packaging for its own needs. Moreover, based on a further agreement also entered into in November 2005 (Toll Manufacturing and Supply Agreement), Novartis supplies Genentech with "all pharmaceutical forms of ranibizumab contained in bulk vials (without labels and not packaged for sale)," essentially returning to the manufacturer the active ingredient prepared in injectable solution for its commercialization in the USA.</w:t>
      </w:r>
    </w:p>
    <w:p>
      <w:r>
        <w:t>61. As for the economic relations established by the G-N Agreement, Novartis: (i) made a series of one-time payments to Genentech; (ii) purchases the active ingredient from Genentech at a cost [omitted]; (iii) is required to pay a royalty on net product sales. Below is a table containing the amounts of royalties recognized to Genentech for the sales of Lucentis made by Novartis outside the USA.</w:t>
      </w:r>
    </w:p>
    <w:p>
      <w:r>
        <w:t>Table 3</w:t>
        <w:br/>
        <w:t>SALES OF LUCENTIS MADE BY NOVARTIS (million euros)</w:t>
        <w:br/>
        <w:t>Year 2006 2007 2008 2009 2010 2011 2012</w:t>
        <w:br/>
        <w:t>Total World [600- [800- [1100- [1400- [1800-</w:t>
        <w:br/>
        <w:t>n.d. n.d.</w:t>
        <w:br/>
        <w:t>(extra USA) 700] 900] 1200] 1500] 1900]</w:t>
        <w:br/>
        <w:t>[400- [500- [1000-</w:t>
        <w:br/>
        <w:t>Total EU n.d. n.d. [600-700] [800-900]</w:t>
        <w:br/>
        <w:t>500] 600] 1100]</w:t>
        <w:br/>
        <w:t>Total Italy n.d. n.d. [10-20] [10-20] [30-40] [40-50] [50-60]</w:t>
        <w:br/>
        <w:t>Source: Novartis</w:t>
      </w:r>
    </w:p>
    <w:p>
      <w:r>
        <w:t>Table 4</w:t>
        <w:br/>
        <w:t>ROYALTIES RECOGNIZED BY NOVARTIS TO GENENTECH</w:t>
        <w:br/>
        <w:t>FOR SALES OF LUCENTIS OUTSIDE THE USA (million euros)</w:t>
        <w:br/>
        <w:t>Year 2006 2007 2008 2009 2010 2011 2012</w:t>
        <w:br/>
        <w:t>[omitted] [omitted] [omitted] [omitted] [omitted] [omitted] [omitted]</w:t>
        <w:br/>
        <w:t>Source: Genentech-Roche; Novartis</w:t>
      </w:r>
    </w:p>
    <w:p>
      <w:r>
        <w:t>62. Also with reference to the royalties recognized by Novartis to the Roche group through Genentech, it appears from the records that a dispute has persisted between the two companies regarding their actual amount, due to a different interpretation of the terms of the G-N Agreement concerning the respect of the patents held by Genentech on the active ingredient ranibizumab (“Royalty dispute”). This dispute was resolved in January 2011 with a specific amendment (Second Amendment to License and Collaboration Agreement) of the G-N Agreement, under which Novartis paid Genentech the sum of [omitted] euros.</w:t>
      </w:r>
    </w:p>
    <w:p>
      <w:r>
        <w:t>63. From a distribution-commercial perspective, Lucentis is presented in liquid form for intravitreal injection and is sold in vials containing 2.3 mg of active ingredient in 0.23 ml of solution. Unlike Macugen and Eylea, therefore, similar to Avastin, the product is not packaged in single-use syringes but must be aspirated in asepsis before injection into the eye, following a series of warnings in order to avoid bacterial contamination.</w:t>
      </w:r>
    </w:p>
    <w:p>
      <w:r>
        <w:t>64. The price of Lucentis is significantly higher than the costs reported above for the off-label use of Avastin. Specifically with reference to Italy, since its market entry for the treatment of AMD (March 2009), the price per injection was respectively 1100.00 euros (ex factory, VAT excluded) and 1815.45 euros (public price): only from November 2012, Lucentis, registered in class H (i.e., at the expense of the SSN) for the treatment of AMD, DME, and two types of RVO (branch and central RVO), changed respectively to a price of 902.00 euros (ex factory, VAT excluded) and 1489.00 euros (public price).</w:t>
      </w:r>
    </w:p>
    <w:p>
      <w:r>
        <w:t>65. Moreover, it should be considered that the original price set by Novartis was 2019.40 euros, an amount so high that it led AIFA not to recognize admission for reimbursement by the SSN. In the meantime, Avastin was already included in List 648 – that is, as already seen, the list of off-label drugs whose expenses are fully borne by the SSN – for the treatment of most of the previously indicated eye diseases, and therefore used as "clinical normality."</w:t>
      </w:r>
    </w:p>
    <w:p>
      <w:r>
        <w:t>Off-label use of Avastin pursuant to List 648 and EMA procedures</w:t>
      </w:r>
    </w:p>
    <w:p>
      <w:r>
        <w:t>66. The inclusion in List 648 was made by AIFA with a determination of May 23, 2007, regarding the treatment (1) of exudative maculopathies (including AMD, DME, RVO, MMD), (2) of neovascular glaucoma. Following the subsequent availability at the end of 2008 in Italy of the drugs Lucentis and Macugen for the treatment of AMD – and thus the consequent removal of the condition of the non-existence of a valid therapeutic alternative established by law due to the presence of an off-label drug in List 648 at the total expense of the SSN – on March 4, 2009, AIFA adopted a new determination confirming the maintenance of Avastin in List 648 limited to the treatment.</w:t>
      </w:r>
    </w:p>
    <w:p>
      <w:r>
        <w:rPr>
          <w:b/>
        </w:rPr>
        <w:t>[Pages 94–96]</w:t>
      </w:r>
    </w:p>
    <w:p>
      <w:r>
        <w:t>96 BULLETIN NO. 11 OF MARCH 17, 2014</w:t>
      </w:r>
    </w:p>
    <w:p>
      <w:r>
        <w:t>specific (1.1) of exudative maculopathies unrelated to age (i.e., DME, RVO, MMD), (1.2) of exudative maculopathies related to age (AMD) already being treated with bevacizumab, (2) of neovascular glaucoma.</w:t>
      </w:r>
    </w:p>
    <w:p>
      <w:r>
        <w:t>67. Following the annulment in May 2010 of the AIFA determination of March 4, 2009 by the Lazio Regional Administrative Court (following an appeal by the MAH of Macugen, Pfizer), in November 2010 the drug agency adopted a new determination whereby the off-label use of Avastin was maintained in List 648 limited to the treatment (1.1) of exudative maculopathies unrelated to age (DME, RVO, MMD), (2) of neovascular glaucoma: essentially, it was established that for patients affected by AMD already treated with Avastin, a transition to treatments based on Macugen or Lucentis was required. Finally, following the assignment of reimbursement class H to a non-anti-angiogenic drug (Ozurdex) developed for the treatment of a category of maculopathies (RVO), in April 2012 its MAH (Allergan) obtained from the administrative judge the exclusion of Avastin from List 648 even for the treatment of that pathology.</w:t>
      </w:r>
    </w:p>
    <w:p>
      <w:r>
        <w:t>68. Based on such progressive limitations of its use at the expense of the National Health Service (SSN), Avastin was supposed to remain included in List 648 for the treatment of exudative maculopathies unrelated to age (DME, MMD, RVO for patients unresponsive to therapy with Ozurdex): however, on October 18, 2012, AIFA adopted a determination that completely removed Avastin from List 648, referring to the modifications and additions of the Summary of Product Characteristics (RCP) of the drug, introduced on August 30, 2012 by EMA.</w:t>
      </w:r>
    </w:p>
    <w:p>
      <w:r>
        <w:t>69. According to what emerged during the investigation, the modification of the RCP of Avastin was requested from EMA on June 20, 2011 by Roche as the MAH of the drug (through its subsidiary Roche Registration Ltd.), citing serious adverse events related to intravitreal injections of Avastin reported in some clinical studies. Roche, during the procedure initiated at EMA, also requested the adoption and circulation of a Direct Healthcare Professional Communication (DHCP), however encountering opposition from the CHMP, which on July 19, 2012 ultimately adopted a specific technical document (EMA/CHMP/332848/2012 - CHMP Type II Variation Assessment Report, “Avastin Report”), which was followed by some modifications to the RCP of Avastin.</w:t>
      </w:r>
    </w:p>
    <w:p>
      <w:r>
        <w:t>70. More specifically, it appears from the records that Roche had requested changes to section 4.8 (“undesirable effects,” understood as possible consequences arising from the use of a drug) of the RCP of Avastin, particularly indicating more adverse events resulting from the intravitreal use of Avastin compared to that of Lucentis. However, the CHMP, in its Avastin Report, considered that the modifications should rather concern “only” section 4.4 (“Special warnings and precautions for use”), taking into account the fact that: (1) based on the existing scientific evidence, the differences in adverse events observed between Avastin and Lucentis are not statistically significant, (2) systemic adverse events – that is, not limited to the eye undergoing injection, but affecting the patient's life – are attributable to anti-VEGF therapies in general.</w:t>
      </w:r>
    </w:p>
    <w:p>
      <w:r>
        <w:t>71. This latter circumstance was confirmed within the framework of a procedure for the variation of the RCP of Lucentis – specifically its section 4.8 – caused not by an autonomous activity of the MAH of the drug, Novartis, but by specific requests for clarification made by EMA following the registration of serious systemic adverse events (heart attacks). At the end of this procedure, which took place on January 17, 2013 with the adoption by the CHMP of a specific technical document (EMA/CHMP/719250/2012 - CHMP Type II Variation Assessment Report, “Lucentis Report”), EMA rejected the conclusions proposed by Novartis regarding the greater safety of Lucentis compared to other anti-VEGF drugs and adopted a class warning for anti-VEGF products, that is, a common notification of risks resulting from the use of all anti-angiogenic drugs. This “class warning” thus led to a modification of the RCPs of Lucentis, Avastin, and Eylea.</w:t>
      </w:r>
    </w:p>
    <w:p>
      <w:r>
        <w:t>Comparative Studies and WHO EM-List</w:t>
      </w:r>
    </w:p>
    <w:p>
      <w:r>
        <w:t>72. At the international level, a series of so-called non-inferiority comparative studies have been initiated on behalf of major health institutes and with exclusively public funding – thus without the involvement of the pharmaceutical companies producing them – aimed at verifying the possible equivalence of bevacizumab (Avastin) and ranibizumab (Lucentis) in the ophthalmic field.</w:t>
      </w:r>
    </w:p>
    <w:p>
      <w:r>
        <w:t>73. The first of these independent studies, called the randomized Comparison of Age-related macular degeneration Treatments Trials (“CATT”), was initiated in 2008 on behalf of the U.S. National Institutes of Health. Its results at one year (May 2011) and two years of observation (April 2012) convinced the commissioning body to consider the equivalence of Avastin and Lucentis in the treatment of AMD in terms of efficacy; regarding safety, a slightly higher occurrence of adverse events in the sample of patients treated with Avastin was not considered attributable to the use of the drug. The conclusions of this study have been published in leading international specialized journals and were expressly referenced by the CHMP of EMA in support of the conclusions of its Avastin Report.</w:t>
      </w:r>
    </w:p>
    <w:p>
      <w:r>
        <w:t>74. Another particularly relevant independent comparative study of Avastin and Lucentis was conducted within the English NHS (randomised controlled trial of alternative treatments to Inhibit VEGF in Age-related choroidal Neovascularisation, “IVAN”), also starting in 2008, and its results at one year, released in May 2012, confirmed the conclusions of the CATT.</w:t>
      </w:r>
    </w:p>
    <w:p>
      <w:r>
        <w:rPr>
          <w:b/>
        </w:rPr>
        <w:t>[Pages 97–99]</w:t>
      </w:r>
    </w:p>
    <w:p>
      <w:r>
        <w:t>BULLETIN NO. 11 OF MARCH 17, 2014 99</w:t>
      </w:r>
    </w:p>
    <w:p>
      <w:r>
        <w:t>In July 2013, the two-year results of the IVAN study were published, along with a combined consideration of these results with the data from the CATT study. This research, which explicitly discussed anti-angiogenic drugs as the standard treatment for AMD in the near future, (1) reconfirmed the therapeutic equivalence of bevacizumab and ranibizumab, (2) described a comparison between the two drugs as "reassuring" from a safety perspective. Some Parties to the proceedings also highlighted the publication of further independent comparative studies, such as MANTA (Austria), GEFAL (France), LUCAS (Norway), which would confirm an equivalence of the two drugs in terms of both efficacy and safety.</w:t>
      </w:r>
    </w:p>
    <w:p>
      <w:r>
        <w:t>75. On the other hand, in April 2013, the WHO included the active ingredient bevacizumab (Avastin) in the Model List of Essential Medicines (“WHO EM-List”) as the only anti-VEGF drug recognized in the section of ophthalmic preparations. This list, now in its eighteenth edition, selects medicines that meet the priority needs of the global population and represents the main international reference in terms of essential medicines that each NHS should provide to its patients.</w:t>
      </w:r>
    </w:p>
    <w:p>
      <w:r>
        <w:t>Measures adopted by some Italian regions</w:t>
      </w:r>
    </w:p>
    <w:p>
      <w:r>
        <w:t>76. In parallel to the limitations on the use of Avastin in ophthalmology with its progressive exclusion from List 648, based on existing scientific evidence, some Italian regions have adopted a series of measures aimed at maintaining the use of Avastin by their respective NHS; the reasons for these measures explicitly referred to the significant difference in terms of costs borne by the NHS and the consequent possibility that the shift to an exclusive use of the much more expensive Lucentis would result in a material impossibility to provide care. The regions involved are, in particular, Emilia-Romagna and Veneto.</w:t>
      </w:r>
    </w:p>
    <w:p>
      <w:r>
        <w:t>77. The regional council of Emilia-Romagna – following the first limitation on the uses of Avastin that occurred in March 2009, with the maintenance of the drug in List 648 for the only ongoing treatments of AMD patients already being treated with the active ingredient bevacizumab (supra, §66) – in October 2009 adopted a resolution (n. 1628/2009) concerning the maintenance of off-label use of bevacizumab for the treatment of AMD in general within its NHS. This resolution was then followed by a specific regional legislative intervention (Article 35 of the Regional Law of December 22, 2009, No. 24) which, following an appeal by the State, was declared unconstitutional by the Constitutional Court in 2011.</w:t>
      </w:r>
    </w:p>
    <w:p>
      <w:r>
        <w:t>78. Novartis Farma challenged the resolution before the TAR, which in February 2012 referred to the Constitutional Court a question regarding the legitimacy of legislative provisions that prevent public entities from using off-label less expensive drugs and do not allow these entities to request authorization for the use of a drug, essentially replacing the MAH that remained inactive regarding obtaining a marketing authorization for its product. On this occasion, the administrative judge noted, among other things, that the recognition of such power "would remedy situations where, as occurred in the case in question, due to a non-existent competition between the manufacturer of the off-label drug and that of the on-label drug, the obligation for the [NHS] to prescribe the on-label drug would force the regional administration, and thus the community, to bear an objectively excessive economic cost, if not even exorbitant, resulting from the high price of the second drug." A decision from the Constitutional Court on this matter is expected within the current year.</w:t>
      </w:r>
    </w:p>
    <w:p>
      <w:r>
        <w:t>79. The regional council of Veneto, for its part, adopted in December 2011 a resolution (n. 2352/2011) concerning the maintenance of off-label use of the active ingredient bevacizumab for the treatment of AMD within its NHS. Again, Novartis Farma opposed this by appealing to the TAR, which first suspended and then annulled the regional resolution.</w:t>
      </w:r>
    </w:p>
    <w:p>
      <w:r>
        <w:t>80. In both appeals to the TAR, Novartis Farma cited, in addition to the Regions, Roche Italia, "also as a representative in Italy of the holder of the marketing authorization for the drug Avastin." The Roche company did not appear.</w:t>
      </w:r>
    </w:p>
    <w:p>
      <w:r>
        <w:t>IV.III Market for drugs for the treatment of ocular vascular disorders</w:t>
      </w:r>
    </w:p>
    <w:p>
      <w:r>
        <w:t>81. Treatments for ocular vascular disorders, primarily consisting of exudative maculopathies and neovascular glaucoma (see supra, §§37 et seq.), are predominantly carried out worldwide in the industrialized world using the anti-VEGF drugs Avastin and Lucentis, in addition to Macugen (increasingly less used), Eylea (recently introduced to the market), and the residual use of drugs with different mechanisms of action, such as Visudyne and Ozurdex. The respective market shares, however, are conditioned by the existing regulations on off-label uses in the different legal systems, and consequently by the choices made by the bodies responsible for the allocation of NHS spending.</w:t>
      </w:r>
    </w:p>
    <w:p>
      <w:r>
        <w:t>82. In this regard, Italy represents a peculiar case in the community context as, as already seen, Avastin has long been included in List 648 for various ophthalmic uses: thus, aside from the widespread use of the drug in private medical practice (both within private clinics and in public health facilities according to so-called intra moenia operational modalities), it has resulted in the possibility of its extensive off-label use within the NHS, with total coverage of the related expenses borne by the State. In other EU States, such as France, the choice of the competent authorities has instead been to resort exclusively to on-label drugs, with the consequent use by their respective NHS of only Lucentis. What has just been considered is well represented by the data from a market study regarding the consumption of anti-VEGF drugs in the main EU States in 2012 for the treatment of ocular vascular disorders.</w:t>
      </w:r>
    </w:p>
    <w:p>
      <w:r>
        <w:t>Table 5</w:t>
        <w:br/>
        <w:t>PERCENTAGE OF PATIENTS/ANTI-VEGF DRUGS IN VARIOUS EU STATES (2012)</w:t>
        <w:br/>
        <w:t>Avastin Lucentis Macugen</w:t>
        <w:br/>
        <w:t>Italy [50-60%] [35-45%] [0-10%]</w:t>
        <w:br/>
        <w:t>France [0-10%] [90-100%] [0-10%]</w:t>
        <w:br/>
        <w:t>United Kingdom [0-10%] [90-100%] [0-10%]</w:t>
        <w:br/>
        <w:t>Germany [20-30%] [70-80%] [0-10%]</w:t>
        <w:br/>
        <w:t>Spain [30-40%] [55-65%] [0-10%]</w:t>
        <w:br/>
        <w:t>Source: Bayer</w:t>
      </w:r>
    </w:p>
    <w:p>
      <w:r>
        <w:t>83. From the table, it is clear that in Italy, in 2012, Avastin was the main anti-VEGF drug used for the treatment of exudative maculopathies and neovascular glaucoma. This predominance is also confirmed by an internal analysis by Novartis, which shows that, in the face of an overall EU situation where Lucentis holds a share of 78% for AMD treatments, in Italy the share drops to 43%. The same document also reports the following market shares broken down by drugs/pathologies (data updated to December 2011):</w:t>
      </w:r>
    </w:p>
    <w:p>
      <w:r>
        <w:t>87. This circumstance has also been emphasized by representatives of Roche Italia, according to whom "the issue regarding the off-label use of the drug Avastin has taken on peculiar connotations in Italy compared to the rest of Europe, where there is still massive off-label use of the drug, due to the specificity of national regulations. In our country, in fact, it is possible to access the reimbursement of drugs not yet registered, or for unauthorized indications, conditioned by the absence of a valid authorized therapeutic alternative, as provided for by Law 648/96."</w:t>
      </w:r>
    </w:p>
    <w:p>
      <w:r>
        <w:t>88. See doc. 337, Bayer's response to the request for information, p. 17, where the data from a study commissioned by Bayer in view of the market launch of its drug Eylea is reported.</w:t>
      </w:r>
    </w:p>
    <w:p>
      <w:r>
        <w:t>89. See doc. 141, p. 5. The document, titled "Avastin Background in Italy," particularly reports a series of "Patients Share by Indication in Italy" with the following warning: "Avastin widely used off-label across all retinal indications, despite not registered and approved." To confirm this market positioning of the different drugs, it is worth noting that in an even more recent document found at Novartis Farma, it is stated that Avastin remains perceived in Italy as a "strong off-label competitor in AMD, DME, RVO (widely used and legalized until Oct 2012)."</w:t>
      </w:r>
    </w:p>
    <w:p>
      <w:r>
        <w:rPr>
          <w:b/>
        </w:rPr>
        <w:t>[Pages 100–102]</w:t>
      </w:r>
    </w:p>
    <w:p>
      <w:r>
        <w:t>102 BULLETIN NO. 11 OF MARCH 17, 2014</w:t>
      </w:r>
    </w:p>
    <w:p>
      <w:r>
        <w:t xml:space="preserve">Table 6  </w:t>
        <w:br/>
        <w:t xml:space="preserve">PERCENTAGE OF PATIENTS/DRUGS FOR INDIVIDUAL PATHOLOGIES IN ITALY (2011)  </w:t>
        <w:br/>
        <w:t xml:space="preserve">AMD DME RVO  </w:t>
        <w:br/>
        <w:t xml:space="preserve">Avastin (bevacizumab) 41% 80% 52%  </w:t>
        <w:br/>
        <w:t xml:space="preserve">Lucentis (ranibizumab) 43% 9% 18%  </w:t>
        <w:br/>
        <w:t xml:space="preserve">Macugen (pegaptanib) 10% 1% 1%  </w:t>
        <w:br/>
        <w:t xml:space="preserve">Ozurdex  </w:t>
        <w:br/>
        <w:t xml:space="preserve">2% 5% 23%  </w:t>
        <w:br/>
        <w:t xml:space="preserve">(desamethasone)  </w:t>
        <w:br/>
        <w:t xml:space="preserve">Visudyne (verteporfin) 3% 0% 0%  </w:t>
        <w:br/>
        <w:t xml:space="preserve">triamcinolone 1% 5% 6%  </w:t>
        <w:br/>
        <w:t>Source: Novartis (doc. 141)</w:t>
      </w:r>
    </w:p>
    <w:p>
      <w:r>
        <w:t>84. Regarding the number of patients with different pathologies, there are some estimates in the records for both Italy and other EU States concerning treatments with anti-VEGF therapies: these are estimates that can be directly compared with each other, as the epidemiological data are comparable across all European countries.</w:t>
      </w:r>
    </w:p>
    <w:p>
      <w:r>
        <w:t xml:space="preserve">Table 7  </w:t>
        <w:br/>
        <w:t xml:space="preserve">NUMBER OF PATIENTS TREATABLE WITH ANTI-VEGF DRUGS (2011)  </w:t>
        <w:br/>
        <w:t xml:space="preserve">AMD DME RVO Total  </w:t>
        <w:br/>
        <w:t xml:space="preserve">Italy 304,598 147,429 82,154 534,181  </w:t>
        <w:br/>
        <w:t xml:space="preserve">France 335,028 139,341 74,345 548,714  </w:t>
        <w:br/>
        <w:t xml:space="preserve">United Kingdom 324,404 135,265 69,260 528,928  </w:t>
        <w:br/>
        <w:t xml:space="preserve">Germany 419,729 204,822 106,208 730,759  </w:t>
        <w:br/>
        <w:t xml:space="preserve">Spain 236,913 97,799 56,357 391,069  </w:t>
        <w:br/>
        <w:t>Source: Bayer (doc. 337)</w:t>
      </w:r>
    </w:p>
    <w:p>
      <w:r>
        <w:t>85. In Italy, therefore, the patients treated with the various anti-VEGF therapies correspond to the quantities summarized below:</w:t>
      </w:r>
    </w:p>
    <w:p>
      <w:r>
        <w:t xml:space="preserve">Table 8  </w:t>
        <w:br/>
        <w:t xml:space="preserve">NUMBER OF PATIENTS TREATED IN ITALY WITH ANTI-VEGF DRUGS (2011)  </w:t>
        <w:br/>
        <w:t xml:space="preserve">AMD DME RVO Total  </w:t>
        <w:br/>
        <w:t xml:space="preserve">Avastin (bevacizumab) 124,885 117,943 42,720 285,548  </w:t>
        <w:br/>
        <w:t xml:space="preserve">Lucentis (ranibizumab) 130,977 14,788 13,269 159,034  </w:t>
        <w:br/>
        <w:t xml:space="preserve">Macugen (pegaptanib) 30,460 822 1,474 32,756  </w:t>
        <w:br/>
        <w:t>Source: elaborations on data from the investigation file (doc. 337)</w:t>
      </w:r>
    </w:p>
    <w:p>
      <w:r>
        <w:t>86. These data, it is noted, underestimate the use of the mentioned drugs – particularly Avastin – as they do not include either MMD or cases of neovascular glaucoma for which intravitreal injections of anti-VEGF are required. Furthermore, it should be considered that off-label uses in Italy are not officially recorded, nor are there registers that account for pharmaceutical therapies/treatments in an aggregated manner: it is therefore not possible to have official information regarding the consumption of Avastin distinguished by on-label uses (tumors) and off-label uses (ophthalmic diseases). Requests to provide data at their disposal regarding the off-label use of Avastin were denied by all the Parties involved.</w:t>
      </w:r>
    </w:p>
    <w:p>
      <w:r>
        <w:t>87. Based on the information in the records, in any case, it is possible to estimate the main quantities of consumption in value, regarding the reference period between the inclusion of Avastin in List 648 and the initiation of the present investigation procedure.</w:t>
      </w:r>
    </w:p>
    <w:p>
      <w:r>
        <w:t xml:space="preserve">Table 9  </w:t>
        <w:br/>
        <w:t xml:space="preserve">ESTIMATES OF SALES OF MAIN DRUGS – VALUE (million euros)  </w:t>
        <w:br/>
        <w:t xml:space="preserve">2007 2008 2009 2010 2011 2012 2013 - 1Q  </w:t>
        <w:br/>
        <w:t xml:space="preserve">Avastin 6.9 14.8 26.1 33.6 33.5 40.3 12.7  </w:t>
        <w:br/>
        <w:t xml:space="preserve">Lucentis 1.5 [10-20] [10-20] [30-40] [40-50] [50-60] 30.5  </w:t>
        <w:br/>
        <w:t xml:space="preserve">Macugen 3.0 2.5 2.9 2.3 2.7 0.9 0.2  </w:t>
        <w:br/>
        <w:t xml:space="preserve">Ozurdex -- -- -- -- 0.7 2.7 1.5  </w:t>
        <w:br/>
        <w:t xml:space="preserve">Visudyne 11.9 5.7 4.3 3.8 3.1 2.9 0.9  </w:t>
        <w:br/>
        <w:t>Source: elaboration on IMS data (doc. 340), Novartis (doc. 355)</w:t>
      </w:r>
    </w:p>
    <w:p>
      <w:r>
        <w:t>88. From the set of data reported so far, it emerges that, in Italy, (i) Avastin has so far been the most widely used anti-VEGF drug for the treatment of exudative maculopathies and neovascular glaucoma in terms of treated patients; (ii) the main competitor of Avastin has so far been Lucentis, which, due to more limited uses (only AMD from 2007 until the end of 2012, also DME and RVO starting from November 2012) has generated a rapidly growing turnover, going from a turnover of less than 2 million to one exceeding 55 million euros in just six years, and, due to its higher price, has already achieved in 2011 a supremacy in terms of sales value, with a consequent significant impact on pharmaceutical expenditure borne by the SSN.</w:t>
      </w:r>
    </w:p>
    <w:p>
      <w:r>
        <w:t>89. A more detailed analysis of the sales estimates in value also allows us to consider that in the first quarter of 2013 (see above, table 9, column 2013-1Q), that is, the period immediately following the definitive removal of Avastin from List 648 and the acquisition of new therapeutic indications for Lucentis, the sales of Lucentis recorded a further significant increase, corresponding, when assumed constant throughout the entire year, to 60% more than in 2012.</w:t>
      </w:r>
    </w:p>
    <w:p>
      <w:r>
        <w:t>90. Finally, regarding the other drugs used for the treatment of eye diseases related to vascular disorders, it should be considered that: (i) the third anti-VEGF drug so far on the market, Macugen, has exerted limited and decreasing competitive pressure on Avastin and Lucentis; (ii) due to its very recent introduction (May 2013), the competitive pressure exerted by another anti-VEGF drug, Eylea, could not be appreciated for the purposes of the present procedure, and in any case is to be considered limited to uses related only to AMD; (iii) the remaining non-anti-VEGF therapies available, such as treatments based on Visudyne and Ozurdex, remain marginal (Ozurdex is registered for the treatment of only RVO) and, in the specific case of Visudyne, are in declining use.</w:t>
      </w:r>
    </w:p>
    <w:p>
      <w:r>
        <w:t xml:space="preserve">iv. Evidence regarding the conduct of the Parties  </w:t>
        <w:br/>
        <w:t>Licensing agreements related to Avastin and Lucentis</w:t>
      </w:r>
    </w:p>
    <w:p>
      <w:r>
        <w:t>91. After Roche acquired control of Genentech, the G-R Agreement was entered into between the two companies, under which Genentech granted Roche an option to acquire the exclusive marketing rights for all drugs developed by the company, retaining only the USA territory as its exclusive commercial area; in March 2003, Roche effectively exercised this option for the active ingredient bevacizumab, the basis of Avastin, while it waived it for the active ingredient ranibizumab, the basis of Lucentis. Following this waiver, Genentech in June 2003 – already under Roche's control – entered into the G-N Agreement with Novartis, which, in exchange for fixed payments and royalties on Lucentis sales, recognized the latter the exclusive commercial rights to the drug outside the USA. Regarding the EU (and thus Italy), these rights were exercised starting from Novartis obtaining the EMA marketing authorization for Lucentis, which occurred in January 2007.</w:t>
      </w:r>
    </w:p>
    <w:p>
      <w:r>
        <w:t>92. Roche's waiver of its option on ranibizumab and the immediately subsequent licensing acquisition of the same by Novartis coincided with a more marked industrial-pharmaceutical specialization of the two groups (between which, as already noted, there have long been significant stock relations, with Novartis holding a significant stake in Roche). During this period, in fact, Roche initiated a concentration of activities and investments in the research and production of biotechnological/anticancer drugs, with a greater impact on the hospital consumption of medicines.</w:t>
      </w:r>
    </w:p>
    <w:p>
      <w:r>
        <w:rPr>
          <w:b/>
        </w:rPr>
        <w:t>[Pages 103–105]</w:t>
      </w:r>
    </w:p>
    <w:p>
      <w:r>
        <w:t>BULLETIN NO. 11 OF MARCH 17, 2014 105</w:t>
      </w:r>
    </w:p>
    <w:p>
      <w:r>
        <w:t>confirmed by the subsequent acquisition of 100% of Genentech, while Novartis has aimed for specialization in a series of therapeutic areas, including ophthalmology.</w:t>
      </w:r>
    </w:p>
    <w:p>
      <w:r>
        <w:t>93. In this regard, it is worth noting that the G-N Agreement provided for Novartis a specific "technical field of use" of the molecule ranibizumab (supra, §59) that confines its use to ophthalmology: this is in light of a recognized "multipotentiality" of the anti-angiogenic principle, that is, the therapeutic mechanism of action that it shares with bevacizumab and of which ranibizumab is indeed an engineering, to the point that it has led to referring to Lucentis as a true "clone drug."</w:t>
      </w:r>
    </w:p>
    <w:p>
      <w:r>
        <w:t>94. In light of the aforementioned licensing agreements and the delineation of distinct areas of therapeutic specialization therein, due to a series of events beyond the control of the companies – specifically, the development of off-label ophthalmic applications of Avastin by clinicians and independent researchers, which occurred prior to the market introduction of Lucentis – Roche and Novartis found themselves facing an unexpected overlap of the two drugs for the treatment of eye diseases recorded in the RCP of Lucentis, with the consequent possibility that the commercial performance of that product could be compromised. A confirmation in this regard comes from the representatives of Roche and Genentech themselves, who believed "that if the two drugs had been introduced simultaneously to the market […] the off-label use of Avastin in ophthalmology would likely never have taken hold."</w:t>
      </w:r>
    </w:p>
    <w:p>
      <w:r>
        <w:t>Defense of Lucentis sales from off-label uses of Avastin</w:t>
      </w:r>
    </w:p>
    <w:p>
      <w:r>
        <w:t>95. Starting from 2007, when Novartis began the European distribution of Lucentis, in light of the now widespread off-label use of Avastin in ophthalmology, the company raised the question of how to protect its product market, questioning the possibility of directly involving the licensor of its drug, namely Genentech, and its parent company Roche.</w:t>
      </w:r>
    </w:p>
    <w:p>
      <w:r>
        <w:t>96. The matter is well reconstructed by an email exchange that took place in April 2007 within the Novartis group. In particular, the head of legal services of Novartis Farma (Country Legal Head) considers with his CEO that "the issues, in summary, are: a) Genentech has an obligation to Novartis having licensed the molecule in Europe for ophthalmic use. If now the other party (Roche) that has been licensed for a different use (oncological) gives rise, perhaps unwittingly and without liability, to a violation of the rights acquired by Novartis, Genentech must intervene. So it did to protect itself in the USA."</w:t>
      </w:r>
    </w:p>
    <w:p>
      <w:r>
        <w:t>97. In response to the aforementioned email, the legal department of the parent company (represented by a Legal Counsel) emphasizes that from a purely contractual perspective, Novartis has no means available to stop the sales of Avastin intended for ophthalmic use, and at the same time it is important that the company is never perceived as attempting to hinder the use of Avastin: "we can do little to stop Avastin off-label under our contract with Genentech. […] Since Avastin is not our product, we can do little from a contractual position. Genentech retains the rights to Avastin for the USA, with Roche holding the rights outside the USA. It is therefore important that we are not seen to 'block' the use of Avastin as this is not our product. Rather we aim to ensure access to Lucentis, the product we believe is best suited for the treatment of AMD."</w:t>
      </w:r>
    </w:p>
    <w:p>
      <w:r>
        <w:t>98. On the other hand, a senior internal contact at the parent company Novartis (Global Communications Manager Lucentis) brings to the attention of the email exchange participants the existence of a warning from the EMA to Roche regarding the off-label ophthalmic use of Avastin: on this occasion, the opportunity to delve into the matter is noted as it would be an intervention in this regard not attributable to Novartis, but to a third party.</w:t>
      </w:r>
    </w:p>
    <w:p>
      <w:r>
        <w:t>99. Following this remark, as seen dating back to 2007, starting from 2008 there was a progressive increase in Roche's activities – in its capacity as MAH of the drug, and as such the only entity authorized to act before the competent authorities – aimed at obtaining warnings and limitations regarding the off-label use of Avastin from various drug agencies: these activities, intensified after the sending of a DHCP between 2008 and 2009, consisted of various requests to the EMA to make appropriate changes to the RCP of Avastin.</w:t>
      </w:r>
    </w:p>
    <w:p>
      <w:r>
        <w:t>100. According to Roche, these activities are attributable to compliance with its pharmacovigilance obligations. In particular, regarding the sending of the DHCP, Roche pointed out that in 2008 there were some adverse events in Canada resulting from the intraocular use of Avastin, and on that occasion the competent Canadian authorities requested an official communication. This communication, in the form of a DHCP, then circulated in Canada in December 2008 and in Europe was followed, in the early months of 2009, by similar communications agreed upon with the EMA and various national European agencies, including AIFA.</w:t>
      </w:r>
    </w:p>
    <w:p>
      <w:r>
        <w:t>101. Subsequently, "the news of these and other subsequent clusters of ocular adverse events occurring in various other parts of the world prompted Roche […] to request in May 2010 from the EMA a variation of the [RCP] with the inclusion of a specific warning regarding the intravitreal use of Avastin and the ocular adverse events occurring as a result of such use." Roche's request aimed to obtain a modification of section 4.8 of the RCP, dedicated to the undesirable effects of Avastin, that is, relating to highlighting the risks of the product itself, but at the end of the procedure, the EMA rather approved a modification of section 4.4, dedicated to warnings and precautions for use.</w:t>
      </w:r>
    </w:p>
    <w:p>
      <w:r>
        <w:t>102. As previously seen, in June 2011 Roche requested a further modification of the RCP, again specifically of its section 4.8 dedicated to undesirable effects, which should have been followed by the sending of a new DHCP; however, the EMA, in August 2012, approved a modification again of section 4.4 of the RCP of Avastin, rejecting the request for the circulation of an official communication. Finally, the EMA also adopted a category warning regarding the systemic effects of all anti-VEGF drugs, from which a modification of the RCP of both Avastin and Lucentis followed.</w:t>
      </w:r>
    </w:p>
    <w:p>
      <w:r>
        <w:t>Concertation regarding the "differentiation" of Avastin for safety profiles</w:t>
      </w:r>
    </w:p>
    <w:p>
      <w:r>
        <w:t>103. In light of such circumstances, numerous and relevant documents are on record that allow framing the activities of the companies involved in a broad collusive scenario, aimed at artificially differentiating Avastin and Lucentis through the emphasis on the risks arising from the intravitreal use of the first drug and the corresponding reference to an asserted greater safety of the second, also exploiting the circumstance that only Lucentis had a specific AIC for ophthalmic uses as no corresponding registrations had ever been requested for Avastin by its MAH.</w:t>
      </w:r>
    </w:p>
    <w:p>
      <w:r>
        <w:t>104. The mutual willingness to agree on such "differentiation" between products leveraging the obtaining of specific variations of the RCP of Avastin emerges most clearly in an email dated May 3, 2012, sent by the CEO of Roche Italia to some of its top executives and the CEO of Novartis Farma, where it reads as follows: "Please, where are we at?"</w:t>
      </w:r>
    </w:p>
    <w:p>
      <w:r>
        <w:rPr>
          <w:b/>
        </w:rPr>
        <w:t>[Pages 106–108]</w:t>
      </w:r>
    </w:p>
    <w:p>
      <w:r>
        <w:t>108 BULLETIN NO. 11 OF MARCH 17, 2014</w:t>
      </w:r>
    </w:p>
    <w:p>
      <w:r>
        <w:t>with the activities of "differentiation" of the 2 products? The modification in the technical data sheet [RCP]? In May we should have had some regulatory intervention, correct?”</w:t>
      </w:r>
    </w:p>
    <w:p>
      <w:r>
        <w:t>105. The email, moreover, appears to have been prompted by a message from the CEO of Novartis Farma informing the CEO of Roche Italia about a press conference just held by the CEO of the parent company Roche, reported internationally by the general press with the title: “Roche CEO says Lucentis is the best drug for eye treatment, not Avastin.” The message thus concludes with the hope that the news receives wide media coverage “also in Italy.”</w:t>
      </w:r>
    </w:p>
    <w:p>
      <w:r>
        <w:t>106. The "differentiation" plan pursued by the Parties has materialized in a series of activities carried out by the Roche and Novartis groups to artificially highlight specific danger profiles of the intravitreal use of Avastin, despite doubts about the significance of the data used for this purpose. In an email sent in March 2012 by the head of pharmacovigilance of Roche Italia (Drug Safety Manager) to his CEO, in response to a request from the latter regarding the possible existence/consistency of adverse events related to the off-label use of Avastin, it is stated: “I went to check the situation in the AIFA database, there are 13 reports of which 4 are literature cases entered by us as required by current regulations. The other 9 reports come from the northern regions where historically more reports are made.”</w:t>
      </w:r>
    </w:p>
    <w:p>
      <w:r>
        <w:t>107. The following day, the same individual resumes the discussion: “It is difficult to say whether 20 cases are few or many because the problem is that we do not know the exposed population, so we do not have the incidence data. It is therefore difficult to calculate the benefit/risk ratio but despite this, a proactive approach towards the Authorities has already been taken by Roche when we distributed a [DHCP] about two years ago warning Italian ophthalmologists of the dangers associated with the use of bevacizumab in [AMD]. From what I understand, our regulatory office is discussing a second information note to be distributed on the subject, very similar to the one from two years ago.”</w:t>
      </w:r>
    </w:p>
    <w:p>
      <w:r>
        <w:t>108. Within Roche, the awareness of the efficacy and safety of the ophthalmic uses of Avastin appears to be full. In a document circulated among the management of Roche Italia, for example, the use of Avastin and Lucentis for the treatment of eye diseases is placed on the same level, noting that an acquaintance “has a relative who should undergo treatment with Avastin/Lucentis for [AMD] and […] was asking which of our doctors could provide him with information. I know that as far as we are concerned it is off-label and we are not authorized to provide info but here we are talking about advice to a colleague.” Significant, in this regard, is also the circumstance that Roche Italia, while stating that it does not have overall data on the off-label ophthalmic uses of Avastin in Italy, admitted to having made direct sales of the drug as recently as 2013 – albeit in limited quantities – to private clinics specializing in eye care, thus fully aware of the destination of this product for off-label ophthalmic uses.</w:t>
      </w:r>
    </w:p>
    <w:p>
      <w:r>
        <w:t>109. It also appears from the records that the EMA initiated in October 2012 a procedure for alleged serious omissions of pharmacovigilance by the Roche group regarding a large number of products, including Avastin in its (not off-label in the ophthalmic field, but properly) on-label uses. Subject to the need to await the conclusions of the EMA procedure, it would thus appear that, while the Roche group companies concentrated efforts on reporting adverse events related to an unregistered use of Avastin, they would have failed to fulfill their pharmacovigilance obligations on the registered use of this and other drugs.</w:t>
      </w:r>
    </w:p>
    <w:p>
      <w:r>
        <w:t>110. There is also substantial evidence in the records regarding the substantial instrumentalization carried out within the Novartis group concerning the safety profiles of the product marketed by Roche, Avastin. The parent company Novartis, in fact, far from focusing exclusively on promoting its own drug Lucentis – as would have been reasonable to expect, and indeed recommended by its own internal legal office – has prepared a complex series of activities aimed at developing and disseminating as widely as possible a perception of greater danger associated with Avastin, even going so far as to prepare specific scientific publications and targeted communication plans.</w:t>
      </w:r>
    </w:p>
    <w:p>
      <w:r>
        <w:t>111. Exemplary in this regard is a document from early 2013 where the intent to defend Lucentis sales – with particular reference to France and Italy – is shown by “generating and communicating concerns about the safety of Avastin.” All this is in line with a plan focused on “continuing to push messages about the safety risks of Avastin” which, for the national subsidiaries, is specified in terms of “effective communication of emerging Avastin safety risks and methodological issues of comparative studies through internal (MA/MSL materials, FAQs, SciOps training support) and external communication: symposia, funding of publications reviewing comparative studies, articles on ranibizumab as tx in patients with co-morbidities.”</w:t>
      </w:r>
    </w:p>
    <w:p>
      <w:r>
        <w:t>112. In the same document, therefore, the parent company Novartis details the task of the national subsidiaries in terms of “proactively and timely producing and disseminating updated material on reports of adverse events of Avastin for off-label uses.” Similarly, another internal study by Novartis, dating back to early 2013, identifies a series of EU States (including Italy) as “greater danger” for the existence of off-label uses of Avastin, speaking of “leveraging safety data and regulator statements against the unlicensed intraocular use of bevacizumab for AMD in order to avoid off-label erosion.”</w:t>
      </w:r>
    </w:p>
    <w:p>
      <w:r>
        <w:t>113. The off-label use of Avastin also worries Novartis in the context of those ophthalmic therapies – different from the treatment of AMD – that in the group’s plans constitute further, growing commercial outlets for Lucentis. In this regard, attention is drawn to DME, highlighted in the aforementioned document among the strategic objectives for the near future as a necessary “work with diabetic patient groups to increase voiced concerns about safety risks arising from the use of unlicensed therapies for DME.” Shortly thereafter, there is also concern about a possible authorization within the EU of off-label uses of Avastin motivated by economic savings, explicitly citing the “Italy case.” In a previous market study commissioned by Novartis in anticipation of the launch of Lucentis for the treatment of RVO, it is also stated that “the superior safety of Lucentis is a key differentiator (if supportable in the [Target Product Profile]) vs. Avastin,” suggesting to leverage in this regard the fact that “data vs. laser therapy and lack of data/perceptions regarding the safety of Avastin differentiate Lucentis.”</w:t>
      </w:r>
    </w:p>
    <w:p>
      <w:r>
        <w:t>114. Significantly, the information conditioning activities become more intense precisely when the publication of the results of independent comparative studies has diminished the lack of shared data and perceptions regarding the efficacy and safety of off-label uses of Avastin: as will be better seen below, in fact, since Roche had not conducted research on this matter (or at least made it public), it was necessary to counter the emerging data with a more robust communication strategy.</w:t>
      </w:r>
    </w:p>
    <w:p>
      <w:r>
        <w:rPr>
          <w:b/>
        </w:rPr>
        <w:t>[Pages 109–111]</w:t>
      </w:r>
    </w:p>
    <w:p>
      <w:r>
        <w:t>BULLETIN NO. 11 OF MARCH 17, 2014 111</w:t>
      </w:r>
    </w:p>
    <w:p>
      <w:r>
        <w:t>only with the CATT and IVAN studies have comparative data become available that make doctors more confident in the use of Avastin in the ophthalmic field.</w:t>
      </w:r>
    </w:p>
    <w:p>
      <w:r>
        <w:t>115. In order to defend against this eventuality, among Novartis's priorities (updated as of March 2012) is explicitly mentioned the achievement of "a greater number of publications raising safety concern stories," closely linked to the further objective of "developing a communication plan for the new wave of comparative studies (IVAN, CATT2, etc.) based on what was learned from the launch of CATT1." In a document from November 2010, it is also evident that within Novartis, the "key objective: increase uncertainty around Avastin safety" was considered within a detailed "defensive strategy" regarding the anticipated publication of results from independent comparative studies.</w:t>
      </w:r>
    </w:p>
    <w:p>
      <w:r>
        <w:t>116. At the top levels of Novartis, it is considered a significant success to have downplayed the evidence regarding the substantial equivalence of the two drugs for ophthalmic uses, equivalence that was expressed for the first time in an "official" manner with the publication of the one-year results of the comparative CATT study. In a document from September 2012 – prepared by the CEO of Novartis Farma and discussed in a meeting at the top of the parent company specifically dedicated to considering the "challenge of off-label intravitreal uses of Avastin" – it is stated that the strategy remains focused on an "emphasis on the safety of Lucentis vs. Avastin," while regarding the comparative studies, "the release of the one-year data from the CATT study was a pivotal moment that was rendered a 'non-event.'"</w:t>
      </w:r>
    </w:p>
    <w:p>
      <w:r>
        <w:t>117. The satisfaction that emerges from such statements should be correlated with the concerns previously expressed about the possibility that the realization of independent comparative studies could compromise Lucentis's market position, as "comparative tests [...] will give physicians greater confidence in Avastin." In a previous market study commissioned by Novartis, dated September 2011, it is also stated that "there is a high level of agreement that the CATT tests are critical for AMD treatment decisions and that they provide evidence of comparable efficacy," with the addition that "after CATT, physicians intend to increase the use of Avastin."</w:t>
      </w:r>
    </w:p>
    <w:p>
      <w:r>
        <w:t>118. The instructive documents clearly show that there was also concern within the Roche group to minimize the impact of the CATT and IVAN comparative studies. A document from May 2012 (sent by the Senior International Communications Manager-Avastin) clearly provides guidelines (also in the form of Questions &amp; Answers, "Q&amp;A") for responses to be given to the press in this regard, recommending to "not proactively communicate results from CATT or IVAN." This warning is in line with what had already occurred the previous year during the publication of the one-year results of CATT, when a similar communication circulated within the group.</w:t>
      </w:r>
    </w:p>
    <w:p>
      <w:r>
        <w:t>119. As for the communication (both scientific and more generally public, aimed at both institutional subjects and general press) of the "differentiation" of Avastin, it is evident that there was interest in sending a DHCP to inform physicians not only from Roche – which would be appropriate as the MAH of Avastin – but also from Novartis, in agreement with the counterpart. An exemplary internal email from the head of legal services of Roche Italy (Director Legal, Governance and Compliance) at the end of April 2012, referring to an article regarding a lawsuit by Novartis aimed at preventing the English NHS from off-label use of Avastin, asks his CEO to coordinate "for a meeting with the top management of Novartis on this aspect (the Novartis colleague reminded me of it recently)." From the response given by the CEO of Roche Italy, it is confirmed both the existence of a schedule of meetings with the CEO of Novartis Farma and the strategy aimed at curbing/preventing the off-label use of Avastin precisely by leveraging the modification of the RCP: "yes, but I had received a signal from the [Registration Manager of Roche Italy] that in May they would review the technical data sheet [RCP]. We will discuss it anyway."</w:t>
      </w:r>
    </w:p>
    <w:p>
      <w:r>
        <w:t>120. The internal email exchange within Roche Italy also reveals a series of contacts that had already taken place with the top management of Novartis Farma regarding the impact of Avastin sales on those of Lucentis in Italy. Specifically, there is extensive correspondence between Novartis Farma and Roche Italy, traceable at least from an email from March 2012 titled "use of Avastin for ophthalmic indications," where the CEO of Novartis Farma writes to the CEO of Roche Italy to inform him: "Dear [...], as briefly discussed during the Giunta, we have just completed a market research survey regarding the use of drugs for some specific retinal indications. See attached one slide summarizing the results for your information and consideration." In this regard, it should be noted that internal studies from Novartis Farma report market shares (in terms of patients) corresponding to 43% for Lucentis and 41% for Avastin regarding the treatment of AMD in Italy, shares significantly distant from those found in the rest of the EU states, where Lucentis holds much more prominent market positions.</w:t>
      </w:r>
    </w:p>
    <w:p>
      <w:r>
        <w:t>121. The CEO of Roche Italy expresses concern about the market data transmitted to him by the CEO of Novartis Farma, and responds: "Hi [...], I am more than surprised to read these data. Could you please give me more details about it? Is it a situation at national level or does it refer to some regions? Do these data refer to specific indications or broad label indications? [...] Are you aware of this situation in other European countries? If you could give me more details about regions, I could check with my pharmacovigilance department if we have received any adverse events related to this misuse. Any suggestions will be welcome." The CEO of Novartis Farma replies: "Dear [...], I understand your surprise and suggest we have a meeting together with a representative from the legal department, the medical department, and our Sales Head to answer your questions. If you agree, [the Business Planning &amp; Analysis Head of Novartis Farma] will liaise with your office to set up the best time for such a meeting."</w:t>
      </w:r>
    </w:p>
    <w:p>
      <w:r>
        <w:t>122. Further contacts then follow to arrange the meeting, which conclude with an email from the CEO of Roche Italy, who in the first half of March 2012 writes to his counterpart at Novartis to also confirm the centrality of the changes to the RCP of Avastin and the consequent sending of a warning communication to medical professionals in the joint strategy of the companies: "Dear [...], I have checked with my colleagues and understand that the opinion for variation II/44 on the effects of Avastin in intravitreal indications is due by May 2012. Only then will we find the changes in the RCP and have more information about the [DHCP]. Since for my part the situation is now well clear and directed, I suggest that we can discuss personally at the first opportunity, for example at the next meeting in Farmindustria."</w:t>
      </w:r>
    </w:p>
    <w:p>
      <w:r>
        <w:t>123. Roche had indeed prepared a timeline of the expected activities for the modification of the RCP and the circulation of a DHCP, the timing of which has been modified several times – with an initial postponement of the expected outcomes to February 29, 2012, then to May 2012 – in light of the increasing requests for clarifications from the CHMP and the concerns that emerged within the</w:t>
      </w:r>
    </w:p>
    <w:p>
      <w:r>
        <w:rPr>
          <w:b/>
        </w:rPr>
        <w:t>[Pages 112–114]</w:t>
      </w:r>
    </w:p>
    <w:p>
      <w:r>
        <w:t>114 BULLETIN NO. 11 OF MARCH 17, 2014</w:t>
      </w:r>
    </w:p>
    <w:p>
      <w:r>
        <w:t>the same committee regarding the submission of the DHCP. In this regard, an internal email from Roche Italy in May 2012 states: “Basel [i.e. Roche] has received a request from the CHMP to conduct an oral explanation on the off-label intravitreal use (ITV) of Avastin; the outcome of this oral explanation will determine a “final opinion” scheduled for May 24 during the next CHMP meeting, based on which approval is expected for the variation request II/44 on the ITV use; consequently, the RCP can be updated with additional wording reinforcing the fact that Avastin CANNOT be used off-label for intravitreal use; […] following the approval of this variation, a DHCP must be distributed to all doctors to keep them well informed of this decision and well educated on the correct use of Avastin only for the registered indications and not for unauthorized intravitreal use.”</w:t>
      </w:r>
    </w:p>
    <w:p>
      <w:r>
        <w:t>124. In light of such internal activities specific to Roche, it appears from the records that Novartis has had constant and in-depth information on how the Roche group operated at the EMA to obtain a modification of the technical data sheet for Avastin. In a presentation related to a meeting of an internal working group at Novartis, called the “Region Europe Lucentis Fast Implementation Team” and composed of senior executives from the parent company, it is particularly noted that the label change for Avastin (i.e., the modification of the RCP) was expected in February 2012, and that such change “should be proactively disseminated at the local level,” since “if there is no proactive information from Novartis this will be a non-event… but a large communication campaign has a high risk of being counterproductive for Novartis… therefore the regulatory workstream team recommends targeted communication to key stakeholders (advisory committees, face-to-face meetings).”</w:t>
      </w:r>
    </w:p>
    <w:p>
      <w:r>
        <w:t>125. Significantly, other passages from the same document reveal that Novartis executives have an updated and detailed knowledge of the progress of the procedure initiated by Roche at the EMA, discussing the DHCP related to the ophthalmic uses of Avastin – which, it should be noted, under pharmacovigilance regulations is the exclusive responsibility of the MAH of Avastin, namely Roche – as the culmination of a progression of distinct activities.</w:t>
      </w:r>
    </w:p>
    <w:p>
      <w:r>
        <w:t>126. Since, as already seen, the CHMP of the EMA did not deem it necessary to send any DHCP and the modifications to the RCP turned out to be different from those requested by Roche (modification to section 4.4 instead of 4.8 of the RCP), the plans already developed in this regard – both at the parent companies in Switzerland and at the Italian subsidiaries – are necessarily revised by the Parties. Nevertheless, Roche Italy still attempts to obtain authorization from the parent company to circulate a DHCP in Italy, invoking purely economic reasons in this regard. In this context, some email exchanges that took place in September 2012 within Roche Italy and with the parent company are noteworthy, where it is stated: “regarding the Avastin variation II/44 (off-label intravitreal use), we would like to ask you if it is possible to go ahead with the dispatch of a DHCP only in Italy;” “leveraging the law 648 and the economic reasons that drive ophthalmologists to prescribe Avastin, perhaps we can convince Basel [to send the DHCP].”</w:t>
      </w:r>
    </w:p>
    <w:p>
      <w:r>
        <w:t>127. However, the position of the parent company Roche in Basel regarding the dispatch of a DHCP remains negative, due to the insurmountable decision taken by the CHMP in this regard. This leads the management of Roche Italy to hypothesize a different solution, namely “to send the RCP to doctors, in the form of scientific information (AIFA Deposit), and not as a DHCP letter.” This solution is then communicated to Novartis Farma, with which Roche Italy maintains constant contact, as shown by a series of emails from the medical director and the CEO of the latter: “I will communicate our position to the colleagues at Novartis;” “Yes, we will inform Novartis and then decide how to proceed.”</w:t>
      </w:r>
    </w:p>
    <w:p>
      <w:r>
        <w:t>128. Novartis Farma, for its part, leans towards an even more incisive communication strategy to healthcare professionals, as noted in another email from the medical director of Roche Italy written following a discussion with the counterpart: “Novartis requests proactive communication that emphasizes ethical aspects and professional risks for ophthalmologists using the drug off-label, not the delivery of the RCP, whatever the transmission channel. I agree in principle with Novartis's request.” Immediately after, the CEO of Roche Italy writes to the rest of the company's management: “the [General Manager] of Novartis is looking for me, what do you suggest we do in the end?”</w:t>
      </w:r>
    </w:p>
    <w:p>
      <w:r>
        <w:t>129. From the documentation on file, it clearly emerges how the coordination between the Parties is situated within a broad network of existing relationships between the top levels of Roche Italy and Novartis Farma, established to discuss and coordinate the conduct to be maintained regarding reactions from various parties concerning the disproportion of costs of ophthalmic therapies based on Avastin and Lucentis. The Italian subsidiaries consistently and directly refer to the parent companies Roche and Novartis in this regard.</w:t>
      </w:r>
    </w:p>
    <w:p>
      <w:r>
        <w:t>130. In this context, it is first noted an email exchange from September 2013 between the CEOs of Roche Italy and Novartis Farma, triggered by the approval – immediately after the modification of the RCP for Avastin by the EMA – of a decree law that included among its provisions a sort of “liberalization” of off-label uses of drugs for the purpose of containing pharmaceutical expenditure (decree law of September 13, 2012, No. 158, the so-called Balduzzi decree). This innovation is perceived with great concern by the pharmaceutical industry, as evidenced by a particularly critical press release adopted in this regard by the GEF of Farmindustria, a release preliminarily submitted by the CEO of Roche Italy to various high-profile individuals, including the CEO of Novartis Farma. For the latter, moreover, the CEO of Roche Italy adds a specific comment: “today we had an extraordinary committee [of the GEF] to define the priorities. Clearly, the point regarding 648 is against Lucentis/Avastin. I will keep you informed.”</w:t>
      </w:r>
    </w:p>
    <w:p>
      <w:r>
        <w:t>131. The document shows how a constant level of attention is maintained between the two correspondents regarding the Avastin/Lucentis issue, with consequent contacts aimed at coordinating reactions to the regulatory proposal. Furthermore, several emails between the CEOs are on record, the contents of which developed following some reflections exchanged within the management of Roche Italy and shared with the parent company in Basel. Significantly, the latter recommends its subsidiary to “refer any specific issue on Lucentis in Italy (price, etc.) to Novartis,” reiterating this directive in the Q&amp;A attached to the document related to strategies for reacting to the publication of independent comparative studies, where it states that “for questions related to the use of Lucentis outside the United States, contact Novartis.”</w:t>
      </w:r>
    </w:p>
    <w:p>
      <w:r>
        <w:t>132. With reference to the internal reflections at Roche Italy, at the beginning of September 2012, the head of the Communications Office of Roche Italy (Head of Communications &amp; Public Affairs) writes to the head of the public relations office of the parent company (Head Roche Group Media Relations) pointing out that “one of the macro topics [of the Balduzzi decree] is the expansion of off-label use – expanding the possibilities for physicians and hospitals to use less expensive drugs despite formal approval for the pathology, and in the mind of the minister, there are two specific products: Avastin and Lucentis. In practice, the proposal is to use Avastin off-label for [AMD] and not Lucentis, which is too expensive….” The parent company promptly responds to the email by sending a proposed statement, which the head of the Communications Office of Roche Italy adopts and forwards to his CEO.</w:t>
      </w:r>
    </w:p>
    <w:p>
      <w:r>
        <w:t>133. To confirm the relevance attributed to the issue and how it is perceived by both Italian subsidiaries of the Roche and Novartis groups, the head of the Communications Office of Roche Italy also writes in an email directed to other executives of the company that “the Balduzzi decree that liberalizes off-label use is a sword of Damocles that will legitimize the use of Avastin in ophthalmology, and it would be important to update the Q&amp;A – Stand by statement and reactive strategy shared with Basel.”</w:t>
      </w:r>
    </w:p>
    <w:p>
      <w:r>
        <w:rPr>
          <w:b/>
        </w:rPr>
        <w:t>[Pages 115–117]</w:t>
      </w:r>
    </w:p>
    <w:p>
      <w:r>
        <w:t>BULLETIN NO. 11 OF MARCH 17, 2014 117</w:t>
      </w:r>
    </w:p>
    <w:p>
      <w:r>
        <w:t>[i.e., the parent company Roche] and probably Novartis.” The proposal to share such a “reactive strategy” with Novartis – where the problematic nature of the Italian situation is discussed at the highest levels of the group – materializes quickly, as evidenced by an email dated September 12, 2012, sent by the CEO of Novartis Italy to the CEO of Roche Italy, which states: “Dear […], following our discussion today […] our Medical Director will send you the documentation and information you required. I would very much appreciate if you could also ask your Medical Director to get in touch with [the Medical Director of Novartis Farma], as she has tried several times without success. She will obviously try again, due to the urgency of the situation.”</w:t>
      </w:r>
    </w:p>
    <w:p>
      <w:r>
        <w:t>134. Following this message, the CEO of Roche Italy writes to his medical director and, referring to his conversation with the head of Novartis Farma, clarifies that “we talked about the cases of Avastin and Lucentis.” The medical director of Roche Italy responds: “Great, I will see [the head of the communication office of Roche Italy] tomorrow also regarding the update of the RCP and the communication to be structured.” The next day, the medical director of Roche Italy writes to several company executives: “Tomorrow morning at 8:30 I will be at Novartis with [the Medical Director]. Then I will let you know.”</w:t>
      </w:r>
    </w:p>
    <w:p>
      <w:r>
        <w:t>135. The succession of meetings and discussions between the top management of Roche Italy and Novartis Farma intertwines with a series of significant events regarding the use of Avastin in ophthalmology by the SSN, such as (i) the presentation on September 26, 2012, of a parliamentary inquiry regarding the issue of the lack of registration of Avastin for ophthalmic use by Roche, (ii) the already seen complete exclusion of the drug from List 648 (supra, §§68 ss.) which was followed by strong reactions, culminating in a parliamentary inquiry presented on October 17, 2012.</w:t>
      </w:r>
    </w:p>
    <w:p>
      <w:r>
        <w:t>136. Regarding the aforementioned parliamentary inquiry, it is perceived with concern by the top management of Roche Italy, who contact the parent company in Basel to prepare an official reaction, and are directed in this regard even to the drafting methods of a communication to be addressed to the Ministry of Health. At the same time, the CEOs of Roche Italy and Novartis Farma keep each other informed about the developments of the matter, exchanging emails about the activities of the SOI aimed at contesting the exclusion of Avastin from List 648.</w:t>
      </w:r>
    </w:p>
    <w:p>
      <w:r>
        <w:t>137. In the excitement created by the new parliamentary front, on October 23, 2012, the CEO of Novartis Farma forwards to the CEO of Roche Italy a press release about a press conference held in France by the CEOs of Roche and the French subsidiary of the group regarding the lack of safety of Avastin used in ophthalmology. The aforementioned document is significant as it accounts for what appears to be a sort of internal operational practice within the Roche group in managing the Avastin-Lucentis affair, with interventions by the CEO of the parent company receiving high media relevance (in this sense see already supra, §105): interventions that are promptly relaunched by Novartis.</w:t>
      </w:r>
    </w:p>
    <w:p>
      <w:r>
        <w:t>138. The head of Roche Italy responds to the message received on the same day, forwarding the message to four other executives of Novartis Farma and three of his senior collaborators. On this occasion, on one hand, he emphasizes the risk that the attempted solutions in Italy to contain pharmaceutical spending (including, as already seen, those of the Balduzzi decree specifically dedicated to the Avastin case) may be replicated in France, while on the other hand, he reports on a direct line maintained with the CEO of his parent company for managing the issue: “Thanks […], nothing new also from [the CEO of Roche]. This topic is quite contagious in countries affected by lack of economic resources. I strongly believe we have to be consistent in our dialogue with the authorities. Moreover […] France is tackling the deficit with similar ideas to those we are facing in Italy: price cuts, generic prescribing (within a reference price system) and a “temporary use recommendation” […]. I keep you informed.”</w:t>
      </w:r>
    </w:p>
    <w:p>
      <w:r>
        <w:t>139. A few days later, it is again the CEO of Novartis Farma who writes to the CEO of Roche Italy to forward him the text of an official communication from the SOI in support of the ophthalmic use of Avastin, adding the comment: “The information contained in this document may require a reaction from Roche. Up to you.” On the same day, the head of the communication office of Roche Italy writes to his CEO: “If we want to avoid meetings that then generate tedious follow-ups and give a strong signal to Novartis […] that we are supportive, I have a simple idea that could be realized at zero costs at the media level.”</w:t>
      </w:r>
    </w:p>
    <w:p>
      <w:r>
        <w:t>140. In this regard, it should be noted that following these events and messages in November 2012, the Balduzzi decree will be converted into law with significant amendments, including the definitive disappearance of the provision regarding the liberalization of off-label use of Avastin. According to what was considered by the representatives of Roche Italy, “this provision […] was not converted into law but is nonetheless particularly significant, as it constituted a norm requested by the Regions and intended to extend and legitimize the off-label prescription of Avastin (precisely at the moment when the legal disputes promoted by Novartis against the regional resolutions on its intraocular use had taken on particular intensity).”</w:t>
      </w:r>
    </w:p>
    <w:p>
      <w:r>
        <w:t>141. The documentation on record also highlights a pervasive coordination between Roche Italy and Novartis Farma regarding the public communication to be maintained concerning the management of the Avastin/Lucentis affair, with a timely comparison between the companies on the various issues that arise from time to time. Here, first of all, the contacts between their respective legal offices are recalled to respond to an association (Federanziani) that, in November 2011, had written to Roche Italy and Novartis Farma to complain about the disproportionate costs existing between Avastin and Lucentis in ophthalmology and the increasing difficulties encountered in the off-label use of the first drug. In this regard, there is an internal email from the head of the legal office of Roche Italy where, in requesting a series of information from the CEO of the company and other senior executives, it is highlighted that “since the warning is also addressed to Novartis and does not have competitive impacts, I will ask their lawyers if/how they intend to respond.”</w:t>
      </w:r>
    </w:p>
    <w:p>
      <w:r>
        <w:t>142. At least within Roche Italy, it appears that a direct confrontation with the parent company in Basel was promptly initiated for the response to Federanziani. This is evident from an exchange of internal emails within the Italian subsidiary, where the CEO of the company requests some executives to “alert Basel to get all the documentation that highlights the risks and differences” between Avastin and Lucentis; in a subsequent message from the head of the internal legal office, it is then noted that there has been an “alert to Basel.” In fact, following these activities, both Roche Italy and Novartis Farma will respond to Federanziani shortly thereafter (respectively on December 21, 2011, and January 18, 2012), both supporting the superiority of the drug Lucentis.</w:t>
      </w:r>
    </w:p>
    <w:p>
      <w:r>
        <w:t>143. In the relations between Roche Italy and Novartis Farma, an article that appeared in the press in July 2012, very critical of the Avastin/Lucentis affair and which explicitly speaks of “potential collusive behaviors” by Roche and Novartis, also creates a certain agitation. The article</w:t>
      </w:r>
    </w:p>
    <w:p>
      <w:r>
        <w:rPr>
          <w:b/>
        </w:rPr>
        <w:t>[Pages 118–120]</w:t>
      </w:r>
    </w:p>
    <w:p>
      <w:r>
        <w:t>120 BULLETIN NO. 11 OF MARCH 17, 2014</w:t>
      </w:r>
    </w:p>
    <w:p>
      <w:r>
        <w:t>is immediately exchanged between the heads of the legal services of the two Italian subsidiaries, then forwarded by the head of legal services of Roche Italia to its CEO with the comment: “Urgent a (our) initiative from Farmindustria!”</w:t>
      </w:r>
    </w:p>
    <w:p>
      <w:r>
        <w:t>144. On the same day, the article is circulated among various executives of Roche Italia, to whom the CEO of the company writes referring to the position adopted in this regard by the parent company and proposing to coordinate with Novartis Farma for the management of the matter: “I believe it is worth revisiting the Q&amp;A from Basel on this aspect. […] [Head of Communications &amp; Public Affairs] or […] [Business Communications Manager] do you think we should contact Novartis to understand if they will respond to the letter? The [Head Communications and Government Affairs of Novartis Farma]?”</w:t>
      </w:r>
    </w:p>
    <w:p>
      <w:r>
        <w:t>The following day, one of the managers of Roche Italia included in the aforementioned correspondence writes to the CEO and other executives of his company to confirm that contact has been made with Novartis Farma and the exchange of considerations in this regard: “we have spoken with the [Head Communications and Government Affairs of Novartis Farma]. They have distributed a note focused on Lucentis to La Voce, Fatto Quotidiano, and Adnkronos and for now do not have any other actions planned. […] We continue to monitor the situation in the media and are ready with global materials in case of developments.”</w:t>
      </w:r>
    </w:p>
    <w:p>
      <w:r>
        <w:t>145. After a few weeks, the concerns mentioned are joined by those created by the request made by SOI to (re)insert Avastin in List 648 for the treatment of AMD, a proposal amplified by an article that appeared in September 2012 in a national newspaper. Following these developments, and after Roche Italia's communication to the parent company of the news with the warning that SOI is responsible for an escalation in the visibility of the matter at the national level, contacts between the management of Roche Italia and Novartis Farma multiply precisely in order to find shared solutions. Both Italian companies also follow with concern the public awareness activities of SOI and keep each other informed in this regard, as demonstrated by an email in which the CEO of Novartis Farma forwards in October 2012 to the CEO of Roche a video from the president of SOI aimed at supporting the continuation of the ophthalmic use of Avastin even after its exclusion from List 648, a video that is immediately circulated within Roche Italia with worried tones.</w:t>
      </w:r>
    </w:p>
    <w:p>
      <w:r>
        <w:t>146. Finally, it is worth considering how there are precise contacts regarding the disputes initiated with appeals filed by Novartis Farma in order to obtain the annulment of the resolutions adopted by the Emilia-Romagna and Veneto Regions for the maintenance of the off-label ophthalmic use of Avastin in their respective SSR, in which Roche, although cited, has never intervened.</w:t>
      </w:r>
    </w:p>
    <w:p>
      <w:r>
        <w:t>147. Regarding the case filed against Emilia-Romagna, in August 2012 the head of legal services of Roche Italia sends to his CEO a draft for imminent publication in a noted national legal journal with the following warning: “I am sending you attached my comment on the ruling of the Court of Justice on the Poland/off-label case […] As you will see, I have already included a reference to the Emilia Romagna/Avastin/Lucentis situation!” The article, in which the measure of the Emilia-Romagna Region is strongly criticized, is promptly reported to the head of the legal office of Novartis, with the warning that it specifically discusses “the Emilia Romagna/Lucentis issue.”</w:t>
      </w:r>
    </w:p>
    <w:p>
      <w:r>
        <w:t>148. As for the dispute opposing Novartis Farma and the Veneto Region, it is worth noting how in an email exchange between the head of legal services of Roche Italia and other executives of the company it is highlighted that “Novartis immediately used the modification of the RCP of Avastin in its case against the Veneto Region for Lucentis,” further proving the importance of Roche's activities aimed at modifying the RCP of Avastin in the combined strategy of the various companies.</w:t>
      </w:r>
    </w:p>
    <w:p>
      <w:r>
        <w:t>Higher costs resulting from the replacement of Avastin with Lucentis</w:t>
      </w:r>
    </w:p>
    <w:p>
      <w:r>
        <w:t>149. During the proceedings, an exercise was carried out to estimate the higher costs resulting from the transition from the use of Avastin to that of competing drugs (including, in particular, Lucentis). The purpose of this exercise was solely to demonstrate that the conduct attributed to the parties has produced significant effects on the market and, consequently, the estimates are relevant within the present proceedings solely to demonstrate the existence of such effects, but not to arrive at their exact quantification. In this regard, it is noted that these estimates are limited to the higher costs incurred by the SSN alone and do not take into account those borne by patients who have paid out of pocket in private healthcare facilities or otherwise with recourse to private specialist services (e.g., according to the so-called intra moenia modalities), for which there are no reliable data.</w:t>
      </w:r>
    </w:p>
    <w:p>
      <w:r>
        <w:t>150. The estimates were made based on the hypothesis of what the trend of Avastin consumption in ophthalmology would have been, as reconstructed from the available data on the actual consumption of the drug during the period from 2007 to 2011, in the absence of any concertation between the Parties; the trend thus obtained was then compared with the actual consumption data of Avastin recorded during the period in which, based on the acquired evidence, concertation between the Parties can be contested.</w:t>
      </w:r>
    </w:p>
    <w:p>
      <w:r>
        <w:t>151. As a result of these calculations, it was estimated that in 2012 there was a replacement of approximately 57,000 injections of Avastin – corresponding to a total expenditure of approximately 4.6 million euros – with an equal number of injections of other competing anti-VEGF products at the time (Lucentis and Macugen), in proportion to their estimated relative weight in the market, corresponding to a total expenditure of approximately 49.4 million euros: this resulted in higher costs for the SSN amounting to 44.8 million euros. This last amount was obtained by multiplying the estimated quantity of replaced injections by the price increase resulting from this replacement, the increase calculated using a weighted average price between the prices per injection of Lucentis and Macugen. The graph below represents the estimated variation in the trend of Avastin applications in ophthalmology.</w:t>
      </w:r>
    </w:p>
    <w:p>
      <w:r>
        <w:rPr>
          <w:b/>
        </w:rPr>
        <w:t>[Pages 121–123]</w:t>
      </w:r>
    </w:p>
    <w:p>
      <w:r>
        <w:t>BULLETIN NO. 11 OF MARCH 17, 2014 123</w:t>
      </w:r>
    </w:p>
    <w:p>
      <w:r>
        <w:t>Figure 1 – Estimate of the reduction in Avastin consumption (injections)</w:t>
      </w:r>
    </w:p>
    <w:p>
      <w:r>
        <w:t>152. In light of such estimates, it is worth considering the further potential scenario of a total replacement of Avastin in ophthalmology with competing anti-VEGF products (among which, predominantly, Lucentis): such a scenario would entail a significant economic burden for the National Health Service (SSN), due to the cost difference between these drugs (see above, Table 1). More specifically, projecting the estimates for ophthalmic consumption of Avastin already discussed with reference to 2012 to 2013 and 2014, if the expected injections of this product in those years were entirely replaced with (predominantly) Lucentis injections, the expenditure for the SSN would amount to approximately 595.8 million euros in 2013 and approximately 678.6 million euros in 2014; conversely, in the absence of replacement of Avastin, the expenditure in the two cited years, for the same expected injections of this product, would be respectively equal to 55.8 and 63.5 million euros. Therefore, assuming a total replacement of Avastin with Lucentis, the additional expenses that the SSN would incur in 2013 and would incur in 2014 can be considered to correspond to approximately 540 and 615 million euros, respectively. The following graph provides a representation of the potential variations in expenditure.</w:t>
      </w:r>
    </w:p>
    <w:p>
      <w:r>
        <w:t>The price used for the competing injections, amounting to 872.30 euros, was obtained as a weighted average of the price per injection of Lucentis and the price per injection of Macugen (amounting to 902.00 euros and 753.47 euros, respectively: see above, Table 1), attributing an 80% weight to Lucentis and a 20% weight to Macugen. The use of these weights is consistent with the idea that, in replacing Avastin injections, Lucentis sells four times as many injections as Macugen. Given that, although the prices of both drugs are significantly higher than that of Avastin, the price of Lucentis is higher than that of Macugen, the choice to use these weights appears once again to be broadly conservative in favor of the requesting Parties, considering the actual relative position of Lucentis and Macugen in the market. The weighted average price (pa) is therefore obtainable from the expression pa = 0.8pl + 0.2pm (where pl denotes the price of Lucentis and pm denotes the price of Macugen).</w:t>
      </w:r>
    </w:p>
    <w:p>
      <w:r>
        <w:t>124 BULLETIN NO. 11 OF MARCH 17, 2014</w:t>
      </w:r>
    </w:p>
    <w:p>
      <w:r>
        <w:t>Figure 2 – Comparison of SSN expenditure for the expected ophthalmic consumption of Avastin in 2013 and 2014</w:t>
      </w:r>
    </w:p>
    <w:p>
      <w:r>
        <w:t>153. During the proceedings, SOI argued that the annual cost for Lucentis applications for all Italian AMD patients would reach 400 million, with a tendency to increase following the recent extension of Lucentis application to DME and RVO treatments. According to SOI, moreover, “by a fortunate coincidence, there exists a sort of 'twin' country to Italy in terms of population and characteristics (starting from age distribution), namely France, where from the outset the SSN made a very clear choice regarding the treatment of various exudative maculopathies and neovascular glaucoma, exclusively adopting Lucentis. Given this fundamental country of comparison, with a population of about 65 million people, it is possible to consider that the costs of a complete transition to Lucentis correspond to no less than 700 million euros, or the expenses budgeted by the French SSN for this purpose.”</w:t>
      </w:r>
    </w:p>
    <w:p>
      <w:r>
        <w:t>154. In fact, data obtained during the proceedings indicate that the expenditure of the French healthcare system for AMD, DME, and RVO treatments based on Lucentis amounted to 756 million euros in 2012. In light of (1) the already mentioned overlap of epidemiological data related to exudative maculopathies in industrialized countries, (2) the numerical proximity of the population/number of patients in France and Italy (see above, Table 7), (3) the closeness of Lucentis prices in the two countries (in France the current price per single dose is 1,002.00 euros), it should be considered that the aforementioned amount may represent a good approximation of the maximum expected costs for the SSN from the transition to exclusive use of Lucentis for all eye diseases currently treated with off-label applications of Avastin.</w:t>
      </w:r>
    </w:p>
    <w:p>
      <w:r>
        <w:t>155. Representatives of the Emilia-Romagna Region, for their part, reported that in 2011, out of a total of 6,514 patients treated within the SSN, 1,180 were treated with Lucentis and 5,334 with Avastin; therefore, “assuming a number of 6 administrations per patient (as indicated in the literature) [the] additional cost that the SSN incurred for treatment with Lucentis instead of Avastin” amounted to 5,593,200 euros; if all 5,334 patients still treated with Avastin had been treated with Lucentis, the additional cost would have reached 25,283,160 euros. In addition to providing its own projections on a national basis (with an estimate considered conservative) of the additional costs anticipated by its SSN, indicating an increase in expenses for the SSN of about 200 million euros for the shift of its purchases from Avastin to Lucentis, the Emilia-Romagna Region also provided a prospectus of possible alternative uses of the economic resources required for the purchase of Lucentis.</w:t>
      </w:r>
    </w:p>
    <w:p>
      <w:r>
        <w:t>156. On the other hand, representatives of the Veneto Region emphasized that after the definitive exclusion of Avastin from List 648 “the treatments for [AMD] with the drug Lucentis within the Region were not immediate due to the unexpected but necessary operation of reprogramming the financial resources of the SSN (the estimated increase in expenditure is about 7 million euros in the Region alone).”</w:t>
      </w:r>
    </w:p>
    <w:p>
      <w:r>
        <w:t>157. Internal documents from Novartis Farma seem to indeed confirm the magnitudes – epidemiological and expected expenditure – cited above. Regarding Italy, it is considered that “the annual cost of therapy with ranibizumab, based on the current price and the recommended dosage in the technical data sheet, is estimated to be between 3,000 and 9,000 euros approximately [...]. Based on data from the AIFA monitoring registry, the average number of injections during the first year of treatment is 4.15, with an average annual cost per patient of about 4,200 euros.” These data are therefore placed in direct correlation with “the potential use of Lucentis,” thus evaluated: “in Italy, according to recent estimates, just under 1 million people show the first signs of [AMD]; of these, it is estimated that about 230,000 are affected by the neovascular form, of which 36,000 are new cases. [...] in our country, it is estimated that approximately 59,000 people are affected by [DME].”</w:t>
      </w:r>
    </w:p>
    <w:p>
      <w:r>
        <w:t>V. THE ARGUMENTS OF THE PARTIES</w:t>
      </w:r>
    </w:p>
    <w:p>
      <w:r>
        <w:t>158. The Parties to the proceedings have had the opportunity to present their positions both in hearings and in specific written submissions, as represented below.</w:t>
      </w:r>
    </w:p>
    <w:p>
      <w:r>
        <w:t>v.I Avastin and Lucentis do not belong to the same relevant market</w:t>
      </w:r>
    </w:p>
    <w:p>
      <w:r>
        <w:t>159. Representatives of Roche and Genentech argued that Avastin and Lucentis are “structurally different: the molecule bevacizumab, in fact, has as its primary clinical target the treatment of tumor pathologies, while the molecule ranibizumab was specifically developed for...</w:t>
      </w:r>
    </w:p>
    <w:p>
      <w:r>
        <w:rPr>
          <w:b/>
        </w:rPr>
        <w:t>[Pages 124–126]</w:t>
      </w:r>
    </w:p>
    <w:p>
      <w:r>
        <w:t>126 BULLETIN NO. 11 OF MARCH 17, 2014</w:t>
      </w:r>
    </w:p>
    <w:p>
      <w:r>
        <w:t>the treatment of eye diseases. Furthermore, "the 'differentiation' of the two products is the result of a unilateral decision by the Roche group that escapes the application of Article 101 TFEU. The choice to 'differentiate' the two products was a scientific, autonomous, and unilateral decision by the Roche group, made years before Novartis had anything to do with Lucentis."</w:t>
      </w:r>
    </w:p>
    <w:p>
      <w:r>
        <w:t>160. On the other hand, "there is no 'relevant market' in which to compete. There is no product and geographical market in the ophthalmic field where Roche and Novartis operate in competition": this is because "Novartis has a marketing authorization for Lucentis" while "Roche does not have a marketing authorization in this market - Avastin has a marketing authorization only for oncological treatments," and it is "the scope of the marketing authorization that determines the conditions under which a company has the ability to compete."</w:t>
      </w:r>
    </w:p>
    <w:p>
      <w:r>
        <w:t>v.II Vertical Relationships Between Companies</w:t>
      </w:r>
    </w:p>
    <w:p>
      <w:r>
        <w:t>161. Representatives of the Parties have argued that no violation of Article 101 TFEU can be found as the conduct of the companies would be attributable to vertical relationships under the G-N Agreement, and in any case exempt from antitrust scrutiny by virtue of the regulation on technology transfer agreements: "the Roche and Novartis groups are not in a horizontal competition relationship in the relevant market, but are merely parties to a vertical relationship concerning a single product, Lucentis." Moreover, "the two Groups could not be [...] considered competitors in the same market (cf. regulation on the exemption of technology transfer agreements, Article 1, letter j)," save for the even more general consideration that "it is clear that, under competition rules, there is a wide area of legitimate collaboration between licensor and licensee, to which Article 101 TFEU does not apply."</w:t>
      </w:r>
    </w:p>
    <w:p>
      <w:r>
        <w:t>v.III Lawful Object of the Agreement and Technical Incompetence of the Authority</w:t>
      </w:r>
    </w:p>
    <w:p>
      <w:r>
        <w:t>162. According to the representatives of the Parties, the agreement, even if it exists, would have a lawful object, as the companies would have limited themselves to defining the methods for complying with regulatory provisions. Roche, in particular, would have acted in accordance with pharmacovigilance obligations, from which compliance also depends on the possibility of remaining exempt from aspects of producer liability regarding the risks of off-label uses of Avastin.</w:t>
      </w:r>
    </w:p>
    <w:p>
      <w:r>
        <w:t>163. On the other hand, the conduct of the Parties must be framed within a legal context that, also by virtue of recent community court rulings, strongly circumscribes the legitimacy in general of off-label uses of drugs. The recent inclusion of Avastin for ophthalmic applications in the WHO Essential Medicines List would not legitimize its off-label uses, as the objective of that list "is to promote the functioning of health systems in developing countries (and not countries like Italy and most other EU Member States, which therefore do not have a national list of essential medicines)." Representatives of the companies have also referred to a series of drug agencies from other countries that have taken positions against off-label ophthalmic uses of Avastin.</w:t>
      </w:r>
    </w:p>
    <w:p>
      <w:r>
        <w:t>164. Therefore, according to Novartis, if the Authority were to declare such conduct unlawful, "it would act in violation of EU and Italian law [...] as such a decision would support and promote the off-label use of Avastin, in disregard of the provisions of the directive on medicines and the Di Bella law." Furthermore, a potential condemnation decision would end "without a minimum of technical-scientific investigation" to "close the global scientific debate: essentially stating that Lucentis and Avastin are perfect substitutes for the treatment of eye diseases and that off-label Avastin is safe," ultimately endorsing the off-label use of the drug. In the same perspective, the Parties have argued that the investigative reconstructions have been tainted by a fundamental error, namely "the fact of basing the determination of the relevant market on clinical practices resulting from non-compliance with sector regulations."</w:t>
      </w:r>
    </w:p>
    <w:p>
      <w:r>
        <w:t>165. In any case, regarding the contacts that took place between the Italian subsidiaries of the Roche and Novartis groups, "given the nature of the information discussed and the circumstance that the respective position of each of the Parties regarding the use of off-label Avastin was universally known, it is evident that it could not, by definition, eliminate/reduce 'the degree of uncertainty regarding the functioning of the market' and therefore did not have an anticompetitive nature."</w:t>
      </w:r>
    </w:p>
    <w:p>
      <w:r>
        <w:t>166. The Parties also argue that their respective conduct would not have in any way conditioned the decisions of the competent drug agencies, particularly AIFA, which since 2009 has progressively excluded off-label uses of Avastin from reimbursement within the National Health Service: in this sense, the contacts between the Roche and Novartis groups as recorded in the documents occurred at a time that is certainly subsequent. Even with reference to the AIFA determination of October 2012, which excluded all off-label ophthalmic uses of Avastin from List 648, it is a decision "adopted by AIFA in total autonomy and independence, under its own responsibility and within the framework of its institutional tasks."</w:t>
      </w:r>
    </w:p>
    <w:p>
      <w:r>
        <w:t>v.IV Absence of a Causal Link and in Any Case Erroneous Estimation of Effects</w:t>
      </w:r>
    </w:p>
    <w:p>
      <w:r>
        <w:t>167. According to the representatives of the Parties, there is no causal link between the alleged conduct and the estimates of the economic effects that would have resulted in terms of increased costs borne by the National Health Service, as these would be attributable to the aforementioned decision adopted in October 2012 by AIFA to remove Avastin from List 648.</w:t>
      </w:r>
    </w:p>
    <w:p>
      <w:r>
        <w:t>168. In any case, the estimates regarding such effects would be inaccurate. In fact, "it is entirely incorrect to attribute all 'outpatient' consumption of Avastin to off-label consumption in the ophthalmic field: it is indeed clear that outpatient consumption is attributable for the vast majority to Avastin consumption for authorized oncological indications." In this regard, IMS data for the years 2011-2012 of some "oncological drugs with authorized indications overlapping with those of Avastin" have been compared, noting that "the percentage of patients treated with such drugs on an outpatient basis - i.e., outpatients - is between 10% and 40%, depending on the drug."</w:t>
      </w:r>
    </w:p>
    <w:p>
      <w:r>
        <w:t>169. Furthermore, Roche and Genentech have considered that "in the period prior to the occurrence of the alleged effects of the agreement (2007-2011), the growth of off-label Avastin consumption would have followed a clearly declining trend, stopping altogether in 2011. The same data indicate that in 2012 - the year in which the agreement would have begun to produce its effects - off-label Avastin consumption would instead have increased by 20% compared to the previous year," which is in contrast to the Authority's conclusions, which would thus be forced to attribute to the Parties an effect of lower growth compared to an expected estimate of 33% per year that is to be considered entirely implausible in light of the previous consumption trends.</w:t>
      </w:r>
    </w:p>
    <w:p>
      <w:r>
        <w:t>v.V Further Defensive Arguments</w:t>
      </w:r>
    </w:p>
    <w:p>
      <w:r>
        <w:t>170. Representatives of Roche Italia have considered that the failure to establish the company in the administrative proceedings initiated by Novartis Farma to obtain the annulment of the regional resolutions aimed at maintaining the off-label use of Avastin was due to purely legal reasons. Specifically, the company believed that "the legal actions proposed by Novartis (as well as by other companies operating in the ophthalmic field) to obtain the removal of off-label Avastin from List 648 are fully founded, as the approval of Lucentis had completely eliminated the premise on which, pursuant to Law 648/1996, Avastin had been included therein. Consequently, Roche [Italia]'s participation in the proceedings would have been reckless."</w:t>
      </w:r>
    </w:p>
    <w:p>
      <w:r>
        <w:rPr>
          <w:b/>
        </w:rPr>
        <w:t>[Pages 127–129]</w:t>
      </w:r>
    </w:p>
    <w:p>
      <w:r>
        <w:t>BULLETIN NO. 11 OF MARCH 17, 2014 129</w:t>
      </w:r>
    </w:p>
    <w:p>
      <w:r>
        <w:t>171. Novartis finally represented that “although Novartis AG has fully cooperated with this Authority during the proceedings, such cooperation should not be interpreted as, and does not imply, acceptance of the Authority's jurisdiction over Novartis AG”: this is because the aforementioned company has “a primary listing in Switzerland, and operates as a holding company in Switzerland without any operational activity anywhere in the world; it therefore has no operational and managerial relationship with Italy.”</w:t>
      </w:r>
    </w:p>
    <w:p>
      <w:r>
        <w:t>v. Arguments of the Other Parties to the Proceedings</w:t>
      </w:r>
    </w:p>
    <w:p>
      <w:r>
        <w:t>172. SOI argued that the decision to differentiate Avastin from Lucentis, designating only the latter for ophthalmic applications, was not based on scientific or safety reasons, but rather on an economic exploitation logic aimed at restricting the availability of the more cost-effective drug. SOI also considered Roche's deductions regarding the alleged dangers of intravitreal uses of Avastin to be unsustainable, recalling the position previously expressed by the scientist responsible for the development of both bevacizumab and ranibizumab.</w:t>
      </w:r>
    </w:p>
    <w:p>
      <w:r>
        <w:t>173. SOI further emphasized the difficulties of access to treatment in Italy caused by the agreement between the Roche and Novartis groups, particularly focusing on the actual implementation of the agreement in terms of disseminating warnings about the dangers of ophthalmic uses of Avastin: “[…] In Italy, the anomalous situation that has arisen today in the provision of intravitreal therapy for age-related macular degeneration has resulted in 100,000 patients who cannot access treatment regardless of their rights enshrined in the Italian Constitution. Hospitals, after the relentless campaign on the dangers of Avastin since mid-2013, have effectively blocked the use of this drug, replacing it, when possible, with Lucentis. Naturally, the chronic lack of financial resources has unrealistically inflated the number of citizens who, having gone to the hospital for the prescribed treatment, were informed that they would have to return while waiting for Lucentis to arrive, which was at that moment unavailable due to prevailing budgetary reasons.”</w:t>
      </w:r>
    </w:p>
    <w:p>
      <w:r>
        <w:t>174. The Emilia-Romagna Region contested both the role of the regulatory framework invoked by the companies Parties for the consideration of their respective conduct, and the objections of the companies Parties regarding the limited scope of the inclusion of the active ingredient bevacizumab in the WHO EM-List. It was also noted that many Roche drugs are used off-label, but that only in the case of Avastin has its MAH, Roche, shown such promptness in highlighting adverse events: in particular, the case of rituximab (trade name Mabthera) was cited, whose RCP – despite the occurrence of very serious adverse events resulting from widespread off-label use – does not report any explicit indication regarding risks for off-label uses.</w:t>
      </w:r>
    </w:p>
    <w:p>
      <w:r>
        <w:t>175. Altroconsumo, finally, considered Roche's deductions regarding the profiles of producer liability from which the company intended to shield itself to be unfounded, noting that: (i) during the proceedings, the companies Parties did not cite any actual case in which a producer was condemned for the off-label use of its drug within the EU; (ii) liability in such cases falls on the treating physician and not on the producer, who can easily defend itself by claiming not to have marketed the drug for off-label use, as it did not request authorization.</w:t>
      </w:r>
    </w:p>
    <w:p>
      <w:r>
        <w:t>VI. EVALUATIONS</w:t>
      </w:r>
    </w:p>
    <w:p>
      <w:r>
        <w:t>vi.I Premise</w:t>
      </w:r>
    </w:p>
    <w:p>
      <w:r>
        <w:t>176. The evidence described demonstrates that Roche and Novartis, also through their subsidiaries Roche Italia and Novartis Farma, have engaged in pervasive and ongoing collusion aimed at achieving an artificial “differentiation” of the drugs Avastin and Lucentis, manipulating the perception of the risks of the ophthalmic use of Avastin. This occurred with the aim of illicitly maximizing their respective revenues – revenues derived, in the case of the Novartis group, from direct sales of Lucentis and from the 33% stake held in Roche, and in the case of the Roche group from royalties obtained on the same through its subsidiary Genentech – and having a direct impact on the balance of healthcare spending, both in the public and private sectors. The conduct of the aforementioned companies can be traced back to a unique and complex agreement, contrary to Article 101, letter c), TFEU.</w:t>
      </w:r>
    </w:p>
    <w:p>
      <w:r>
        <w:t>177. Given that, according to current community principles, the Authority has full competence to evaluate the conduct of subjects operating in non-EU countries, taking into account the defensive arguments of the companies Parties, it is deemed appropriate to preliminarily define:</w:t>
      </w:r>
    </w:p>
    <w:p>
      <w:r>
        <w:t>(A) the general scenario in which the agreement should be considered: the matter of drug regulation is not in the least questioned, it has nothing to do with […]</w:t>
      </w:r>
    </w:p>
    <w:p>
      <w:r>
        <w:t>A.1 the decision to develop two drugs having the same mechanism of action (anti-VEGF), designating them for different therapeutic applications for which separate registrations in AIC have been obtained, appears to have been adopted by Genentech. This original decision of application differentiation – from which the possibility for the company to obtain distinct price positions for the products in different therapeutic areas depended – has not assumed relevance for the purposes of the present proceedings;</w:t>
      </w:r>
    </w:p>
    <w:p>
      <w:r>
        <w:t>A.2 following this decision by Genentech, vertical licensing agreements were signed between Genentech and Roche on one side, and Genentech and Novartis on the other, for the sale of Avastin and Lucentis outside the USA;</w:t>
      </w:r>
    </w:p>
    <w:p>
      <w:r>
        <w:t>A.3 due to events over which the companies Parties could exercise no control – namely, the development by independent researchers of off-label ophthalmic applications of Avastin prior to the market launch of Lucentis for the same on-label applications – both drugs found themselves competing against each other in the market for drugs for the treatment of vision disorders due to ocular vascular disorders, as defined by a demand that manifested itself consistently at a global level.</w:t>
      </w:r>
    </w:p>
    <w:p>
      <w:r>
        <w:t>(B) the specific contents of the agreement:</w:t>
      </w:r>
    </w:p>
    <w:p>
      <w:r>
        <w:t>B.1 the conduct of the companies Parties was inspired by a horizontal collusion aimed at preventing off-label applications of Avastin from eroding on-label applications of Lucentis, from which both Roche and Novartis expected their highest profits. These are conducts that, while presupposing the existence of vertical licensing relationships, occur outside of them: it suffices to consider that since 2007, within the Novartis group, it has been noted that under the G-N Agreement, Novartis had no contractual tools to counter the uses of Avastin in ophthalmology;</w:t>
      </w:r>
    </w:p>
    <w:p>
      <w:r>
        <w:t>B.2 within the horizontal conduct of the companies Parties, clearly emerged from the investigative findings, for the purposes of the application of Article 101 TFEU, it appears:</w:t>
      </w:r>
    </w:p>
    <w:p>
      <w:r>
        <w:t>(i) a shared plan aimed at an artificial “differentiation” of Avastin and Lucentis, achieved by manipulating the perception of the risks of the ophthalmic use of the former to condition its demand. This manipulation was pursued on one side through the production and dissemination of information capable of generating public concerns about the safety of intravitreal uses of Avastin, and on the other with the minimization of scientific results from independent comparative studies regarding the equivalence of Avastin and Lucentis in ophthalmology. In other words, in the presence of two drugs equivalent in every respect in ophthalmology, the two companies artificially differentiated the products, devaluing contrary scientific findings, in order to promote the more expensive product (Lucentis, initially priced at 1,100 euros per injection and then reduced to 902 euros from November 2012), from whose sales profits accrue to both companies, and to prevent, or at least limit, the use of the less expensive one (Avastin, priced at 81.64 euros per injection);</w:t>
      </w:r>
    </w:p>
    <w:p>
      <w:r>
        <w:t>(ii) a joint interest of the Roche and Novartis groups regarding the modification of the summary of product characteristics (RCP) of Avastin currently underway at EMA and a hoped-for subsequent sending of a formal communication to medical professionals (DHCP), provoked by Roche's activities – as the Marketing Authorisation Holder (MAH) of Avastin, thus the only company authorized to undertake pharmacovigilance activities regarding this drug – and directly functional to the plan referred to in the previous point;</w:t>
      </w:r>
    </w:p>
    <w:p>
      <w:r>
        <w:rPr>
          <w:b/>
        </w:rPr>
        <w:t>[Pages 130–132]</w:t>
      </w:r>
    </w:p>
    <w:p>
      <w:r>
        <w:t>132 BULLETIN NO. 11 OF MARCH 17, 2014</w:t>
      </w:r>
    </w:p>
    <w:p>
      <w:r>
        <w:t>(iii) a coordination of the conduct maintained by the Italian subsidiaries of the Roche and Novartis groups – carried out through direct meetings and email exchanges between the executives of the two companies – for the concerted management of a series of more specifically national issues related to the competition between Avastin and Lucentis in the ophthalmic field.</w:t>
      </w:r>
    </w:p>
    <w:p>
      <w:r>
        <w:t>VI.II The relevant market</w:t>
      </w:r>
    </w:p>
    <w:p>
      <w:r>
        <w:t>178. With regard to the identification of the relevant market, it is noted that according to established case law, in cases of collusion, this is always subsequent to the ascertainment of the unlawful act: this is because the scope and object of the collusion itself delineate the reference market, so that "the definition of the product and territorial scope in which a coordination between competing companies manifests and the effects arising from the unlawful competition occur is functional to deciphering the degree of offensiveness of the unlawful act"225.</w:t>
      </w:r>
    </w:p>
    <w:p>
      <w:r>
        <w:t>179. In this case, a plurality of elements leads to the conclusion that the relevant market for the product can be defined as that of drugs for the treatment of vision disorders due to ocular vascular disorders. In this regard, the investigative documentation shows how the companies involved – in addition to new entrants – consider Avastin and Lucentis to be in direct competition with each other, comparing them in terms of market shares in the context of various national markets (see above, §§81 et seq., tables 5 and 6). From the investigative records, for example, it emerges that Novartis analyzes the Italian market considering Avastin as its main competitor, worrying about the market share erosion that its off-label use produces on Lucentis226.</w:t>
      </w:r>
    </w:p>
    <w:p>
      <w:r>
        <w:t>180. Also from the perspective of interchangeability/substitutability of the products from the consumer's point of view – which, as is known, constitutes the general criterion for defining the relevant market for antitrust purposes227 – in the medical practice that has spread worldwide, Avastin and Lucentis are considered therapeutically interchangeable228. As definitive confirmation of the perfect inclusion of Avastin in the ophthalmic field and the "clinical normality"229 of its intravitreal use, it should be noted that in April 2013, the WHO included its active ingredient bevacizumab in the WHO EM-List as the (only) anti-angiogenic drug intended for the treatment of vision disorders (see above, §75).</w:t>
      </w:r>
    </w:p>
    <w:p>
      <w:r>
        <w:t>181. In light of these elements, the defensive arguments, according to which the lack of registration of ophthalmic uses in the AIC of Avastin would preclude the inclusion of this product in the same market as Lucentis (above, §160), appear to lack merit. If, in fact, one were to accept the thesis that such registrations define the relevant market, it would end up allowing companies to establish the terms of comparability and substitutability of different products within the antitrust assessment of their respective conduct, with a substantial devaluation of the function of the demand that represents the fundamental ordering mechanism of a market economy. In fact, from an antitrust perspective, the AIC represents a barrier to the entry of a drug concerning its commercialization in general, beyond which the relevant markets in which the positioning of the product can be evaluated are defined by the actual uses – including off-label uses – adopted in medical practice230.</w:t>
      </w:r>
    </w:p>
    <w:p>
      <w:r>
        <w:t>182. In this perspective, the objection of the companies involved that the definition of the relevant market adopted by the Authority would be based on clinical practices contrary to sector regulations (above, §165) is also not shareable. The Authority, in fact, merely acknowledges the competitive scenario in which business conduct occurs, without making judgments on the possible legitimacy of choices attributable to consumers and/or producers, nor endorsing them. It is, in any case, peculiar that Roche Italia, which raises this objection, has admitted to having made direct sales of Avastin to private clinics specializing in ophthalmic care as recently as 2013, thus being fully aware of the off-label intravitreal applications to which this product would be destined231.</w:t>
      </w:r>
    </w:p>
    <w:p>
      <w:r>
        <w:t>183. Considering all of this in general, from the perspective of the products included in the same relevant market, it is considered that, for the treatment of various pathologies attributable to ocular vascular disorders, in addition to Avastin and Lucentis, there are other anti-VEGF drugs (Macugen and Eylea), as well as some drugs with different mechanisms of action (Visudyne, Ozurdex). However, (i) Visudyne and Macugen are commonly regarded as only partially substitutable for Avastin and Lucentis in terms of efficacy, (ii) Ozurdex finds predominant (and the only registered) application in the treatment of RVO, which is a much less common maculopathy compared to AMD and DME, (iii) Eylea was introduced to the Italian market very recently (May 2013) and for the treatment of only one pathology, AMD, therefore it has not been able to exert any competitive pressure on the products under investigation.</w:t>
      </w:r>
    </w:p>
    <w:p>
      <w:r>
        <w:t>184. As for the geographical dimension of the market, the peculiarities from a regulatory perspective of the national drug legislation suggest that it corresponds to the Italian territory. On the other hand, it is the companies involved themselves that, when considering the competitive relationships between the various drugs used in the ophthalmic field, explicitly refer to a "case Italy"232, and the commercial data contained in the internal documents of the companies, as already seen, are regularly referred to individual EU States.</w:t>
      </w:r>
    </w:p>
    <w:p>
      <w:r>
        <w:t>185. From an economic and consumer perspective, the available data shows that the market value has steadily increased over the past six years, reaching a total value of over 100 million euros in 2012. Regarding 2013, a significant variation in market value is observed: in fact, projecting the data from the first quarter over the entire year, the total value of the relevant market corresponds to almost 140 million euros, with an increase that is largely attributable to the commercial expansion of Lucentis at the expense of Avastin.</w:t>
      </w:r>
    </w:p>
    <w:p>
      <w:r>
        <w:t>Table 10</w:t>
        <w:br/>
        <w:t>SALES ESTIMATES OF MAIN DRUGS – VALUE (million euros)</w:t>
        <w:br/>
        <w:t>2007 2008 2009 2010 2011 2012</w:t>
        <w:br/>
        <w:t>Avastin 6.9 14.8 26.1 33.6 33.5 40.3</w:t>
        <w:br/>
        <w:t>Lucentis 1.5 [10-20] [10-20] [30-40] [40-50] [50-60]</w:t>
        <w:br/>
        <w:t>Macugen 3.0 2.5 2.9 2.3 2.7 0.9</w:t>
        <w:br/>
        <w:t>Ozurdex -- -- -- -- 0.7 2.7</w:t>
        <w:br/>
        <w:t>Visudyne 11.9 5.7 4.3 3.8 3.1 2.9</w:t>
        <w:br/>
        <w:t>total 23.3 [30-40] [50-60] [70-80] [80-90] [100-110]</w:t>
        <w:br/>
        <w:t>2013-1Q 2013-TOT</w:t>
        <w:br/>
        <w:t>Avastin 12.7 38.1</w:t>
        <w:br/>
        <w:t>Lucentis 30.5 91.5</w:t>
        <w:br/>
        <w:t>Macugen 0.2 0.6</w:t>
        <w:br/>
        <w:t>Ozurdex 1.5 4.5</w:t>
        <w:br/>
        <w:t>Visudyne 0.9 2.7</w:t>
        <w:br/>
        <w:t>total 45.8 137.4</w:t>
        <w:br/>
        <w:t>Source: processing of IMS data (doc. 340), Novartis (doc. 355)</w:t>
      </w:r>
    </w:p>
    <w:p>
      <w:r>
        <w:t>186. From the table, it is more specifically evident that: (1) the market shares of Lucentis have had a very high and constant progression; (2) from 2011 to 2012, and – assuming the projections mentioned above – from 2012 to 2013, Lucentis increased its market shares by 24% and 61% respectively; (3) the market shares of Avastin, which had been steadily increasing until 2010, experienced a first halt in 2011, which after a recovery in 2012 resulted in a significant decrease in the projections for 2013; (4) the shares jointly held by Roche and Novartis with the products Avastin and Lucentis reached over 90% in 2011 and nearly 95% in 2012.</w:t>
      </w:r>
    </w:p>
    <w:p>
      <w:r>
        <w:rPr>
          <w:b/>
        </w:rPr>
        <w:t>[Pages 133–135]</w:t>
      </w:r>
    </w:p>
    <w:p>
      <w:r>
        <w:t>BULLETIN NO. 11 OF MARCH 17, 2014 135</w:t>
      </w:r>
    </w:p>
    <w:p>
      <w:r>
        <w:t>Figure 3 (sales trend in value)</w:t>
        <w:br/>
        <w:t>100,000,000</w:t>
        <w:br/>
        <w:t>90,000,000</w:t>
        <w:br/>
        <w:t>80,000,000</w:t>
        <w:br/>
        <w:t>70,000,000</w:t>
        <w:br/>
        <w:t>Avastin</w:t>
        <w:br/>
        <w:t>60,000,000</w:t>
        <w:br/>
        <w:t>Ozurdex</w:t>
        <w:br/>
        <w:t>50,000,000</w:t>
        <w:br/>
        <w:t>40,000,000 Macugen</w:t>
        <w:br/>
        <w:t>30,000,000 Visudyne</w:t>
        <w:br/>
        <w:t>20,000,000</w:t>
        <w:br/>
        <w:t>Lucentis</w:t>
        <w:br/>
        <w:t>10,000,000</w:t>
        <w:br/>
        <w:t>0</w:t>
        <w:br/>
        <w:t>2007 2008 2009 2010 2011 2012 estimate</w:t>
        <w:br/>
        <w:t>2013</w:t>
      </w:r>
    </w:p>
    <w:p>
      <w:r>
        <w:t>Figure 4</w:t>
        <w:br/>
        <w:t>MARKET SHARES 2012</w:t>
        <w:br/>
        <w:t>Avastin</w:t>
        <w:br/>
        <w:t>Ozurdex</w:t>
        <w:br/>
        <w:t>Macugen</w:t>
        <w:br/>
        <w:t>Visudyne</w:t>
        <w:br/>
        <w:t>Lucentis</w:t>
      </w:r>
    </w:p>
    <w:p>
      <w:r>
        <w:t>Figure 5</w:t>
        <w:br/>
        <w:t>MARKET SHARES estimate 2013</w:t>
        <w:br/>
        <w:t>Avastin</w:t>
        <w:br/>
        <w:t>Ozurdex</w:t>
        <w:br/>
        <w:t>Macugen</w:t>
        <w:br/>
        <w:t>Visudyne</w:t>
        <w:br/>
        <w:t>Lucentis</w:t>
      </w:r>
    </w:p>
    <w:p>
      <w:r>
        <w:t>187. The number of people in Italy receiving treatment for vascular disorders of the eye exceeds half a million (supra, table 7) and is potentially even broader, as, according to a previously reported estimate by Novartis, approximately one million individuals are at risk of AMD alone (supra, §157).</w:t>
      </w:r>
    </w:p>
    <w:p>
      <w:r>
        <w:t>136 BULLETIN NO. 11 OF MARCH 17, 2014</w:t>
      </w:r>
    </w:p>
    <w:p>
      <w:r>
        <w:t>VI.III Qualification and Restrictiveness of the Agreement</w:t>
      </w:r>
    </w:p>
    <w:p>
      <w:r>
        <w:t>188. In line with the fundamental warnings that the existence of an agreement must be ascertained through "a comprehensive assessment of the intrinsic value of the collected evidence,"233 the findings from the investigative results appear to represent a complex of serious, unequivocal, consistent, and narratively coherent elements of proof234 for demonstrating an anti-competitive agreement, contrary to Article 101 TFEU, realized through a coordination of the commercial conduct of the Roche and Novartis groups. This agreement had as its object an unlawful market allocation and was concretely implemented, determining effects in terms of conditioning the therapeutic choices of doctors and the consequent purchasing policies for the drugs Avastin and Lucentis, within both public and private healthcare activities.</w:t>
      </w:r>
    </w:p>
    <w:p>
      <w:r>
        <w:t>189. More specifically, the investigative documentation reveals the existence of a unique and complex horizontal agreement, realized through a plurality of concerted actions by the Parties regarding the artificial "differentiation" of the two products, which occurred by emphasizing the safety profiles related to the intravitreal use of Avastin through the production and dissemination of information aimed at influencing the choices of the doctors responsible for therapeutic decisions and the selection of the relevant drugs. Such behaviors also concerned the reactions to be taken towards a plurality of subjects (media, industry interlocutors, up to the legislator itself at the moment when an attempt was made to introduce legislation aimed at supporting the ophthalmic uses of Avastin). In line with the principles established by jurisprudence, the behaviors "evaluated as a whole, highlight a single anti-competitive offense consisting of a coordination based not on autonomous choices made in a genuinely competitive context, but on coordinated interests."235</w:t>
      </w:r>
    </w:p>
    <w:p>
      <w:r>
        <w:t>190. The Parties assert that the case would fall under that of vertical agreements, as there are contractual licensing relationships between them – respectively between Genentech and Roche for the distribution of Avastin (G-R Agreement), between Genentech and Novartis for the distribution of Lucentis (G-N Agreement). This thesis is not shareable. It confuses different legal profiles: (i) the undisputed existence of a vertical licensing relationship between Genentech and Novartis for the drug Lucentis, to which the aforementioned community regulations on technology transfer agreements apply for assessing the competitive legitimacy of the same relationship236, and (ii) the established occurrence of horizontal relationships between Roche and Novartis aimed at conditioning the ophthalmic applications of the drug Avastin to undermine the existing competition between the latter and Lucentis.</w:t>
      </w:r>
    </w:p>
    <w:p>
      <w:r>
        <w:t>191. In fact, the horizontal concertation involving Roche and Novartis certainly exceeds the normal recurring relationships in general between licensors and licensees, and specifically those related to their respective vertical relationships with Genentech. To confirm this, it is sufficient to consider how it was the companies themselves that were concerned about the inadequacy of the existing licensing relationships to prevent off-label uses of Avastin from eroding Lucentis sales. Already in 2007, when Lucentis was introduced in Italy for the treatment of AMD, Novartis noted that the contractual instruments – namely the G-N Agreement entered into with Genentech – were not usable in this regard: "we can do little from a contractual point of view," and precisely because Avastin "is not our product."237</w:t>
      </w:r>
    </w:p>
    <w:p>
      <w:r>
        <w:t>192. In light of this, the Parties have established a horizontal cooperation aimed at collusively conditioning the consumption preferences of those responsible for therapeutic choices. Hence the joint interest of the Roche and Novartis groups in Roche's activities – the only entity formally authorized in this regard, as MAH of Avastin for the EU – with the drug agencies, particularly with the initiation in June 2011 at EMA of the procedure to obtain the modification of the RCP of Avastin, and the consequent activism both in circulating targeted communications to medical professionals and in disseminating, at a more general public level, information aimed at "increasing uncertainty around the safety of Avastin."238</w:t>
      </w:r>
    </w:p>
    <w:p>
      <w:r>
        <w:t>Object of the Agreement</w:t>
      </w:r>
    </w:p>
    <w:p>
      <w:r>
        <w:t>193. The agreement concerns the sharing of the strategy of artificial "differentiation" of the drugs Avastin and Lucentis to counter the off-label use of the former in the ophthalmic field. The investigative documentation shows an exchange of emails between the executives of the national subsidiaries of Roche and Novartis – dating back to May 2012, during the full process expected by Roche for obtaining the modifications of the RCP of Avastin from EMA – where they explicitly consult on the outcomes of the concertation, linking them precisely to these expected modifications: "how far along are we with the 'differentiation' activities of the 2 products? The modification in the technical data sheet? [RCP]."239 In this regard, it should be noted that, on the one hand, it is the companies themselves that use the term "differentiation," and on the other hand, the content of the document shows that the cooperation on this point has historical roots.</w:t>
      </w:r>
    </w:p>
    <w:p>
      <w:r>
        <w:t>194. The aforementioned email, moreover, is Roche Italia's response to a prompt received from Novartis Farma, which had reported the media coverage obtained from a press conference held by the parent company Roche immediately after the publication of the two-year results of the CATT study, with the express hope of a relaunch in Italy of the news: this conference had indeed been reported by one of the most widely circulated newspapers in the world with the eloquent title "Roche CEO says Lucentis is the best drug for eye care, not Avastin."240 Overall, this document clearly demonstrates the interaction between the two groups both at the parent company level and at the national subsidiary level, as well as the concrete outcomes of the agreement in achieving a very wide public dissemination of news functional to the desired differentiation.</w:t>
      </w:r>
    </w:p>
    <w:p>
      <w:r>
        <w:t>195. The investigative documentation also provides ample evidence of a common willingness among competitors to condition the specific knowledge and perception of the different products by medical operators regarding the safety of a product, or what is typically considered the</w:t>
        <w:br/>
        <w:t>237</w:t>
        <w:br/>
        <w:t>Doc. 170 (supra, §98).</w:t>
        <w:br/>
        <w:t>238</w:t>
        <w:br/>
        <w:t>Doc. 138, Cd-18 (supra, §115).</w:t>
        <w:br/>
        <w:t>239</w:t>
        <w:br/>
        <w:t>Doc. 32 (supra, §104).</w:t>
        <w:br/>
        <w:t>240</w:t>
        <w:br/>
        <w:t>Doc. 32 (supra, §105).</w:t>
      </w:r>
    </w:p>
    <w:p>
      <w:r>
        <w:rPr>
          <w:b/>
        </w:rPr>
        <w:t>[Pages 136–138]</w:t>
      </w:r>
    </w:p>
    <w:p>
      <w:r>
        <w:t>138 BULLETIN NO. 11 OF MARCH 17, 2014</w:t>
      </w:r>
    </w:p>
    <w:p>
      <w:r>
        <w:t>the primary condition for a drug's access and permanence on the market. In this sense, the agreement aimed to reduce the demand, and therefore the quantities sold, of a less expensive product (Avastin) in favor of the more expensive competing product (Lucentis) through conditioning the subjects responsible for therapeutic choices, who, while not necessarily sensitive to price aspects, are certainly attentive to their professional responsibility profiles.</w:t>
      </w:r>
    </w:p>
    <w:p>
      <w:r>
        <w:t>196. The objective of conditioning demand was particularly pursued by "generating and communicating concerns about the safety of Avastin," resorting to a complex media strategy that even included the production and targeted dissemination of scientific information to its advantage through "conferences, funding of publications of reviews of comparative studies, articles on ranibizumab as a treatment in patients with co-morbidities": it is worth noting how, according to SOI, the campaign regarding the dangers of Avastin was in this sense even "hammering." All this occurred with the shared awareness that the changes to the RCP – focused on "extra wording," that is, a strategic accentuation of the risk profiles of the ophthalmic uses of Avastin that the medical professional is required to consider in their therapeutic choices – were instrumental in differentiating the products in favor of Lucentis in the ophthalmological field, and allowed for better "leveraging safety data and regulatory statements against the off-label intraocular use of bevacizumab for AMD in order to avoid off-label erosion."</w:t>
      </w:r>
    </w:p>
    <w:p>
      <w:r>
        <w:t>197. It should also be noted, in the previously cited document, the use by Novartis of the term "generate." This, in fact, clearly shows how there was an intention to create ex novo issues related to the safety of the drug's uses, issues that evidently did not already exist in the desired terms. Similarly, in another document, Novartis details the task of national subsidiaries to "proactively produce and disseminate updated material on reports related to adverse events of Avastin for off-label uses."</w:t>
      </w:r>
    </w:p>
    <w:p>
      <w:r>
        <w:t>198. Consider also how attentively Novartis Farma follows and expressly requests the competitor Roche Italia, which then diligently works to implement, the need to carry out "proactive information that emphasizes ethical aspects and professional risks for ophthalmologists using the drug off-label." All this is evidently aimed at exploiting the fears of doctors regarding the emergence of professional liability profiles in the case of ophthalmic applications of Avastin, within a regulatory context that is already quite controversial and thus predisposes operators to cautious attitudes regarding conduct – such as the use of off-label drugs – that are more complex to regulate.</w:t>
      </w:r>
    </w:p>
    <w:p>
      <w:r>
        <w:t>199. The strategy of Roche and Novartis was implemented despite the companies being aware of the scarcity and disputability of data on adverse events resulting from the off-label use of Avastin. This issue is well demonstrated by the doubts raised within Roche Italia by the head of pharmacovigilance regarding the statistical significance of the data recorded to support the warning to ophthalmologists (the so-called DHCP): a warning, moreover, "very similar" to that already distributed in 2009, and thus its new medical utility is not understood. On the other hand, there are numerous documents on record indicating Roche Italia's precise intention to send the new DHCP despite EMA's contrary opinion, based on typically economic rather than safety-related motivations: "leveraging Law 648 and the economic reasons that drive ophthalmologists to prescribe Avastin, we might convince Basel."</w:t>
      </w:r>
    </w:p>
    <w:p>
      <w:r>
        <w:t>200. Significantly, the activities and mutual consultations of the two competitors intensified with the publication in May 2011 of the one-year results of the CATT, or the first comparative study of Avastin and Lucentis from which a substantial therapeutic equivalence of the two drugs emerged. At this point, a complex effort by Roche and Novartis to minimize the results of such studies can be observed: that the conduct was indeed implemented in this sense and proved fully suitable for the objectives of the agreement is confirmed (i) by the considerations of the CEO of Novartis Farma with other senior executives of the parent company Novartis, according to which the publication of the first results of the independent research was made a "non-event"; (ii) by further internal considerations within the parent company Novartis regarding the need to manage "the new wave of comparative studies (IVAN, CATT2, etc.)" in line with "what was learned from the launch of CATT1."</w:t>
      </w:r>
    </w:p>
    <w:p>
      <w:r>
        <w:t>201. The comparative studies – primarily the CATT, funded by the U.S. National Institutes of Health, and the IVAN funded by the English NHS, followed by at least three other independent studies developed in Austria (MANTA), France (GEFAL), and Norway (LUCAS) – precisely because they are independent and thus not controllable by the Parties, have been perceived as a fundamental moment in the Avastin/Lucentis issue. This is clearly evident from Novartis's concerns, raised in some market research, about the loss following such studies of one of the main existing elements of differentiation in favor of Lucentis, namely the public availability of data related to ophthalmic use, resulting in a "greater confidence in Avastin" from doctors.</w:t>
      </w:r>
    </w:p>
    <w:p>
      <w:r>
        <w:t>202. In this perspective, it should be considered how Roche, in requesting EMA to modify the RCP of Avastin, relied on an "alarmist" reading of some data derived (as well as from some studies funded by the Roche group) from the independent CATT study, with the evident aim of distorting its perception in the medical community. However, as already seen, EMA deemed it inappropriate to share this perspective, noting in its Avastin Report that the alleged differences in risks between Avastin and Lucentis did not exist.</w:t>
      </w:r>
    </w:p>
    <w:p>
      <w:r>
        <w:t>203. The Parties argue that the potential agreement would not have an unlawful object, as they would have limited themselves to complying with regulatory provisions, both national and community, that impose pharmacovigilance obligations. In this regard, it should first be noted that compliance with the law certainly does not require coordination such as that found between the Roche and Novartis groups. Secondly, it is important to recall how, precisely in the pharmaceutical sector, the Council of State recently clarified that corporate behaviors "even if concretely, when taken individually, they represent the exercise of faculties abstractly provided for by the legal system, even sector-specific," can configure anti-competitive practices, as what matters – from an antitrust perspective – is not the abstract legitimacy of a conduct, but the use made of a particular faculty or right, which can result in unlawful instrumental use, inconsistent with the purpose for which the legal system recognizes it.</w:t>
      </w:r>
    </w:p>
    <w:p>
      <w:r>
        <w:t>204. Furthermore, the invoked concern to comply with legal obligations also appears contradicted by the more general behavior of the Roche group. During the investigation, it indeed emerged that the recourse to uses different from those indicated in the AIC is very broad even for other Roche drugs, with frequent adverse events, including serious ones, but the company would have been particularly prompt in reporting the risks only in the case of Avastin, causing a modification of the related RCP with the indication of risks attributable to uses expressly not registered. In this regard, it finally seems appropriate to recall that there is still pending at EMA a procedure regarding serious omissions of pharmacovigilance obligations on the more properly on-label uses of numerous Roche drugs, including Avastin itself.</w:t>
      </w:r>
    </w:p>
    <w:p>
      <w:r>
        <w:t>205. The Parties then assert the need to protect themselves against profiles of producer liability. In this regard, it is first necessary to recall the considerations expressed by the Ministry of Health, according to which what happened in the Avastin case was "absolutely unusual, as far as the Ministry is aware, in the application of European regulations at the time of granting the [AIC] authorization or updating it, package leaflets and RCP containing the description of risks and adverse effects attributable exclusively to the authorized uses of that medicine are generally approved," adding that, from the specific legal perspective of producer liability, "the issue is particularly delicate as, in the face of such a precedent, the need to proceed with a review of the RCPs of all drugs on the market to include warnings concerning all known off-label uses could be asserted, in order to avoid possible risks of claims."</w:t>
      </w:r>
    </w:p>
    <w:p>
      <w:r>
        <w:rPr>
          <w:b/>
        </w:rPr>
        <w:t>[Pages 139–141]</w:t>
      </w:r>
    </w:p>
    <w:p>
      <w:r>
        <w:t>BULLETIN NO. 11 OF MARCH 17, 2014 141</w:t>
      </w:r>
    </w:p>
    <w:p>
      <w:r>
        <w:t>civil compensation to companies in case of damages arising from uses that have not been expressly excluded.</w:t>
      </w:r>
    </w:p>
    <w:p>
      <w:r>
        <w:t>206. On the other hand, during the proceedings, none of the Parties' companies produced evidence regarding cases in which, within the EU, liability in this sense has already been established, while the current regulations on producer liability both at the community and national level allow for an easy defense for producers through the exception of not having placed the product on the market for off-label use. In this regard, it has also been expressly excluded in doctrine the configurability of liability for the pharmaceutical company for off-label uses of its products.</w:t>
      </w:r>
    </w:p>
    <w:p>
      <w:r>
        <w:t>207. Regarding the safety issues related to off-label ophthalmic uses of Avastin, while reiterating that the Authority's assessments pertain in this case exclusively to the commercial conduct of companies from an antitrust perspective, and therefore the medical issues in question have been considered only as instrumentally employed by the companies themselves within their agreement, it is worth noting that it was the scientific committees of both EMA and WHO that established that, on the one hand, the ophthalmic risks are attributable (not to the product itself, but) to its administration methods, common to both drugs, and on the other hand, the systemic risks are common to the entire category of anti-VEGF drugs used in ophthalmology.</w:t>
      </w:r>
    </w:p>
    <w:p>
      <w:r>
        <w:t>208. The investigative documentation shows that, in response to Roche's specific request to modify section 4.8 (adverse effects) of the RCP of Avastin, EMA deemed it appropriate to proceed with the modification "only" of the different section 4.4 (warnings and precautions for use) of the RCP, precisely to signal the specificity of the applications via intravitreal injection, which entails risks of possible infections; subsequently, EMA also determined a modification to the RCP of Lucentis to highlight the systemic risks inherent to all anti-angiogenic drugs.</w:t>
      </w:r>
    </w:p>
    <w:p>
      <w:r>
        <w:t>209. The scientific committee of EMA, in more detail, expressly considered in its Avastin Report that "there is no evidence that bevacizumab is systematically less safe than ranibizumab and vice versa," and, in the Lucentis Report, that the analyzed data "were insufficient to justify a different warning that gives the impression that Lucentis is safer compared to other anti-VEGF treatments in terms of systemic adverse events." Not coincidentally, all this has been perceived with great concern by Novartis, as indicated by the statement made shortly before the adoption of the Lucentis Report, according to which "an EMA decision that included class risk could reopen the debate," as well as some immediately subsequent considerations, precisely because it undermines the "differentiation" plan provided for in the agreement with Roche in favor of Lucentis.</w:t>
      </w:r>
    </w:p>
    <w:p>
      <w:r>
        <w:t>210. For its part, recently, the expert committee responsible for the decision to include bevacizumab in the WHO EM-List expressed the need to adopt precautions (not for the use of the drug itself, but) for its administration via intravitreal injection, in line with what has already emerged during the proceedings, according to which "the local adverse events [i.e., non-systemic] that have been brought to the attention of the various drug agencies are the result of the injection, not of the injected product."</w:t>
      </w:r>
    </w:p>
    <w:p>
      <w:r>
        <w:t>211. With reference to the WHO EM-List and its reception of the ophthalmic uses of Avastin, the Parties' companies sought to downplay its relevance by arguing that the document would have a mere guiding function for developing countries. This objection, in addition to raising serious concerns regarding the Parties' companies' perception of global health priorities, is unfounded. The WHO EM-List is indeed drafted including drugs deemed most effective and safe, as well as efficient in terms of costs: the economic aspect does not matter for the WHO's choice to include or not include a drug in the list, but rather as a hope that even the expensive drugs included become accessible to all those in need of treatment. Moreover, it appears that even for the (much more expensive) active ingredient of Lucentis, ranibizumab, a request for inclusion in the WHO EM-List has recently been made.</w:t>
      </w:r>
    </w:p>
    <w:p>
      <w:r>
        <w:t>212. The Parties' companies also referred to some positions taken by drug agencies around the world that would have opposed the ophthalmic uses of Avastin. In this regard, the objections are irrelevant. All the pronouncements of the national authorities cited by Roche (France, Belgium, Sweden) are indeed prior to EMA's adoption of the document (Avastin Report) which, as already seen, affirmed the equivalence between Avastin and Lucentis: therefore, the pronouncements of such national agencies have been superseded by that of the European drug agency. Novartis's allegations, for their part, pertain to interventions by entities other than drug agencies, or having non-health-related purposes (such as the documents from the Finnish Parliament's Ombudsman, or the German authority regarding health insurance coverage).</w:t>
      </w:r>
    </w:p>
    <w:p>
      <w:r>
        <w:t>213. Between Roche and Novartis, there has been a sharing of important strategic choices also through continuous updates regarding the expected interventions from EMA following Roche's requests. In fact, it appears that: (1) Roche had prepared a detailed schedule of activities, which was then disregarded due to the unexpected and repeated requests for clarification from the scientific committee of EMA; (2) Novartis was aware of the timeline of activities carried out and expected, having discussed extensively since the beginning of 2012 the prospect of strategically using the modification of the RCP and sending a DHCP – a prerogative, it should be remembered, exclusive to Roche as MAH of Avastin – to defend/improve the commercial position of Lucentis.</w:t>
      </w:r>
    </w:p>
    <w:p>
      <w:r>
        <w:t>214. In light of this potential use, in the work plan produced in March 2012 by a group of senior executives from Novartis, there is a recommendation to adopt "targeted communication," as "a broad communication campaign has high risks of being counterproductive for Novartis." Such a warning shows full awareness, on the one hand, of the suitability of their conduct to impact the commercial dynamics related to the products Avastin and Lucentis within the relevant product market, and on the other hand, of the opportunity not to attract further attention to the conduct related to the Avastin/Lucentis affair, conduct that has long been considered very questionable both in the general press and in the related debate developed in the most prestigious international medical journals.</w:t>
      </w:r>
    </w:p>
    <w:p>
      <w:r>
        <w:t>215. In this perspective, Novartis Farma's action towards Roche Italia to obtain from it – as it is legitimized to expose itself for Avastin from a communication standpoint – "proactive" interventions consisting of circulating information to doctors should also be understood at the national level, interventions that are pursued despite the definitive contrary opinion issued by EMA in this regard. Significantly, this occurs in a context of relationships where it seems normal for the CEO of Roche Italia to consider with the management of his company that "we inform Novartis [about the impossibility of sending a formal communication to doctors] and then decide how to proceed."</w:t>
      </w:r>
    </w:p>
    <w:p>
      <w:r>
        <w:t>216. It should also be precisely recalled the continuous contacts between the top management of Roche Italia and Novartis Farma at the moment when, due to the rising social costs resulting from the exclusive use of Lucentis, the situation in Italy becomes more difficult. In the overall logic of concertation, these relationships specifically concerned: (1) the joint management of the emergency represented by the feared approval of legislation supporting the off-label use of Avastin (the so-called Balduzzi decree); (2) the positions to be taken in response to the growing protests regarding the increased costs incurred by the NHS due to the exclusion from List 648.</w:t>
      </w:r>
    </w:p>
    <w:p>
      <w:r>
        <w:rPr>
          <w:b/>
        </w:rPr>
        <w:t>[Pages 142–144]</w:t>
      </w:r>
    </w:p>
    <w:p>
      <w:r>
        <w:t>144 BULLETIN NO. 11 OF MARCH 17, 2014</w:t>
      </w:r>
    </w:p>
    <w:p>
      <w:r>
        <w:t>Avastin, also resulting in activities at the parliamentary level (supra, §§135 ss.); (3) the consideration of the administrative disputes initiated by Novartis Farma against certain Regions for their maintenance of the off-label use of Avastin (supra, §§146 ss.).</w:t>
      </w:r>
    </w:p>
    <w:p>
      <w:r>
        <w:t>217. Regarding the first point, it is noteworthy that a "reactive strategy"274 is promptly developed and implemented, shared through direct meetings and exchanges of messages, with broader statements of collaboration regarding the circulation of all information deemed useful for the successful outcome of the coordination between the Italian subsidiaries of Roche and Novartis ("our Medical Director will send you the documentation and information you need"275) and the necessity to coordinate to structure in detail their respective public communication interventions276. As will be recalled, the CEOs of the Italian subsidiaries of Novartis and Roche are also kept constantly informed about the positions taken by the management of their respective parent companies in view of a common consistency "in our dialogue with the authorities," considering that the issue of savings obtainable by the SSN through the use of Avastin in ophthalmology "is quite contagious in countries suffering from a lack of economic resources"277.</w:t>
      </w:r>
    </w:p>
    <w:p>
      <w:r>
        <w:t>218. With reference to the second point, the contacts that took place between the competitors at the level of Italian subsidiaries regarding the behavior to be adopted towards entities such as SOI278, or patient associations such as Federanziani279, aimed at jointly monitoring a situation deemed particularly delicate and coordinating – in constant connection with the parent companies280 – their respective official positions, should be recalled. The coordination between the companies also reaches paradoxical outcomes when, in response to a newspaper article suggesting the existence of a cartel between the Roche and Novartis groups regarding the Avastin/Lucentis affair, the CEO of Roche Italia asks his executives – who promptly comply – to contact their counterparts at Novartis Farma to understand how the other company intends to behave281.</w:t>
      </w:r>
    </w:p>
    <w:p>
      <w:r>
        <w:t>219. Regarding the third point, it is noted that within Roche Italia, on one hand, the victories of (what should be) the opposing party are recorded with satisfaction and the usefulness in court for Novartis Farma of the modification of the RCP of Avastin282 is acknowledged, while on the other hand, the management of the company produces and promptly makes available to the legal services of Novartis Farma legal publications that may be useful in supporting their positions (for example, strongly criticizing the acts adopted by the Emilia-Romagna Region to maintain the off-label ophthalmic uses of Avastin)283. These behaviors indisputably undermine the foundations of the defenses put forward by Roche Italia regarding the failure to appear in the proceedings initiated by Novartis against the resolution of the Region concerning the off-label use of Avastin (supra, §170). Rather than worrying about the alleged "recklessness" of the litigation, the company in fact offers direct support for the claims of the opposing party.</w:t>
      </w:r>
    </w:p>
    <w:p>
      <w:r>
        <w:t>Advantages of the agreement for the Parties involved</w:t>
      </w:r>
    </w:p>
    <w:p>
      <w:r>
        <w:t>220. The agreement considered so far has allowed for the maximization of profits for all the Parties involved, due to the complex commercial relationships between the Roche and Novartis groups.</w:t>
      </w:r>
    </w:p>
    <w:p>
      <w:r>
        <w:t>221. The Roche group, in fact, has realized significant profits through the royalties and fees paid by Novartis to Genentech for the sales of Lucentis. The significant increase in the amounts of royalties paid by Novartis to the Roche group under the G-N Agreement explains the direct interest of the latter in not jeopardizing the commercial performance of Lucentis in the ophthalmic sector with an erosion of sales due to the off-label use of Avastin: this interest is also anecdotal confirmed in an email exchange between the CEO of Roche Italia and an executive of the parent company Roche, dating back to the end of 2011, where satisfaction is expressed for the fact that "[...] Lucentis has profits beyond the normal..!"284. In fact, net of payments of a series of fixed amounts (supra, §61), the royalties paid by Novartis to the Roche group for the sales of Lucentis outside the USA increased from just [omitted] to almost [omitted] euros per year between 2006 and 2012 (see supra, table 4), and are expected to grow further precisely in light of the decline in the off-label use of Avastin in ophthalmology pursued by the agreement between the Parties.</w:t>
      </w:r>
    </w:p>
    <w:p>
      <w:r>
        <w:t>222. As for Novartis, the agreement has allowed for the extraordinary increase in sales of Lucentis: specifically regarding Italy, these sales in 2012 approached 60 million euros and showed strong further growth in 2013 (see supra, §§87 ss.). Furthermore, it should be noted that Novartis holds a significant equity stake in Roche (over 33%), through which it realizes additional gains in terms of profit sharing.</w:t>
      </w:r>
    </w:p>
    <w:p>
      <w:r>
        <w:t>Roles and responsibilities of the different companies</w:t>
      </w:r>
    </w:p>
    <w:p>
      <w:r>
        <w:t>223. From the documentation on file, it appears that the behaviors are attributable both to the parent companies of the Roche and Novartis groups and to their Italian subsidiaries. The former, in fact, have defined the strategies for the artificial differentiation of Avastin and Lucentis (see supra, §§103 ss.), while also maintaining direct supervision over the conduct of the Italian subsidiaries even in managing more directly national issues related to the affair285.</w:t>
      </w:r>
    </w:p>
    <w:p>
      <w:r>
        <w:t>224. In this case, the control exercised by the parent companies emerges particularly clearly from the wide circulation of general guidelines that the various national subsidiaries must comply with, with instructions on specific behaviors: exemplary in this regard are the various Q&amp;As prepared to organize conduct towards the press or public authorities and containing specific indications on what to say and how to behave, particularly significant in the case of the reactions to be taken regarding the results of independent comparative studies286.</w:t>
      </w:r>
    </w:p>
    <w:p>
      <w:r>
        <w:t>225. Regarding the Roche group, it should also be considered that the parent company expressly instructs its Italian subsidiary to "report any specific issue regarding Lucentis in Italy (price, etc.) to Novartis" and recommends contacting Novartis287. As for the Novartis group, the constant monitoring of ongoing activities in different countries regarding the Avastin/Lucentis affair by the national subsidiaries is evident from the conduct and outcomes of frequent meetings of working groups specifically established at the supranational level288. The CEO of Novartis Farma, moreover, has played a primary role within the aforementioned working groups at the top of the parent company in evaluating, presenting, and preparing the conduct to be maintained to safeguard the sales of Lucentis from the off-label use of Avastin289, in addition to being particularly active in interacting with the Italian subsidiary of the Roche group.</w:t>
      </w:r>
    </w:p>
    <w:p>
      <w:r>
        <w:t>226. As for Genentech, the results of the investigative findings did not reveal sufficient elements to ascertain behaviors properly attributable to the agreement in the relevant market under examination, as the agreement was perfected directly between the Roche and Novartis companies, also through their Italian subsidiaries, and Genentech's involvement was only indirect.</w:t>
      </w:r>
    </w:p>
    <w:p>
      <w:r>
        <w:t>Effects of the agreement</w:t>
      </w:r>
    </w:p>
    <w:p>
      <w:r>
        <w:t>227. According to established case law, "for an agreement with an anti-competitive object to be deemed unlawful, it is not necessary for it to also produce the concrete effect of preventing, restricting, or distorting competition"290, and "an agreement devoid of effects is also sanctionable"291. The Authority could therefore have stopped at ascertaining the clear anti-competitive object of the established agreement; however, in the case at hand, it also proceeded to ascertain the existence of effects. In fact, following its concrete implementation, it became evident that the agreement produced effects on the market, resulting from the substitution of one drug (Avastin) with another (Lucentis). This led to significant difficulties in the organization of health services by the Regions, given the need to reprogram financial resources to be allocated to the purchase of the more expensive drug (supra, §155 ss.), with a limitation on access to care for patients suffering from serious diseases: according to the latest communication in this regard from SOI, "100,000 patients are unable to access treatment" (supra, §173).</w:t>
      </w:r>
    </w:p>
    <w:p>
      <w:r>
        <w:t>228. From a more strictly economic perspective, during the proceedings, a series of estimates were also made regarding the additional costs already incurred for the transition, due to the coordination, from the predominant use of Avastin to that of Lucentis. It should be clarified that it is not the task of this Authority to quantify the effects and the related damages resulting from an anti-competitive agreement, as this can occur in any civil proceedings; consequently, the aforementioned estimates were used solely to demonstrate that the agreement produced significant effects, without having to arrive at an exact quantification, the magnitude of which therefore falls outside the scope of the present proceedings. It is emphasized, moreover, that this estimation exercise concerned</w:t>
        <w:br/>
        <w:t>287</w:t>
        <w:br/>
        <w:t>Doc. 37 (supra, §131).</w:t>
        <w:br/>
        <w:t>288</w:t>
        <w:br/>
        <w:t>Doc. 163 (supra, §111).</w:t>
        <w:br/>
        <w:t>289</w:t>
        <w:br/>
        <w:t>Doc. 184 (supra, §116).</w:t>
        <w:br/>
        <w:t>290</w:t>
        <w:br/>
        <w:t>See Cons. Stato, sez. VI, February 8, 2008, No. 424.</w:t>
        <w:br/>
        <w:t>291</w:t>
        <w:br/>
        <w:t>See Cons. Stato, sez. VI, December 17, 2007, No. 6469, Lottomatica.</w:t>
      </w:r>
    </w:p>
    <w:p>
      <w:r>
        <w:rPr>
          <w:b/>
        </w:rPr>
        <w:t>[Pages 145–147]</w:t>
      </w:r>
    </w:p>
    <w:p>
      <w:r>
        <w:t>BULLETIN NO. 11 OF MARCH 17, 2014 147</w:t>
      </w:r>
    </w:p>
    <w:p>
      <w:r>
        <w:t>exclusively the additional public expenditure incurred by the National Health Service (SSN), thus without considering the effects in the private healthcare sector: this is because there are no data regarding the ophthalmic consumption of Avastin in the latter, where a significant demand for treatments based on the drugs included in the relevant market is also satisfied, and whose costs are borne directly by individual patients and/or their respective insurance programs.</w:t>
      </w:r>
    </w:p>
    <w:p>
      <w:r>
        <w:t>229. According to the estimate made during the investigation, therefore, the agreement resulted in an immediate slowdown in the growth of Avastin, leading to a shift in demand towards the more expensive Lucentis, which for the SSN, for the year 2012 alone, resulted in additional costs amounting to nearly 45 million euros (see above, §151).</w:t>
      </w:r>
    </w:p>
    <w:p>
      <w:r>
        <w:t>230. In this regard, it should be noted that this figure does not exhaust the potential effects of the agreement on SSN expenditure. In fact, in the event of a total cessation of the ophthalmic use of Avastin and its complete replacement with competing drugs (that is, essentially, only Lucentis), the expenditure borne by the SSN for such replacement would amount in 2013 to approximately 600 million euros and in 2014 would reach 678.6 million euros, compared to an expenditure that, in the absence of the established conduct, would have been equal to 55.8 million euros in 2013 and 63.5 million euros in 2014 (see above, §152); in other words, the full implementation of the established unlawful conduct would have led to a complete replacement of Avastin with Lucentis, resulting in an increased expenditure for the SSN corresponding to the differential between the amounts reported above (an additional expenditure of approximately 540 million euros in 2013 and 615 million euros in 2014). Although these are only estimates, as already mentioned several times, it is useful to observe how the amount cited as potential expenditure for the year 2014 appears to be in line with the previously mentioned experience of a country, such as France, directly comparable to Italy in terms of product prices, population size, and epidemiological situation (see above, §153).</w:t>
      </w:r>
    </w:p>
    <w:p>
      <w:r>
        <w:t>231. The representatives of the Emilia-Romagna Region, for their part, stated that if all patients had been treated with Lucentis, the additional cost for the regional healthcare system would have been approximately 25 million euros: this amount, projected on a national scale in a weighted manner relative to the percentage of the population of the Region, led its representatives to believe that the additional costs borne by the SSN corresponded to over 200 million euros per year (see above, §155). Regarding the allocation of expenditure determined by the agreement, it should also be noted that the economic resources absorbed by the additional costs highlighted above could have been allocated to the improvement and expansion of healthcare services offered to the public. The Emilia-Romagna Region also stated that, for the year 2011 alone, the alternative use of resources earmarked for the use of Lucentis would have allowed for the hiring of a significant number of healthcare workers and the provision of numerous additional services (see above, note 192).</w:t>
      </w:r>
    </w:p>
    <w:p>
      <w:r>
        <w:t>232. The Parties' companies contested the estimates mentioned above, particularly that relating to the additional expenditure for the SSN in the year 2012 (see above, §§167 et seq.). In this regard, reiterating that this is not the venue for quantifying the damages caused by the agreement, it should first be noted that the conduct of any damage quantification exercise is conditioned by the availability of data, which is generally limited and imperfect; therefore, the quantification of effects is inherently subject to considerable limits regarding the expected level of certainty and precision, and such precision is not required here, as it is – once again – only a matter of establishing the existence of significant effects of the agreement, without reaching their exact quantification.</w:t>
      </w:r>
    </w:p>
    <w:p>
      <w:r>
        <w:t>233. In this specific case, moreover, the arguments of the Parties' companies aimed at contesting the estimates are primarily irrelevant, as they do not challenge the existence of effects of the agreement (a point that is difficult to dispute given the significant price difference between the two drugs), but rather the quantum, which – as previously stated – falls outside the scope of this proceeding and will eventually be the subject of subsequent judgments. Such objections are, in any case, unfounded, considering that they have not addressed in any way the limitations of the database available for conducting the estimates, providing as counterfactual elements irrelevant data related to the consumption of drugs other than Avastin. Furthermore, the reference to AIFA's determination of October 2012 as the origin of the effects is not acceptable, as the aforementioned estimate concerns the entire year 2012, as a result of business conduct that began at least in the previous year. Moreover, the price difference between the two products is such – as mentioned, the price of Lucentis, initially 1,100 euros per injection, then dropped to 902 euros from November 2012, compared to a price of Avastin of 81.64 euros per injection – that it excludes the possibility that even a higher price for the ophthalmic applications of Avastin could lead to different conclusions regarding the significant effects produced by the agreement. In conclusion, the objections raised by the Parties' companies do not exclude the occurrence of real effects of the agreement, but rather aim to quantify a different (lower) amount of the damage caused to the SSN.</w:t>
      </w:r>
    </w:p>
    <w:p>
      <w:r>
        <w:t>234. The prejudice to intra-community trade constitutes one of the prerequisites for the application of Article 101 TFEU. In this regard, it is recalled that, according to the consistent orientation of community jurisprudence, an agreement that, based on a series of objective legal and factual elements, can exert a direct or indirect, actual or potential influence on the flows of trade between Member States, to an extent that could harm the realization of the objectives of a single market, is capable of prejudicing intra-community trade. The existence of prejudice to trade between Member States depends, more specifically, on a complex of factors that, among other things, include the nature of the products or services and the position of the companies involved.</w:t>
      </w:r>
    </w:p>
    <w:p>
      <w:r>
        <w:t>235. Given this, the agreement at issue in this provision affects the entire territory of the Italian Republic and involves the main operators present in the relevant market, whose conduct has explicitly taken into account the specificities of the Italian situation both from a regulatory perspective and from the resulting economic-commercial peculiarities, as exemplified by the consideration of the existence of a "case Italy" distinct from what is found in other EU States.</w:t>
      </w:r>
    </w:p>
    <w:p>
      <w:r>
        <w:t>236. The agreement in question is inherently capable of hindering the economic integration pursued by the legal order of the European Union more generally, and by the provisions of the TFEU specifically. It follows, therefore, that this agreement is to be considered capable of prejudicing trade between Member States, and that the conduct attributable to the Parties' companies is relevant under Article 101 TFEU.</w:t>
      </w:r>
    </w:p>
    <w:p>
      <w:r>
        <w:t>237. According to the Authority's practice, in line with community guidelines, in assessing the severity of an agreement, a plurality of elements must be considered, among which the nature of the behaviors attributed, the context in which the behaviors were implemented, and the importance of the companies that carried them out are significant.</w:t>
      </w:r>
    </w:p>
    <w:p>
      <w:r>
        <w:t>238. Regarding the nature of the behaviors, the conduct of the Parties' companies can be traced back to an agreement aimed at coordinating their respective supply policies to limit that of the less expensive product, in a logic of market sharing. The agreement between the Parties' companies, unlawful for its object, has been concretely implemented with a profound alteration of demand mechanisms, limiting consumers' freedom of choice through the conditioning of the judgment and therapeutic choice of doctors. Ultimately, this has made access to treatment particularly difficult for patients with serious and widespread eye diseases, having produced certain effects on the economic balance of the healthcare system as a whole.</w:t>
      </w:r>
    </w:p>
    <w:p>
      <w:r>
        <w:rPr>
          <w:b/>
        </w:rPr>
        <w:t>[Pages 148–150]</w:t>
      </w:r>
    </w:p>
    <w:p>
      <w:r>
        <w:t>150 BULLETIN NO. 11 OF MARCH 17, 2014</w:t>
      </w:r>
    </w:p>
    <w:p>
      <w:r>
        <w:t>239. As for the context of the conduct and the importance of the responsible parties, it is noted that the activities of the Parties have been carried out in a sector, such as the pharmaceutical one, inherently characterized by a profound informational asymmetry between producers and consumers, exploiting for their own purposes the high technical and regulatory complexity of the sector. Furthermore, the Roche and Novartis groups are primary operators in the pharmaceutical industry, having global operational capabilities and whose sophisticated behaviors have involved products used in the treatment of serious diseases (among the main causes of blindness worldwide), affecting a very large number of patients. With specific reference to the relevant market, the shares jointly attributable to the Parties exceed 90% both in terms of value and recipients of care.</w:t>
      </w:r>
    </w:p>
    <w:p>
      <w:r>
        <w:t>240. Moreover, the products involved in the agreement have long enjoyed an absolute competitive advantage in the field of anti-VEGF mechanism-based drugs and are still covered by patent exclusivities, thus lacking exogenous competitive pressures – such as those arising from the existence of so-called biosimilar drugs – capable of balancing in some way the market power of the Parties. Due to this complex of elements, the infringement attributed to the Parties is to be considered very serious.</w:t>
      </w:r>
    </w:p>
    <w:p>
      <w:r>
        <w:t>241. With reference to the duration of the agreement, the evidentiary findings allow us to affirm that the unlawful conduct related to the relevant market – within the context of a presumably pre-existing collusive environment, of which there is a trace as early as April 2007 (supra, §§97 et seq.), and in light of clear considerations regarding the objective of "increasing uncertainty around the safety of Avastin" expressed by Novartis in November 2010 (supra, §115) – began at least in June 2011, when Roche, as part of the product differentiation plan agreed with Novartis, formally initiated the procedure before EMA to obtain the modification of the RCP of Avastin and the consequent official communications (supra, §§102 et seq.). The conduct of the Parties has not ceased to date.</w:t>
      </w:r>
    </w:p>
    <w:p>
      <w:r>
        <w:t>Determination of the sanction</w:t>
      </w:r>
    </w:p>
    <w:p>
      <w:r>
        <w:t>242. For the purpose of identifying the criteria for quantifying the sanction, it is recalled that Article 15, paragraph 1, of Law No. 287/1990 provides, in the case of serious infringements, an administrative pecuniary sanction of up to 10% of the total turnover of the company, and therefore, the quantification of the sanction must have as its ultimate reference parameter the total turnover. The Authority has long used, along with this parameter, the criteria in force at the community level, as expressed in the specific guidelines provided by the Commission. According to Article 11 of Law No. 689 of November 24, 1981, as recalled by Article 31 of Law No. 287/1990, the severity of the violation, the economic conditions, the behavior of the companies involved, and any initiatives aimed at eliminating or mitigating the consequences of the violations must therefore be considered. In light of these criteria, the amounts of the sanctions that can be imposed on the Parties are determined, also taking into due consideration their actual economic capacity to significantly harm competitive dynamics.</w:t>
      </w:r>
    </w:p>
    <w:p>
      <w:r>
        <w:t>243. In this case, in light of the Commission's guidelines referring to the value of sales of goods to which the infringement directly or indirectly relates, in calculating the base amount of the sanction, the turnovers achieved by Roche Italia and Novartis Farma in the Italian market for drugs intended for the treatment of ocular vascular disorders must be taken as a reference, as these turnovers fully express the commercial presence of the Roche and Novartis groups in the relevant market.</w:t>
      </w:r>
    </w:p>
    <w:p>
      <w:r>
        <w:t>244. Regarding the Novartis group, the relevant turnover is that relating to the sales of Lucentis made by Novartis Farma in Italy in the year 2012, the last fiscal year with formally approved accounts, amounting to [50-60 million] euros.</w:t>
      </w:r>
    </w:p>
    <w:p>
      <w:r>
        <w:t>245. The Roche group, for its part, has stated that it does not have information regarding the value of sales of Avastin intended for ophthalmic uses: therefore, in the absence of specific turnover data, the determination of the sanction must be based on the criteria indicated by Article 15, paragraph 1, of Law No. 287/1990, that is, taking as a reference the total turnovers achieved in the last fiscal year closed prior to the notification of the measure. Specifically, the total reference turnover is that achieved by Roche Italia in 2012, the last fiscal year with formally approved accounts, amounting to 951,850,000 euros. After determining the base amount of the sanction concerning the sales of Novartis Farma, equal treatment can be ensured by calculating the percentage incidence of the same concerning the total turnover of the same company and using the same incidence to determine the base amount of the sanction concerning Roche Italia. This criterion ensures uniform treatment in the application of the sanction, also considering the fact that the total turnover of the two Italian subsidiaries (used only for comparison purposes) is similar for both companies.</w:t>
      </w:r>
    </w:p>
    <w:p>
      <w:r>
        <w:t>246. Also according to the Commission's guidelines, for the determination of the base amount of the sanction, the value of the above-mentioned sales can be taken into account up to a maximum percentage of 30%, to be established based on "a certain number of factors, such as the nature of the infringement, the aggregated market share of all the companies involved, the geographical extent of the infringement, and whether or not the unlawful practices have been implemented." In this case, as noted above, the infringement is very serious, has involved primary operators at the global level with market shares in the relevant market exceeding 90%, has been implemented, and has produced significant effects.</w:t>
      </w:r>
    </w:p>
    <w:p>
      <w:r>
        <w:t>247. All of this considered, the following calculation will reference the relevant turnover of Novartis, as defined above.</w:t>
      </w:r>
    </w:p>
    <w:p>
      <w:r>
        <w:t>248. The percentage of the base sanction amount should be placed at a significant level of the expected percentage, commensurate with [25-30%] of the value of the sales to which the infringement refers. This results in an amount equal to [10-20 million] euros.</w:t>
      </w:r>
    </w:p>
    <w:p>
      <w:r>
        <w:t>249. The amount thus obtained must then be multiplied by the number of years of the infringement. Regarding the duration of the infringement, based on the evidence on record, participation in the agreement must be attributed at least from June 2011 until the current date (supra, §241): therefore, the base amount has been calculated using "3" as the multiplicative factor. This results in an amount equal to [45-55 million] euros.</w:t>
      </w:r>
    </w:p>
    <w:p>
      <w:r>
        <w:t>250. Furthermore, in line with the Commission's Guidelines which, in order to further deter companies from participating in hard-core horizontal agreements, provide for the possibility of including in the base amount of the sanction a sum between 15% and 25% of the value of the relevant sales, in this case, an additional sum equal to [20-25%] of the value of the sales, corresponding to [10-20 million] euros, is applied.</w:t>
      </w:r>
    </w:p>
    <w:p>
      <w:r>
        <w:t>251. Considering the severity and duration of the infringement, for Novartis, the base sanction amount is therefore equal to 61,352,500 euros.</w:t>
      </w:r>
    </w:p>
    <w:p>
      <w:r>
        <w:t>252. For Roche, as already anticipated, reference must be made to the percentage incidence of the amount just indicated on the total turnover of Novartis Farma (Italian subsidiary). Given that the base amount established for Novartis Farma corresponds to 6.41% of its total turnover in 2012, Roche's sanction is proportionately adjusted based on Roche Italia's turnover (Italian subsidiary), with a base sanction amount equal to 61,005,636 euros (equal to 6.41% of Roche Italia's turnover which corresponds to 951,850,000 euros).</w:t>
      </w:r>
    </w:p>
    <w:p>
      <w:r>
        <w:t>253. Regarding the possible occurrence of circumstances that could affect the amount of the base amount, it is noted that for the Roche and Novartis groups, neither aggravating nor mitigating circumstances exist.</w:t>
      </w:r>
    </w:p>
    <w:p>
      <w:r>
        <w:t>254. Also considering that, to ensure the sufficiently deterrent effect of the sanction, the Commission's Guidelines provide for the increase of the same when the Parties to the agreement present "particularly large turnover beyond the sales of the goods and services to which the infringement refers," in this case, the Authority deems it appropriate to apply a deterrent multiplicative coefficient equal to 50% of the base amount of the sanction, considering that the turnovers of the Roche and Novartis groups are particularly large and amount to [10-15] billion euros for Roche (net of Genentech's turnover) and [40-45] billion euros for Novartis. Therefore, the sanctions to be applied are determined in the amount of 92,028,750 euros for the companies Novartis Farma and Novartis, jointly liable, and 91,508,454 euros for the companies Roche Italia and Roche, jointly liable.</w:t>
      </w:r>
    </w:p>
    <w:p>
      <w:r>
        <w:t>255. With specific reference to the Roche group, considering that according to the available financial data Roche Italia recorded a loss only in the 2012 fiscal year, albeit contained relative to the value of the balance sheet, it is deemed appropriate to apply a reduction to the sanction for which the company is jointly liable, set at 1%: the sanction is therefore equal to 90,593,369 euros.</w:t>
      </w:r>
    </w:p>
    <w:p>
      <w:r>
        <w:rPr>
          <w:b/>
        </w:rPr>
        <w:t>[Pages 151–153]</w:t>
      </w:r>
    </w:p>
    <w:p>
      <w:r>
        <w:t>BULLETIN NO. 11 OF MARCH 17, 2014 153</w:t>
      </w:r>
    </w:p>
    <w:p>
      <w:r>
        <w:t>256. Finally, considering that pursuant to the aforementioned Article 15, paragraph 1, of Law No. 287/1990, the application of an administrative pecuniary sanction may reach 10% of the total turnover of each company in the last financial year closed prior to the notification of the warning, it is noted that the amounts of the aforementioned sanctions represent percentages significantly lower than 1% of the respective total turnovers of Roche (net of Genentech's turnover) and Novartis, which are jointly liable for the fine with their Italian subsidiaries (respectively equal to [0.5%-1%] and [0.1%-0.5%] of the total turnovers of the two groups).</w:t>
      </w:r>
    </w:p>
    <w:p>
      <w:r>
        <w:t>All of the above having been stated and considered;</w:t>
      </w:r>
    </w:p>
    <w:p>
      <w:r>
        <w:t>RESOLVES</w:t>
      </w:r>
    </w:p>
    <w:p>
      <w:r>
        <w:t>a) that the companies F.Hoffmann-La Roche Ltd., Novartis AG, Novartis Farma S.p.A., Roche S.p.A. have engaged in a horizontal agreement restricting competition in violation of Article 101 TFEU;</w:t>
      </w:r>
    </w:p>
    <w:p>
      <w:r>
        <w:t>b) that the companies F.Hoffmann-La Roche Ltd., Novartis AG, Novartis Farma S.p.A., Roche S.p.A. refrain in the future from engaging in behaviors similar to those subject to the established infringement;</w:t>
      </w:r>
    </w:p>
    <w:p>
      <w:r>
        <w:t>c) that, due to the seriousness and duration of the infringements referred to in point a), the companies F.Hoffmann-La Roche Ltd., Novartis AG, Novartis Farma S.p.A., Roche S.p.A. be imposed administrative pecuniary sanctions respectively equal to:</w:t>
        <w:br/>
        <w:t>- for F.Hoffmann-La Roche Ltd. and Roche S.p.A., jointly, 90,593,369 euros;</w:t>
        <w:br/>
        <w:t>- for Novartis AG and Novartis Farma S.p.A., jointly, 92,028,750 euros.</w:t>
      </w:r>
    </w:p>
    <w:p>
      <w:r>
        <w:t>The administrative sanctions referred to in the previous letter c) must be paid within ninety days from the notification of this provision, using the attached F24 model with identifying elements, pursuant to Legislative Decree No. 241 of July 9, 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w:t>
      </w:r>
    </w:p>
    <w:p>
      <w:r>
        <w:t>Pursuant to Article 37, paragraph 49, of Decree-Law No. 223 of July 4, 2006, VAT-registered entities are required to submit the F24 model electronically.</w:t>
      </w:r>
    </w:p>
    <w:p>
      <w:r>
        <w:t>After the aforementioned deadline, for a delay period of less than six months, late payment interest must be paid at the legal rate starting from the day after the payment deadline until the date of payment. In case of further delay, pursuant to Article 27, paragraph 6, of Law No. 689/1981, the amount due for the imposed sanction is increased by one-tenth for each semester starting from the day after the payment deadline until the role is transmitted to the collection agent; in this case, the increase absorbs the late payment interest accrued during the same period.</w:t>
      </w:r>
    </w:p>
    <w:p>
      <w:r>
        <w:t>Immediate communication of the payments made must be given to the Authority, by sending a copy of the model certifying the payment made.</w:t>
      </w:r>
    </w:p>
    <w:p>
      <w:r>
        <w:t>Pursuant to Article 26 of the same Law No. 689/1981, companies in economically disadvantaged conditions may request the payment of the sanction in installments.</w:t>
      </w:r>
    </w:p>
    <w:p>
      <w:r>
        <w:t>This provision will be notified to the interested parties and published in the Bulletin of the Competition and Market Authority.</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or an extraordinary appeal may be proposed to the President of the Republic, pursuant to Article 8, paragraph 2, of the Decree of the President of the Republic No. 1199 of November 24, 1971, within one hundred and twenty days from the date of notification of the provision itself.</w:t>
      </w:r>
    </w:p>
    <w:p>
      <w:r>
        <w:t>THE SECRETARY GENERAL THE PRESIDENT</w:t>
        <w:br/>
        <w:t>Roberto Chieppa Giovanni Pitruzzella</w:t>
      </w:r>
    </w:p>
    <w:p>
      <w:r>
        <w:t>BULLETIN NO. 11 OF MARCH 17, 2014 155</w:t>
      </w:r>
    </w:p>
    <w:p>
      <w:r>
        <w:t>I718 - ENERVIT-DISTRIBUTION CONTRACTS</w:t>
      </w:r>
    </w:p>
    <w:p>
      <w:r>
        <w:t>Provision No. 24827</w:t>
      </w:r>
    </w:p>
    <w:p>
      <w:r>
        <w:t>THE COMPETITION AND MARKET AUTHORITY</w:t>
      </w:r>
    </w:p>
    <w:p>
      <w:r>
        <w:t>IN ITS MEETING of March 12, 2014;</w:t>
      </w:r>
    </w:p>
    <w:p>
      <w:r>
        <w:t>HEARD the Rapporteur Dr. Salvatore Rebecchini;</w:t>
      </w:r>
    </w:p>
    <w:p>
      <w:r>
        <w:t>HAVING REGARD to Law No. 287 of October 10, 1990, and, in particular, Article 14-ter introduced by Law No. 248 of August 4, 2006, which converted with amendments Decree-Law No. 223 of July 4, 2006;</w:t>
      </w:r>
    </w:p>
    <w:p>
      <w:r>
        <w:t>HAVING REGARD to its resolution of November 20, 2013, with which an investigation was initiated pursuant to Article 14 of Law No. 287/90, against the company Enervit S.p.A., active in the production and marketing of supplements and food products for sports (brands Enervit and Gymline), for wellness and diet (brands Enerzona and Enervit Protein), to ascertain the existence of a violation of Article 101 of the Treaty on the Functioning of the European Union, in relation to the content of the vertical agreements in place with its retailers;</w:t>
      </w:r>
    </w:p>
    <w:p>
      <w:r>
        <w:t>HAVING REGARD to the "Communication on the procedures for the application of Article 14-ter of Law No. 10 of October 1990, No. 287," adopted in the meeting of September 6, 2012 and published in Bulletin No. 35 of September 17, 2012;</w:t>
      </w:r>
    </w:p>
    <w:p>
      <w:r>
        <w:t>HAVING REGARD to the communication of February 24, 2014, with which the company Enervit S.p.A. submitted commitments, pursuant to Article 14-ter of Law No. 287/90, according to the modalities specifically indicated in the appropriate "Form for the submission of commitments pursuant to Article 14-ter of Law No. 287/90," consisting, in summary, of:</w:t>
        <w:br/>
        <w:t>- not entering into commercial agreements with its retailers similar to the one subject to contestation in the initiation provision, signed with a pharmacist/online seller and containing the provision of a bonus for compliance with the suggested minimum prices;</w:t>
        <w:br/>
        <w:t>- not influencing in any way, either directly or indirectly, the pricing policies practiced by its retailers (whether physical and/or virtual stores);</w:t>
        <w:br/>
        <w:t>- sending to its online retailers (already recipients of a previous communication in May 2011) and to its agents a communication highlighting their total autonomy in determining the final selling price of Enervit products, in respect of the image and value of the related brands;</w:t>
        <w:br/>
        <w:t>- amending Article 1, paragraph 5, of the contracts in place with sales agents by eliminating the phrase "and/or offer for sale," in order to dispel any doubt regarding the exclusion of passive sales from the limitations imposed on the exclusive distributor;</w:t>
        <w:br/>
        <w:t>- amending Article 2, paragraph 1, of the contract with sales agents to provide that the non-competition clause referred to in Article 1, paragraph 2, must be renegotiated every five years.</w:t>
      </w:r>
    </w:p>
    <w:p>
      <w:r>
        <w:t>CONSIDERING that the commitments presented, as a whole, do not appear manifestly unfounded and are susceptible to publication;</w:t>
      </w:r>
    </w:p>
    <w:p>
      <w:r>
        <w:t>THEREFORE, IT IS DEEMED appropriate to order the publication of the aforementioned commitments presented by the company Enervit S.p.A., so that interested third parties may express their observations, as well as to set the deadline for adopting its decision on the commitments themselves;</w:t>
      </w:r>
    </w:p>
    <w:p>
      <w:r>
        <w:rPr>
          <w:b/>
        </w:rPr>
        <w:t>[Pages 154–156]</w:t>
      </w:r>
    </w:p>
    <w:p>
      <w:r>
        <w:t>156 BULLETIN NO. 11 OF MARCH 17, 2014</w:t>
      </w:r>
    </w:p>
    <w:p>
      <w:r>
        <w:t>RESOLUTION</w:t>
      </w:r>
    </w:p>
    <w:p>
      <w:r>
        <w:t>a) to publish on March 17, 2014, in the Bulletin referred to in Article 26 of Law No. 287/90 and on the Authority's website, the aforementioned commitments attached to this provision, which constitute an integral part thereof, submitted by the company Enervit S.p.A., pursuant to Article 14-ter of Law No. 287/90;</w:t>
      </w:r>
    </w:p>
    <w:p>
      <w:r>
        <w:t>b) that any observations on the commitments submitted by the company Enervit S.p.A. must be received in writing, no later than April 16, 2014, by the Directorate General for Competition - Directorate for Agri-food and Transport of the Authority, Piazza G. Verdi, 6/A, 00198 Rome, tel. +39(0)6/85821.308, fax +39(0)6/85821.441;</w:t>
      </w:r>
    </w:p>
    <w:p>
      <w:r>
        <w:t>c) that any representations by the company Enervit S.p.A. regarding its position in relation to the observations submitted by third parties on the commitments, as well as any potential introduction of ancillary modifications to them, must be received in writing by the Authority no later than May 16, 2014;</w:t>
      </w:r>
    </w:p>
    <w:p>
      <w:r>
        <w:t>d) that the evaluation procedure of the commitments must be concluded by June 15, 2014, unless additional time is necessary for the acquisition of mandatory opinions.</w:t>
      </w:r>
    </w:p>
    <w:p>
      <w:r>
        <w:t>THE SECRETARY GENERAL THE PRESIDENT</w:t>
        <w:br/>
        <w:t>Roberto Chieppa Giovanni Pitruzzella</w:t>
      </w:r>
    </w:p>
    <w:p>
      <w:r>
        <w:t>BULLETIN NO. 11 OF MARCH 17, 2014 157</w:t>
      </w:r>
    </w:p>
    <w:p>
      <w:r>
        <w:t>CONCENTRATION OPERATIONS</w:t>
      </w:r>
    </w:p>
    <w:p>
      <w:r>
        <w:t>C11940 - HERA/AMGA MULTISERVIZI</w:t>
      </w:r>
    </w:p>
    <w:p>
      <w:r>
        <w:t>Provision No. 24821</w:t>
      </w:r>
    </w:p>
    <w:p>
      <w:r>
        <w:t>THE ANTITRUST AUTHORITY</w:t>
      </w:r>
    </w:p>
    <w:p>
      <w:r>
        <w:t>IN ITS MEETING of February 27, 2014;</w:t>
      </w:r>
    </w:p>
    <w:p>
      <w:r>
        <w:t>HEARD the Rapporteur Professor Piero Barucci;</w:t>
      </w:r>
    </w:p>
    <w:p>
      <w:r>
        <w:t>HAVING REGARD to Law No. 287 of October 10, 1990, and, in particular, Article 5 thereof;</w:t>
      </w:r>
    </w:p>
    <w:p>
      <w:r>
        <w:t>HAVING REGARD to the communication from the company Hera S.p.A., received on February 7, 2014;</w:t>
      </w:r>
    </w:p>
    <w:p>
      <w:r>
        <w:t>HAVING REGARD to the documents of the proceedings;</w:t>
      </w:r>
    </w:p>
    <w:p>
      <w:r>
        <w:t>CONSIDERED the following:</w:t>
      </w:r>
    </w:p>
    <w:p>
      <w:r>
        <w:t>I. THE PARTIES</w:t>
      </w:r>
    </w:p>
    <w:p>
      <w:r>
        <w:t>Hera S.p.A. (hereinafter Hera) is the parent company of several companies operating in the sectors of production, distribution, and sale of electricity, gas, and heat, in the management of the integrated water system and integrated urban hygiene services, throughout almost the entire territory of Emilia Romagna. The share capital of Hera is divided as follows: 44% is owned, directly and indirectly, by various municipalities in Emilia Romagna, among which the Municipality of Bologna holds 12.1% of the company's shares, 11.4% is equally divided between the municipalities of Trieste and Padua, while the remainder is held by private investors.</w:t>
      </w:r>
    </w:p>
    <w:p>
      <w:r>
        <w:t>Gas distribution is carried out by Hera both directly (in some provinces of Emilia Romagna) and through two controlled companies, AcegasAps S.p.A. and Isontino Reti Gas S.r.l. (respectively in the provinces of Padua and Trieste and Gorizia).</w:t>
      </w:r>
    </w:p>
    <w:p>
      <w:r>
        <w:t>In 2012, the consolidated revenue generated by Hera, almost entirely in Italy, was approximately 5.3 billion euros.</w:t>
      </w:r>
    </w:p>
    <w:p>
      <w:r>
        <w:t>AMGA Azienda Multiservizi S.p.A. (hereinafter, AMGA) is a company that operates, directly and through controlled companies, in the sectors of natural gas distribution, heat production and distribution, with particular regard to the installation of thermal systems, as well as in public lighting and traffic light management.</w:t>
      </w:r>
    </w:p>
    <w:p>
      <w:r>
        <w:t>AMGA is controlled by the Municipality of Udine, which holds a stake of 58.688% of the share capital.</w:t>
      </w:r>
    </w:p>
    <w:p>
      <w:r>
        <w:t>In the gas distribution sector, AMGA is active in some provinces of Veneto (Pordenone and Udine).</w:t>
      </w:r>
    </w:p>
    <w:p>
      <w:r>
        <w:t>In 2012, the consolidated revenue generated by the AMGA group in Italy was approximately 339 million euros.</w:t>
      </w:r>
    </w:p>
    <w:p>
      <w:r>
        <w:t>II. DESCRIPTION OF THE TRANSACTION</w:t>
      </w:r>
    </w:p>
    <w:p>
      <w:r>
        <w:t>The transaction consists of the merger by incorporation of AMGA into Hera, through an increase in share capital and the issuance of new shares by Hera in favor of AMGA shareholders, based on an agreed exchange ratio with AMGA shares, defined within the framework of a Framework Agreement entered into by the Parties on January 23, 2014.</w:t>
      </w:r>
    </w:p>
    <w:p>
      <w:r>
        <w:t>III. QUALIFICATION OF THE TRANSACTION</w:t>
      </w:r>
    </w:p>
    <w:p>
      <w:r>
        <w:t>The communicated transaction, as it involves the merger by incorporation of AMGA into HERA, constitutes a concentration pursuant to Article 5, paragraph 1, letter c), of Law No. 287/90. It falls within the scope of application of Law No. 287/90 as the conditions of Article 1 of Regulation EC 139/04 do not apply, and it is subject to the obligation of prior notification provided for by Article 16, paragraph 1, of the same law as the total revenue generated, in the last financial year at the national level, by the group of companies involved was over 482 million euros and as the revenue of the incorporated company, relating to the last financial year at the national level, was over 48 million euros.</w:t>
      </w:r>
    </w:p>
    <w:p>
      <w:r>
        <w:t>IV. EVALUATIONS</w:t>
      </w:r>
    </w:p>
    <w:p>
      <w:r>
        <w:t>The relevant markets</w:t>
      </w:r>
    </w:p>
    <w:p>
      <w:r>
        <w:t>The main sectors in which both the acquiring company and the target company are present are those of gas distribution and sale and the sale of electricity to final customers.</w:t>
      </w:r>
    </w:p>
    <w:p>
      <w:r>
        <w:t>1) Gas distribution: the markets of area tenders for the assignment of the service</w:t>
      </w:r>
    </w:p>
    <w:p>
      <w:r>
        <w:t>The activity of natural gas distribution, defined by Article 2, paragraph 1, letter n), of Legislative Decree No. 164/2000, as "the transport of natural gas through local gas pipeline networks for delivery to customers," is recognized as a public service, entrusted by local authorities in exclusive concession through tender, for a period not exceeding twelve years. Pursuant to Articles 16 and 24 of Legislative Decree No. 164/00, distribution companies are obliged to connect customers who request it and allow access to the system by other gas companies and, in particular, by sales companies. The distribution service is also subject to tariff regulation by the AEEG.</w:t>
      </w:r>
    </w:p>
    <w:p>
      <w:r>
        <w:t>In the market context outlined by the current regulations, the distribution activity is configured as a legal monopoly concerning the management of local gas pipeline networks, and thus the only form of possible competition is that related to participation in tenders for the assignment of expired concessions (so-called competition for the market).</w:t>
      </w:r>
    </w:p>
    <w:p>
      <w:r>
        <w:rPr>
          <w:b/>
        </w:rPr>
        <w:t>[Pages 157–159]</w:t>
      </w:r>
    </w:p>
    <w:p>
      <w:r>
        <w:t>BULLETIN NO. 11 OF MARCH 17, 2014 159</w:t>
      </w:r>
    </w:p>
    <w:p>
      <w:r>
        <w:t>Following the completion of the regulatory framework on the procedures for conducting tenders at the level of the 177 "minimum territorial areas" at the supra-municipal level, as per Article 46 bis of Decree-Law No. 159/07, and the provision contained in Article 24, paragraph 4, of Legislative Decree No. 93/11 which prohibits further municipal tenders, the gas distribution service can only be entrusted through area tender procedures, as regulated, in particular, by Ministerial Decree No. 226/11, "Regulation for the tender criteria and for the evaluation of the offer for the assignment of the natural gas distribution service, in implementation of Article 46 bis of Decree-Law of October 1, 2007, No. 159, converted into law, with amendments, by Law No. 29 of November 2007, No. 222." The tenders for area concessions will take place in successive phases over the coming years. Annex 1 of Ministerial Decree No. 226/11, which was amended by Decree-Law No. 69/13, converted with amendments by Law No. 98/13, identifies the maximum timelines for the initiation of the process for the realization of the various tender lots. The transaction in question therefore concerns the relevant markets identified by the area tenders for the issuance of concessions for the exclusive conduct of gas distribution activities.</w:t>
      </w:r>
    </w:p>
    <w:p>
      <w:r>
        <w:t>2) The retail gas markets</w:t>
      </w:r>
    </w:p>
    <w:p>
      <w:r>
        <w:t>The retail sale of natural gas consists of the supply and delivery of gas to final customers connected to distribution networks or the gas transport network. The sale of natural gas is regulated by Legislative Decree No. 164/00, which defines the operating criteria from the supply and demand side. Companies engaged in the sale of gas must be authorized by the MSE. Pursuant to Article 22, paragraph 1, of Legislative Decree No. 164/00, all final customers are eligible, meaning they can freely choose their supplier. Due to the differentiations and specific characteristics expressed by supply and demand, it is possible to identify distinct product markets in relation to sales activities towards:</w:t>
        <w:br/>
        <w:t>a) electricity generation companies with consumption typically well above 200,000 cubic meters/year;</w:t>
        <w:br/>
        <w:t>b) medium to large-sized final customers with consumption exceeding 200,000 cubic meters of gas/year;</w:t>
        <w:br/>
        <w:t>c) small-sized final customers with consumption below 200,000 cubic meters of gas/year.</w:t>
      </w:r>
    </w:p>
    <w:p>
      <w:r>
        <w:t>The transaction in question concerns the product markets b) and c).</w:t>
      </w:r>
    </w:p>
    <w:p>
      <w:r>
        <w:t>Regarding the geographical dimension of the market for the sale of gas to medium to large-sized final customers, due to the scale of operations of companies active in the sale of gas to high-consumption customers and the competitive dynamics observed from the supply side, it is believed that this market has a national dimension. As for the market for the sale of gas to small-sized final customers, from the supply side, there are still significantly present gas sales companies active only at the local level (municipal or multi-municipal) and vertically integrated with gas distribution companies, alongside some large sales companies operating throughout the national territory (including ENI, Enel, and Edison). The geographical dimension of this market could therefore be less than national. For the purposes of this transaction, the exact definition of the geographical dimension of this market can in any case be left open, as it does not affect the competitive assessment of the transaction itself.</w:t>
      </w:r>
    </w:p>
    <w:p>
      <w:r>
        <w:t>160 BULLETIN NO. 11 OF MARCH 17, 2014</w:t>
      </w:r>
    </w:p>
    <w:p>
      <w:r>
        <w:t>3) The retail electricity markets</w:t>
      </w:r>
    </w:p>
    <w:p>
      <w:r>
        <w:t>In the retail sale of electricity in the free market, it is necessary to distinguish between sales to large industrial and commercial customers connected to high and medium voltage networks and those to small businesses connected to low voltage networks. It is also necessary to distinguish sales to businesses – particularly small businesses at low voltage – from those to households (or "domestic customers"). In the case at hand, the relevant markets from a commodity perspective for the assessment of the transaction are:</w:t>
        <w:br/>
        <w:t>a) the market for the sale of electricity to non-domestic customers connected at medium and high voltage;</w:t>
        <w:br/>
        <w:t>b) the market for the sale of electricity to non-domestic customers connected at low voltage;</w:t>
        <w:br/>
        <w:t>c) the market for the sale of electricity to domestic customers connected at low voltage.</w:t>
      </w:r>
    </w:p>
    <w:p>
      <w:r>
        <w:t>From a geographical perspective, the market for the retail sale of electricity to non-domestic customers connected at high and medium voltage has a national scope. The retail markets for non-domestic and domestic customers connected at low voltage, on the other hand, have a local dimension.</w:t>
      </w:r>
    </w:p>
    <w:p>
      <w:r>
        <w:t>The effects of the transaction</w:t>
      </w:r>
    </w:p>
    <w:p>
      <w:r>
        <w:t>1) The markets for area tenders for the assignment of the gas distribution service</w:t>
      </w:r>
    </w:p>
    <w:p>
      <w:r>
        <w:t>In order to examine the competitive dynamics that will occur in the Atem tenders (so-called bidding markets) and analyze the impact that the transaction in question could have on them, it is necessary to refer to potential competition, that is, the competitive pressure exerted by companies that can reasonably enter the relevant market, or, in this specific case, participate in the area tenders related to the Atems affected by the transaction.</w:t>
      </w:r>
    </w:p>
    <w:p>
      <w:r>
        <w:t>Indeed, although all companies that meet the formal requirements for admission to the tender are, in purely theoretical terms, potential competitors, this qualification must, however, be refined to take into account other elements (also arising from objective exogenous conditions) capable of influencing the actual probability that a company participates in an area tender and that may eventually operate in the direction of making the position of the participants in the tender asymmetric.</w:t>
      </w:r>
    </w:p>
    <w:p>
      <w:r>
        <w:t>In particular, the distinguishing elements among potential participants are:</w:t>
        <w:br/>
        <w:t>- significant prior presence in the Atem in terms of share of the total number of delivery points served before the tender;</w:t>
        <w:br/>
        <w:t>- financial solidity to overcome the financial barriers arising from the regulatory provision that requires the operator who wins the tender to pay the residual value of the plant to the incumbent;</w:t>
        <w:br/>
        <w:t>- significant prior presence in neighboring Atems;</w:t>
        <w:br/>
        <w:t>- the possibility of forming RTIs.</w:t>
      </w:r>
    </w:p>
    <w:p>
      <w:r>
        <w:t>In this context, in order to carry out the assessment of the case in question, it is first necessary to identify the Atems in which the two Parties can be considered potential competitors and, subsequently, to identify other potential competitors in future Atem tenders.</w:t>
      </w:r>
    </w:p>
    <w:p>
      <w:r>
        <w:t>From the analysis of the Atems in which at least one of the Parties operates, it emerges that in none of these Atems is there a prior presence of the other, and that only six of them present the characteristics suitable for identifying them as markets potentially affected by the transaction in question due, in particular, not only to the significant prior presence of one of the Parties in the Atem in question but also to the simultaneous significant presence of the other Party in one or more neighboring areas.</w:t>
      </w:r>
    </w:p>
    <w:p>
      <w:r>
        <w:t>Specifically, reference is made to the Atems of Gorizia, Padova 1, Trieste, Udine 1, Udine 2, Udine 3. As can be seen from the table below, in fact, the Parties hold a significant position in terms of delivery points in one of these Atems or in the neighboring ones.</w:t>
      </w:r>
    </w:p>
    <w:p>
      <w:r>
        <w:t>| Area      | Hera | Amga | Italgas | F2i | Others |</w:t>
        <w:br/>
        <w:t>|-----------|------|------|---------|-----|--------|</w:t>
        <w:br/>
        <w:t>| Gorizia   | 100% | 0%   | 0%      | 0%  | 0%     |</w:t>
        <w:br/>
        <w:t>| Padova 1 | 68%  | 0%   | 0%      | [10-15%] | [15-30%] |</w:t>
        <w:br/>
        <w:t>| Trieste   | 97%  | 0%   | [1-5%]  | 0%  | 0%     |</w:t>
        <w:br/>
        <w:t>| Udine 1   | 0%   | 25%  | [55-60%] | [5-10%] | [10-15%] |</w:t>
        <w:br/>
        <w:t>| Udine 2   | 0%   | 93%  | 0%      | [1-5%]  | [1-5%]  |</w:t>
        <w:br/>
        <w:t>| Udine 3   | 0%   | 54%  | [30-35%] | [1-5%]  | [10-15%] |</w:t>
      </w:r>
    </w:p>
    <w:p>
      <w:r>
        <w:t>Source: The data regarding the identification of the service manager in the municipalities is updated as of July 2012, while the data regarding the number of delivery points is from 2010. The data is sourced from AEEG.</w:t>
      </w:r>
    </w:p>
    <w:p>
      <w:r>
        <w:t>1.a. The markets for the tenders for the Atems of Gorizia, Padova 1, Trieste</w:t>
      </w:r>
    </w:p>
    <w:p>
      <w:r>
        <w:t>In the Atems of Gorizia, Padova 1, and Trieste, Hera, directly or through its subsidiaries, has a significant prior presence with very high shares in terms of delivery points. AMGA, not present in the aforementioned Atems, is however active in the neighboring Atems of Udine 2 and Udine 3, also with high delivery point shares (54% and 93%, respectively).</w:t>
      </w:r>
    </w:p>
    <w:p>
      <w:r>
        <w:t>While Hera, due to its position as incumbent, represents one of the potential competitors in the upcoming tenders in the aforementioned Atems, AMGA does not qualify as a potential competitor in such tenders. In fact, during the market test for the assessment of transaction C11878 - Italgas-Acegas-Aps/Isontina Reti Gas, AMGA stated that it was not interested in participating in tenders in Atems where particularly strong incumbents are present.</w:t>
      </w:r>
    </w:p>
    <w:p>
      <w:r>
        <w:t>6 Hera is active in the Atems of Bologna 1, Bologna 2, Forlì Cesena, Ferrara, Modena 1, Modena 2, Pesaro and Urbino, Ravenna, Rimini, Gorizia, Padova 1, Padova 2, Padova 3, and Trieste. AMGA is instead present in the Atems of Pordenone, Udine 1, Udine 2, and Udine 3.</w:t>
      </w:r>
    </w:p>
    <w:p>
      <w:r>
        <w:t>7 In this version, some data is omitted, as it was deemed that there were elements of confidentiality or secrecy of the information.</w:t>
      </w:r>
    </w:p>
    <w:p>
      <w:r>
        <w:rPr>
          <w:b/>
        </w:rPr>
        <w:t>[Pages 160–162]</w:t>
      </w:r>
    </w:p>
    <w:p>
      <w:r>
        <w:t>162 BULLETIN NO. 11 OF MARCH 17, 2014</w:t>
      </w:r>
    </w:p>
    <w:p>
      <w:r>
        <w:t>In the nearby Atems to those under examination, Italgas and F2i are also present, even with significant percentages of PDR), which, based on their characteristics as national operators with high financial availability, would in any case be suitable to participate, without constraints related to the geographical location of the Atems, in the largest number of tenders, compatible with their own dimensions.</w:t>
      </w:r>
    </w:p>
    <w:p>
      <w:r>
        <w:t>Therefore, the transaction under examination, on the one hand, does not involve the elimination of a potential competitor in the Gorizia, Padova 1, and Trieste tender; on the other hand, it strengthens Hera's position which, following the merger with AMGA, will acquire greater competitive capacity against other potential competitors in the aforementioned tender (Italgas and F2i).</w:t>
      </w:r>
    </w:p>
    <w:p>
      <w:r>
        <w:t>1.b. The markets for the tenders for the Atems of Udine 1, Udine 2, and Udine 3</w:t>
      </w:r>
    </w:p>
    <w:p>
      <w:r>
        <w:t>In the Atems of Udine 1, Udine 2, and Udine 3, AMGA has a significant prior presence (over 25%) with shares in terms of PDR that are also very high (Udine 2 and Udine 3). Hera, not present in the aforementioned Atems, is however active, with high PDR shares, in the nearby ones of Gorizia and Trieste (100% and 97% of PDR, respectively), as well as in Padova 1 (68%).</w:t>
      </w:r>
    </w:p>
    <w:p>
      <w:r>
        <w:t>AMGA therefore represents a potential competitor in the upcoming tenders for Udine 2, Udine 3, and Udine 1, where it is present with significant PDR shares. Hera is also a potential competitor in the tenders for Udine 2, Udine 3, and Udine 1 due to its presence, with also significant shares, in some neighboring Atems (including particularly those of Gorizia and Trieste).</w:t>
      </w:r>
    </w:p>
    <w:p>
      <w:r>
        <w:t>However, in the Atems of Udine 1 and Udine 3, Italgas is also present with significant shares in terms of PDR (57% and 32%, respectively) and both Italgas and F2i are active in the nearby Atems to those under examination. These companies, as mentioned, due to their characteristics as national operators with high financial availability, are able to exert a significant competitive constraint as potential competitors in the Atem tenders.</w:t>
      </w:r>
    </w:p>
    <w:p>
      <w:r>
        <w:t>It is therefore not believed that the elimination of competition between Hera and AMGA in the participation in the future tenders for Udine 1, Udine 2, and Udine 3 is such as to significantly affect the level of competitiveness of the same. The transaction under examination will also strengthen the competitive capacity that Hera can exert against other potential competitors in these tenders (primarily Italgas and F2i).</w:t>
      </w:r>
    </w:p>
    <w:p>
      <w:r>
        <w:t>In conclusion, the concentration transaction under examination does not appear to be capable of leading to the establishment of a dominant position in the relevant markets for the tenders for the concession of natural gas distribution in the above-mentioned Atems.</w:t>
      </w:r>
    </w:p>
    <w:p>
      <w:r>
        <w:t>2) The markets for the retail sale of gas</w:t>
      </w:r>
    </w:p>
    <w:p>
      <w:r>
        <w:t>In the market for the sale of gas to medium and large-sized customers, as of 2012, the market share attributable to Hera and AMGA is 2% and 0.5%, respectively.</w:t>
      </w:r>
    </w:p>
    <w:p>
      <w:r>
        <w:t>In the market for the sale of gas to small-sized end customers, as of 2012, the national sales share of Hera and AMGA was, respectively, 9.5% and 0.6%. At the local level, there is also no overlap between the sales activities of the parties.</w:t>
      </w:r>
    </w:p>
    <w:p>
      <w:r>
        <w:t>This operation does not therefore appear to be capable of significantly affecting the competitive conditions of the markets for the sale of natural gas.</w:t>
      </w:r>
    </w:p>
    <w:p>
      <w:r>
        <w:t>3) The markets for the retail sale of electricity</w:t>
      </w:r>
    </w:p>
    <w:p>
      <w:r>
        <w:t>In the market for the sale of electricity to non-domestic customers connected at medium and high voltage, as of 2012, the market share attributable to Hera and AMGA is 4.4% and 0.8%, respectively. As for the markets for the sale of electricity to non-domestic and domestic customers at low voltage, the operation does not appear to be capable of affecting the competitive conditions of the same due to AMGA's marginal presence in this activity.</w:t>
      </w:r>
    </w:p>
    <w:p>
      <w:r>
        <w:t>The national sales share of AMGA is, in fact, in both cases, well below 1%.</w:t>
      </w:r>
    </w:p>
    <w:p>
      <w:r>
        <w:t>CONSIDERING, therefore, that the transaction under examination does not result, pursuant to Article 6, paragraph 1, of Law No. 287/90, in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the Bulletin of the Antitrust Authority.</w:t>
      </w:r>
    </w:p>
    <w:p>
      <w:r>
        <w:t>THE SECRETARY GENERAL THE PRESIDENT</w:t>
      </w:r>
    </w:p>
    <w:p>
      <w:r>
        <w:t>Roberto Chieppa Giovanni Pitruzzella</w:t>
      </w:r>
    </w:p>
    <w:p>
      <w:r>
        <w:t>164 BULLETIN NO. 11 OF MARCH 17, 2014</w:t>
      </w:r>
    </w:p>
    <w:p>
      <w:r>
        <w:t>UNFAIR TRADE PRACTICES</w:t>
      </w:r>
    </w:p>
    <w:p>
      <w:r>
        <w:t>PS8936 - COUNTERFEIT RAYBAN GLASSES -1</w:t>
      </w:r>
    </w:p>
    <w:p>
      <w:r>
        <w:t>Provision No. 24617</w:t>
      </w:r>
    </w:p>
    <w:p>
      <w:r>
        <w:t>THE ANTITRUST AUTHORITY</w:t>
      </w:r>
    </w:p>
    <w:p>
      <w:r>
        <w:t>IN ITS MEETING of November 13, 2013;</w:t>
      </w:r>
    </w:p>
    <w:p>
      <w:r>
        <w:t>HEARD the Rapporteur Professor Piero Barucci;</w:t>
      </w:r>
    </w:p>
    <w:p>
      <w:r>
        <w:t>VIEWED Part II, Title III, of Legislative Decree No. 206 of September 6, 2005 and subsequent amendments (hereinafter, Consumer Code);</w:t>
      </w:r>
    </w:p>
    <w:p>
      <w:r>
        <w:t>VIEWED Article 23, paragraph 12-quinquiesdecies, of Decree-Law No. 95 of July 6, 2012, as amended by Law No. 135 of August 7, 2012, which increased the maximum administrative fine to 5,000,000 euros;</w:t>
      </w:r>
    </w:p>
    <w:p>
      <w:r>
        <w:t>VIEWED the "Regulation on investigation procedures regarding misleading and comparative advertising, unfair commercial practices, and unfair clauses" (hereinafter, Regulation), adopted by the Authority with resolution of August 8, 2012;</w:t>
      </w:r>
    </w:p>
    <w:p>
      <w:r>
        <w:t>VIEWED its provision of May 9, 2013, with which the adoption of the precautionary measure was decided, pursuant to Article 27, paragraph 3, of the Consumer Code;</w:t>
      </w:r>
    </w:p>
    <w:p>
      <w:r>
        <w:t>VIEWED the acts of the proceeding;</w:t>
      </w:r>
    </w:p>
    <w:p>
      <w:r>
        <w:t>I. THE PARTIES</w:t>
      </w:r>
    </w:p>
    <w:p>
      <w:r>
        <w:t>1. Mr. Huang Jianhai, owner and registrant of the domain names discountraybansunglasses.org and raybanstores.com (both registered at IP address 91.236.116.172);</w:t>
      </w:r>
    </w:p>
    <w:p>
      <w:r>
        <w:t>2. Adoc, consumer protection association, and Indicam, Centromarca Institute for the fight against counterfeiting, as complainants.</w:t>
      </w:r>
    </w:p>
    <w:p>
      <w:r>
        <w:t>II. THE COMMERCIAL PRACTICES</w:t>
      </w:r>
    </w:p>
    <w:p>
      <w:r>
        <w:t>3. The proceeding concerns the behavior of the professional who, using the domain names discountraybansunglasses.org and raybanstores.com (both registered at IP address 91.236.116.172), advertised Ray-Ban branded glasses suggesting to visitors of the websites www.discountraybansunglasses.org and www.raybanstores.com that the products sold were original and offered to consumers at particularly convenient prices.</w:t>
      </w:r>
    </w:p>
    <w:p>
      <w:r>
        <w:t>4. The reports highlight that the information present on the websites www.discountraybansunglasses.org and www.raybanstores.com would be likely to deceive visitors of the sites themselves, leading them to make a commercial decision that they would not have otherwise made. In fact, the glasses advertised as Ray-Ban branded products would actually be counterfeit.</w:t>
      </w:r>
    </w:p>
    <w:p>
      <w:r>
        <w:rPr>
          <w:b/>
        </w:rPr>
        <w:t>[Pages 163–165]</w:t>
      </w:r>
    </w:p>
    <w:p>
      <w:r>
        <w:t>BULLETIN NO. 11 OF MARCH 17, 2014 165</w:t>
      </w:r>
    </w:p>
    <w:p>
      <w:r>
        <w:t>5. The fact that these are counterfeit products emerges from the report of the association INDICAM, which forwarded to the Authority the complaint from the owner of the Ray-Ban trademark who, in response to complaints from some buyers, claims to have conducted, through its technicians, a thorough verification of the single-brand sales sites www.discountraybansunglasses.org and www.raybanstores.com to determine whether they were original products.</w:t>
      </w:r>
    </w:p>
    <w:p>
      <w:r>
        <w:t>6. According to the complaint from the consumer association, the structure of the sites would have led some buyers to make transactions believing they were purchasing an original product at an outlet price on the sites www.discountraybansunglasses.org and www.raybanstores.com, which in reality turned out to be a counterfeit product. The report from the consumer association also highlights that the information contained on the sites regarding the rights recognized to buyers by the Consumer Code is incorrect, both concerning the post-sale phase, that is, the warranty on the product, and regarding the exercise of the right of withdrawal and reconsideration. In this regard, the two sites provide confusing information about the methods of returning the product and exercising the right of reconsideration, and do not disclose information about the existence of the mandatory legal warranty pursuant to Articles 130 and following of the Consumer Code. The sites also do not indicate any geographical address and/or identity of the professional to whom complaints can be addressed.</w:t>
      </w:r>
    </w:p>
    <w:p>
      <w:r>
        <w:t>7. The consumer association further emphasizes that the insidiousness of the practice also lies in the danger of the sunglasses sold, for which certain characteristics such as UV protection and lens quality are indicated, which do not correspond to the actual characteristics of the products. The consumer association in its report points out that the Vision Defense Commission speaks of serious damage caused by a low-quality product, which not only fails to provide adequate protection from harmful UV rays but even dulls the human eye's ability to establish a convenient natural protective barrier without the interposition of plastic.</w:t>
      </w:r>
    </w:p>
    <w:p>
      <w:r>
        <w:t>8. The misleading nature of the practice is further amplified by the structure of the sites that bolster visitors' perception that they are managed by an official retailer of the advertised products: the very names of the sites www.discountraybansunglasses.org and www.raybanstores.com are already suitable to mislead visitors. In fact, already on the home pages, images and photos taken from the original site www.rayban.com scroll above, and one can access the entire catalog of products currently for sale saving between 50% and 70% off the official price.</w:t>
      </w:r>
    </w:p>
    <w:p>
      <w:r>
        <w:t>9. That said, the behaviors as described above could constitute three distinct unfair commercial practices carried out in violation of Articles 20, 21, paragraph 1, letters a), b), f) and g), paragraph 2, letter a), 22, paragraphs 1 and 4, letters a), b) and e), 23, paragraph 1, letter b), 24 and 25, paragraph 1, letter d), of the Consumer Code. Therefore, on April 29, 2013, the investigative procedure PS8936 was initiated, contesting the following practices to the professional.</w:t>
      </w:r>
    </w:p>
    <w:p>
      <w:r>
        <w:t>a) Sale of counterfeit products</w:t>
      </w:r>
    </w:p>
    <w:p>
      <w:r>
        <w:t>10. Through its websites www.discountraybansunglasses.org and www.raybanstores.com, the professional would have provided misleading information regarding the actual existence, nature, and characteristics of the product offered for sale, falsely claiming to be an official Ray-Ban distributor and unlawfully using the related trademark without having obtained the necessary authorization. Such conduct could constitute a misleading commercial practice pursuant to Articles 20, 21, paragraph 1, letters a), b) and e), paragraph 2, letter a), and 23, paragraph 1, letter b).</w:t>
      </w:r>
    </w:p>
    <w:p>
      <w:r>
        <w:t>b) Omissions of information regarding the identification of the professional and all consumer rights provided in the post-sale phase</w:t>
      </w:r>
    </w:p>
    <w:p>
      <w:r>
        <w:t>11. In violation of Articles 20, 21, paragraph 1, letters f) and g), and 22, paragraphs 1 and 4, letters a), b) and e), the professional would have failed to indicate on the websites www.discountraybansunglasses.org and www.raybanstores.com its identity and geographical address along with all rights provided for consumer protection in the post-sale phase, including the right to replacement or refund and including the existence of the right of withdrawal and termination of the contract for products and commercial operations that entail such rights.</w:t>
      </w:r>
    </w:p>
    <w:p>
      <w:r>
        <w:t>c) Failure to provide the legal warranty of conformity</w:t>
      </w:r>
    </w:p>
    <w:p>
      <w:r>
        <w:t>12. Furthermore, the professional, by offering counterfeit products, which by their nature cannot be protected by the manufacturer's warranty, has completely disregarded the regulations regarding the legal warranty of conformity set forth in Title III, Part IV, of the Consumer Code, according to which, in the event of a conformity defect existing at the time of delivery of the good and manifesting within 2 years from the delivery itself, the consumer is entitled, against the seller, to the restoration, at no cost, of the conformity of the good through repair or replacement, or, alternatively (in the cases provided for by paragraph 7 of Article 130), to an appropriate reduction of the price or the resolution of the contract. Since in this case it is a counterfeit product sold as original, the consumer is effectively barred from exercising any of its rights, and therefore, the described behavior could constitute a violation of Articles 20, 24 and 25, letter d), of the Consumer Code.</w:t>
      </w:r>
    </w:p>
    <w:p>
      <w:r>
        <w:t>III. THE OUTCOMES OF THE PROCEDURE</w:t>
      </w:r>
    </w:p>
    <w:p>
      <w:r>
        <w:t>1) The procedure process</w:t>
      </w:r>
    </w:p>
    <w:p>
      <w:r>
        <w:t>13. Based on the information acquired in the records, on April 29, 2013, the investigative procedure PS8936 was initiated, pursuant to Article 27, paragraph 3, of the Consumer Code, as well as pursuant to Article 6 of the Regulation, in order to verify the existence of the unfair commercial practices indicated above in violation of Articles 20, 21, paragraph 1, letters a), b), f), e) and g), paragraph 2, letter a), 22, paragraphs 1 and 4, letters a), b) and e), 23, paragraph 1, letter b), 24 and 25, paragraph 1, letter d), of the Consumer Code, carried out by Mr. Huang Jianhai.</w:t>
      </w:r>
    </w:p>
    <w:p>
      <w:r>
        <w:t>14. The Authority, with a resolution adopted at the meeting of May 9, 2013, ordered that, pursuant to Article 27, paragraph 3, of the Consumer Code and Article 8, paragraph 3, of the Regulation, Mr. Huang Jianhai suspend any activity aimed at disseminating the contents of the domain names discountraybansunglasses.org and raybanstores.com (both registered at IP address 91.236.116.172) accessible through connection requests originating from Italian territory. Since Mr. Huang Jianhai did not participate in any way in the procedure that led to the Authority's adoption of the precautionary suspension measure regarding the practice in question, the Authority requested the direct collaboration of the military of the Antitrust Group of the Special Markets Protection Unit of the Guardia di Finanza, pursuant to Article 3, paragraph 1, of Legislative Decree No. 6 of March 19, 2001, to enforce the precautionary measure.</w:t>
      </w:r>
    </w:p>
    <w:p>
      <w:r>
        <w:t>15. Specifically, the military of the Antitrust Group of the Special Markets Protection Unit of the Guardia di Finanza were requested to carry out all necessary activities to ensure that the subjects referred to in Articles 14, paragraph 3, 15, paragraph 2, and 16, paragraph 3, of Legislative Decree No. 70 of April 9, 2003, which made the domain names discountraybansunglasses.org and raybanstores.com (both registered at IP address 91.236.116.172) accessible, prevented access to the same websites by users through connection requests to the internet network originating from Italian territory.</w:t>
      </w:r>
    </w:p>
    <w:p>
      <w:r>
        <w:t>16. The measure was made enforceable on May 11, 2013.</w:t>
      </w:r>
    </w:p>
    <w:p>
      <w:r>
        <w:t>17. On September 16, 2013, the parties were notified of the conclusion of the investigative phase.</w:t>
      </w:r>
    </w:p>
    <w:p>
      <w:r>
        <w:t>2) The evidence acquired</w:t>
      </w:r>
    </w:p>
    <w:p>
      <w:r>
        <w:t>18. The fact that the information provided on the websites www.discountraybansunglasses.org and www.raybanstores.com was suitable to mislead recipients regarding the characteristics of the products for sale emerged from the report sent to the Authority by the association INDICAM. The aforementioned association forwarded to the Authority the complaint from the owner of the Ray-Ban trademark who, in response to complaints from some buyers regarding the quality of the advertised products and having received requests for warranty performance on them from some buyers, claims to have conducted, through its technicians, a thorough verification of the single-brand sales sites www.discountraybansunglasses.org and www.raybanstores.com to determine whether the products advertised there were original. From what was stated by the owner of the Ray-Ban trademark, it appears that all the items sold were counterfeit products.</w:t>
      </w:r>
    </w:p>
    <w:p>
      <w:r>
        <w:t>19. Furthermore, on the sites in question, on the Shipping and Returns page, information was provided exclusively about the shipping methods for the products that may be ordered, but all information regarding the right of withdrawal and reconsideration, as well as information regarding the existence of the mandatory legal warranty pursuant to Articles 130 and following of the Consumer Code, was absent. The sites also did not indicate any precise geographical address and/or the identity of the professional to whom buyers could address complaints.</w:t>
      </w:r>
    </w:p>
    <w:p>
      <w:r>
        <w:t>3) The defensive arguments of the Party</w:t>
      </w:r>
    </w:p>
    <w:p>
      <w:r>
        <w:t>20. Following the communication of the initiation of the procedure as well as the precautionary measure adopted by the Authority in its meeting of May 9, 2013, Mr. Huang Jianhai, the owner of the sites subject to the procedure, did not participate in any way in the procedure itself nor submitted defensive memoranda, nor provided the requested report regarding the measures taken to comply with what was decided by the Authority with the aforementioned precautionary measure.</w:t>
      </w:r>
    </w:p>
    <w:p>
      <w:r>
        <w:t>IV. OPINION OF THE AUTHORITY FOR GUARANTEES IN COMMUNICATIONS</w:t>
      </w:r>
    </w:p>
    <w:p>
      <w:r>
        <w:t>21. Since the commercial practice subject to this measure was disseminated via the internet, on September 30, 2013, the opinion was requested from the Authority for Guarantees in Communications, pursuant to Article 27, paragraph 6, of the Consumer Code.</w:t>
      </w:r>
    </w:p>
    <w:p>
      <w:r>
        <w:rPr>
          <w:b/>
        </w:rPr>
        <w:t>[Pages 166–168]</w:t>
      </w:r>
    </w:p>
    <w:p>
      <w:r>
        <w:t>168 BULLETIN NO. 11 OF MARCH 17, 2014</w:t>
      </w:r>
    </w:p>
    <w:p>
      <w:r>
        <w:t>22. In a notice received on October 29, 2013, the aforementioned Authority deemed that the commercial practice in question is unfair pursuant to Articles 20, 21, paragraph 1, letters a), b), f) and g), paragraph 2, letter a), 22, paragraphs 1 and 4, letters a), b) and e), 23, paragraph 1, letter b), 24 and 25, paragraph 1, letter d), of the Consumer Code based on the following considerations.</w:t>
      </w:r>
    </w:p>
    <w:p>
      <w:r>
        <w:t>23. The notice states that in evaluating commercial practices such as the one in question, the international notoriety of the brand of the advertised products is relevant; the Ray-Ban brand is indeed historically associated with high fashion and luxury items aimed at a mid-high market segment, in addition to enjoying reliability regarding the quality of the products.</w:t>
      </w:r>
    </w:p>
    <w:p>
      <w:r>
        <w:t>24. The commercial practice was disseminated via the internet and is therefore capable of reaching large groups of consumers, given the nature of the advertised products, being "branded" items offered to the public in an outlet manner, it has repercussions on a large number of recipients due to their interest, in various capacities, in accessing the purchase, apparently on the website of the brand owner of the advertised products at particularly advantageous prices.</w:t>
      </w:r>
    </w:p>
    <w:p>
      <w:r>
        <w:t>25. In this context, it is decisive for the configuration of the commercial practices as unfair, the circumstance that the average consumer is not adequately informed about the nature and characteristics of the advertised products, as well as about the rights provided for the protection of the buyer in the post-sale phase and the legal guarantee of conformity of the products.</w:t>
      </w:r>
    </w:p>
    <w:p>
      <w:r>
        <w:t>26. The professional, in promoting the products in question, used images on the websites that, due to their setup and graphics, constitute clones of the original. He used the names of the sites www.discountraybansunglasses.org and www.raybanstores.com suitable for capturing the attention of the average consumer, implying that the advertised products could be purchased at a particularly convenient outlet price.</w:t>
      </w:r>
    </w:p>
    <w:p>
      <w:r>
        <w:t>27. Considering that not every omission of information is relevant for the assessment of the unfairness of the reported commercial practices, it is noted that, in this case, the advertising message, disseminated during a period of recognized economic crisis, was both "appealing" and misleading and, in any case, such as to mislead the recipients or, better, to condition their orientation in the perspective of a low-cost purchase of a product that is only apparently original.</w:t>
      </w:r>
    </w:p>
    <w:p>
      <w:r>
        <w:t>V. CONCLUDING ASSESSMENTS</w:t>
      </w:r>
    </w:p>
    <w:p>
      <w:r>
        <w:t>28. The procedure in question is aimed at ascertaining the possible unfairness of the commercial practices described above carried out by the professional, consisting of the online sale to Italian consumers of Ray-Ban branded glasses that were actually counterfeit products presented as originals.</w:t>
      </w:r>
    </w:p>
    <w:p>
      <w:r>
        <w:t>29. That said, it is noted that the cases described in the previous point II, letters a), b) and c), constitute two distinct unfair commercial practices, individually and autonomously assessable. Practice c), in this case, appears absorbed in practice a) considering that the purchase of a non-original product does not allow buyers to benefit from either the legal guarantee, as any replaced product will always be non-original, nor from the manufacturer's conformity guarantee, as the goods sold on the site in question do not fall within those produced by the brand owner. They, in fact, present themselves as structurally autonomous both due to the phase of the consumer relationship to which they pertain and due to the methods of coercion of the consumer's will.</w:t>
      </w:r>
    </w:p>
    <w:p>
      <w:r>
        <w:t>a) Sale of counterfeit products</w:t>
      </w:r>
    </w:p>
    <w:p>
      <w:r>
        <w:t>30. With specific regard to the sale of products through the websites www.discountraybansunglasses.org and www.raybanstores.com, from the documents acquired in the investigation, it emerged that the professional provided misleading information regarding the actual nature and characteristics of the products offered for sale, leading the consumer, contrary to the truth, to believe he was an authorized Ray-Ban distributor selling original products, which were actually counterfeit. It is noted that the owner of the Ray-Ban brand, due to numerous reports received from deceived customers, had the site examined by its technicians and therefore reported to the Authority that all products sold there were counterfeit.</w:t>
      </w:r>
    </w:p>
    <w:p>
      <w:r>
        <w:t>31. The perception that the products sold were original Ray-Ban branded products was reinforced by the structure of the sites, which appeared to be a true clone of the original site, in addition to the fact that the information present and the images related to the entire Ray-Ban catalog were already suitable to mislead visitors. Furthermore, the price of the proposed items was in line with outlet prices of major brand products, further amplifying the recipients' perception that they had entered outlet sites for original items and certainly not sites selling counterfeit products as later evidenced in the documents.</w:t>
      </w:r>
    </w:p>
    <w:p>
      <w:r>
        <w:t>32. The contested commercial practice appears particularly insidious in its ability to alter consumer choices and mislead them, as the structure, and in particular the graphics used, was capable of generating in consumers attracted to the sites the conviction that they could purchase an original product at an outlet price.</w:t>
      </w:r>
    </w:p>
    <w:p>
      <w:r>
        <w:t>33. It is noted that the sites in question allowed the possibility of purchasing various items with different currencies, further reinforcing the perception that the particularly convenient price could derive from the fact that it was an authorized distributor of original Ray-Ban products capable of exploiting the undeniable advantages arising from the globalization of markets during a period of deep economic crisis.</w:t>
      </w:r>
    </w:p>
    <w:p>
      <w:r>
        <w:t>34. It is evident that since these are non-original products, buyers convinced they purchased original Ray-Ban products were effectively deprived of the possibility of benefiting from the legal and conformity guarantee. Title III, Part IV, of the Consumer Code indeed provides that in the event of a conformity defect existing at the time of delivery of the good and manifesting within 2 years from the delivery itself, the consumer is entitled, against the seller, to the restoration, at no cost, of the conformity of the good through repair or replacement, or, alternatively (in the cases provided for by paragraph 7 of Article 130), to an adequate reduction of the price or the resolution of the contract.</w:t>
      </w:r>
    </w:p>
    <w:p>
      <w:r>
        <w:t>35. Since in this case, the products were counterfeit sold as originals, the consumer was effectively denied the exercise of any of his rights as the products in question by their nature cannot be protected by the guarantee of the parent company and, therefore, the described behavior constitutes a violation of Articles 20, 24 and 25, letter d), of the Consumer Code.</w:t>
      </w:r>
    </w:p>
    <w:p>
      <w:r>
        <w:t>36. Based on the above, the commercial practice under A) must also be deemed unfair pursuant to Articles 20, 21, paragraph 1, letters a), b) and e), paragraph 2, letter a), and 23, paragraph 1, letter b), as it is contrary to professional diligence and capable, through the dissemination of untrue indications and the omission of relevant information about the nature and quality of the advertised products, to appreciably distort the economic behavior of the average consumer in relation to the characteristics of the products and the concrete possibility of receiving original Ray-Ban glasses as depicted on the sites and offered for sale.</w:t>
      </w:r>
    </w:p>
    <w:p>
      <w:r>
        <w:t>37. In this context, for the purposes of the assessment of misleadingness, the omission by the professional of all necessary specifications to make the advertised offer objectively intelligible in its actual scope is relevant.</w:t>
      </w:r>
    </w:p>
    <w:p>
      <w:r>
        <w:t>b) Omissions of information regarding the identification of the professional and all consumer rights provided in the post-sale phase</w:t>
      </w:r>
    </w:p>
    <w:p>
      <w:r>
        <w:t>38. Regarding the omissions related to the identity of the professional and the omissions related to the rights of buyers based on the provisions of the Consumer Code, the commercial practice under B) must be deemed unfair pursuant to Articles 20, 21, paragraph 1, letters f) and g), and 22, paragraphs 1 and 4, letters a), b) and e), as it is contrary to professional diligence and capable of unduly conditioning the freedom of choice of the average consumer in relation to the possibility of contacting the professional and regarding the possibility of exercising contractual rights and/or the possible termination of the contractual relationship as provided and regulated by the norms protecting consumer buyers.</w:t>
      </w:r>
    </w:p>
    <w:p>
      <w:r>
        <w:t>39. On this point, the professional would have omitted to indicate on the websites www.discountraybansunglasses.org and www.raybanstores.com his identity and geographical address along with all rights provided for the protection of the consumer in the post-sale phase, including the right to replacement and/or refund and including the existence of the right of withdrawal and termination of the contract for the products and commercial operations that entail such a right.</w:t>
      </w:r>
    </w:p>
    <w:p>
      <w:r>
        <w:t>40. As for the indications on delivery methods, the very fact that the sites omit any contact information and do not allow for the correct identification of the professional makes them misleading in themselves. Nor is it valid to argue that the professional refers to hypothetical average delivery times on the sites. It can indeed be easily countered that the indication serves in any case to establish, in the recipient, a legitimate reliance on being able to enjoy the contractually provided rights but which are actually not exercisable once the goods are received due to the absolute impossibility of correctly identifying the interlocutor.</w:t>
      </w:r>
    </w:p>
    <w:p>
      <w:r>
        <w:t>41. The practice is therefore strongly detrimental to the principles of fairness and good faith, fundamental especially for those engaged in distance selling activities, and, in this case, an online selling activity at particularly convenient prices, an activity that involves charging the price of the product at the time of the order on the sites, that is, before the actual availability of the purchased good by the consumer.</w:t>
      </w:r>
    </w:p>
    <w:p>
      <w:r>
        <w:t>VI. QUANTIFICATION OF THE SANCTION</w:t>
      </w:r>
    </w:p>
    <w:p>
      <w:r>
        <w:t>42. Pursuant to the combined provisions of Article 27, paragraph 9 of the Consumer Code and Article 23, paragraph 12-quinquiesdecies of Decree Law No. 95 of July 6, 2012, as amended by the conversion law No. 135 of August 7, 2012, with the provision that prohibits the unfair commercial practice, the Authority orders the application of an administrative pecuniary sanction from €5,000 to €5,000,000, taking into account the severity and duration of the violation.</w:t>
      </w:r>
    </w:p>
    <w:p>
      <w:r>
        <w:rPr>
          <w:b/>
        </w:rPr>
        <w:t>[Pages 169–171]</w:t>
      </w:r>
    </w:p>
    <w:p>
      <w:r>
        <w:t>BULLETIN NO. 11 OF MARCH 17, 2014 171</w:t>
      </w:r>
    </w:p>
    <w:p>
      <w:r>
        <w:t>43. Furthermore, in the case of proceedings concerning a plurality of established administrative offenses, the jurisprudence has clarified how Article 8 of Law No. 689 of November 24, 1981, stating general principles regarding administrative sanctions, is fully applicable also to matters under the jurisdiction of the Antitrust Authority (Council of State, Section VI, judgments 26 of 2007 and 1271 of 2006). In particular, Judgment No. 1271 of 2006 specified that “[...] Article 8, Law No. 689/1981, allows for the legal cumulation of sanctions only in the case of a ‘formal concurrence’ of administrative offenses (a single conduct that violates the same regulatory provision multiple times, or that violates multiple regulatory provisions), and not in the case of ‘material concurrence’ of administrative offenses (multiple conducts that violate the same regulatory provision multiple times, or that violate multiple regulatory provisions)” and that “[...] Article 8, paragraph 2, Law No. 689/1981 allows for consideration of the ‘continuation’ (identity of the criminal design), in the case of ‘material concurrence’ of administrative offenses, only if they are administrative violations in the field of social security and assistance. The intent of the legislator was not to extend the regime of legal cumulation of sanctions to other types of administrative offenses.”</w:t>
      </w:r>
    </w:p>
    <w:p>
      <w:r>
        <w:t>44. In light of the jurisprudential framework thus outlined, since in the present proceedings two distinct commercial practices have been established, each with structural autonomy, carried out with conducts lacking the requirement of unity, neither the institution of formal concurrence nor that of continuation appears applicable, resulting in the exclusion of the favorable regime of legal cumulation and the necessary application of the material cumulation of sanctions.</w:t>
      </w:r>
    </w:p>
    <w:p>
      <w:r>
        <w:t>45.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46. In the specific case, moreover, the conducts in question are characterized by particular severity as they were carried out during a period of severe economic crisis, as a result of which consumers are induced to resort to alternative forms of purchasing goods (especially non-essential goods) to traditional ones, in an attempt to obtain less burdensome economic conditions. In this context, the conducts of those professionals who undermine consumer trust in e-commerce, as a potential tool for the development and revival of the production system, are to be considered particularly reprehensible, inducing prospective buyers to adhere to commercial proposals that have a high probability of not being fulfilled with the delivery of the good or of receiving a good that differs in quality and nature from that proposed, in light of the immediate loss of the availability of the sum of money corresponding to the price.</w:t>
      </w:r>
    </w:p>
    <w:p>
      <w:r>
        <w:t>47. With regard to the commercial practice under A), in assessing the severity of the violation, the following must be considered: i) the total unavailability of the professional and therefore the impossibility of quantifying their economic size; ii) the plurality of profiles of misleadingness established regarding the characteristics and nature of the products offered; iii) the wide capacity for dissemination of the practice, given the increasing recourse to e-commerce by consumers; iv) the particular nature of the products treated attributable to a famous high-fashion brand and the economic convenience of the offers; v) the extent of the economic harm caused to consumers, especially considering the methods of charging the price that occurs upon order confirmation.</w:t>
      </w:r>
    </w:p>
    <w:p>
      <w:r>
        <w:t>48. As for the duration of the violation, from the elements available in the records, it appears that the practice has been carried out at least since March 2013 and until May 11, 2013.</w:t>
      </w:r>
    </w:p>
    <w:p>
      <w:r>
        <w:t>49. Based on these elements, in relation to the practice under A), it is deemed appropriate to determine the amount of the administrative pecuniary sanction applicable to Mr. Huang Jianhai at €50,000 (fifty thousand euros).</w:t>
      </w:r>
    </w:p>
    <w:p>
      <w:r>
        <w:t>50. Regarding the commercial practice under B), in assessing the severity of the violation, the following must be considered: i) the total unavailability of the professional and therefore the impossibility of quantifying their economic size; ii) the failure to identify the professional as well as the denial of all consumer rights provided in the post-sale phase; iii) the wide capacity for dissemination of the practice, given the increasing recourse to e-commerce by consumers.</w:t>
      </w:r>
    </w:p>
    <w:p>
      <w:r>
        <w:t>51. As for the duration of the violation, from the elements available in the records, it appears that the practice has been carried out at least since March 2013 and until May 11, 2013.</w:t>
      </w:r>
    </w:p>
    <w:p>
      <w:r>
        <w:t>52. Based on these elements, in relation to the practice under B), it is deemed appropriate to determine the amount of the administrative pecuniary sanction applicable to Mr. Huang Jianhai at €50,000 (fifty thousand euros).</w:t>
      </w:r>
    </w:p>
    <w:p>
      <w:r>
        <w:t>CONSIDERED, therefore, in accordance with the opinion rendered by the Authority for Communications Guarantees, based on the aforementioned considerations, that the commercial practice under A) must be deemed unfair pursuant to Articles 20, 21, paragraph 1, letters a), b) and e), paragraph 2, letter a), 23, paragraph 1, letter b), 24 and 25, letter d) of the Consumer Code, as it is contrary to professional diligence and capable, through the dissemination of misleading indications and the omission of relevant information, of appreciably distorting the economic behavior of the average consumer in relation to the actual characteristics of originality of the products offered;</w:t>
      </w:r>
    </w:p>
    <w:p>
      <w:r>
        <w:t>CONSIDERED, also, in accordance with the opinion rendered by the Authority for Communications Guarantees, based on the aforementioned considerations, that the commercial practice under B) is deemed unfair pursuant to Articles 20, 21, paragraph 1, letters f) and g), and 22, paragraphs 1 and 4, letters a), b) and e), as it is contrary to professional diligence and capable, through omissive or obstructive conducts, of unduly conditioning the freedom of choice of the average consumer in relation to the exercise of contractual rights and/or the possible interruption of the contractual relationship;</w:t>
      </w:r>
    </w:p>
    <w:p>
      <w:r>
        <w:t>1 Date on which the precautionary measure decided by the Authority on May 9, 2013 was made effective, preventing access to the websites by users through connection requests to the internet from the Italian territory.</w:t>
        <w:br/>
        <w:t>2 Date on which the precautionary measure decided by the Authority on May 9, 2013 was made effective, preventing access to the websites by users through connection requests to the internet from the Italian territory.</w:t>
      </w:r>
    </w:p>
    <w:p>
      <w:r>
        <w:t>BULLETIN NO. 11 OF MARCH 17, 2014 173</w:t>
      </w:r>
    </w:p>
    <w:p>
      <w:r>
        <w:t>RESOLUTION</w:t>
      </w:r>
    </w:p>
    <w:p>
      <w:r>
        <w:t>a) that the commercial practice described in point II, letter a), of this provision, carried out by Mr. Huang Jianhai, constitutes, for the reasons and within the limits stated in the motivation, an unfair commercial practice pursuant to Articles 20, 21, paragraph 1, letters a), b) and e), paragraph 2, letter a), 23, paragraph 1, letter b), 24 and 25, letter d), of the Consumer Code and prohibits its dissemination or continuation;</w:t>
      </w:r>
    </w:p>
    <w:p>
      <w:r>
        <w:t>b) that the commercial practice described in point II, letter b), of this provision, carried out by Mr. Huang Jianhai, constitutes, for the reasons and within the limits stated in the motivation, an unfair commercial practice pursuant to Articles 20, 21, paragraph 1, letters f) and g), and 22, paragraphs 1 and 4, letters a), b) and e), of the Consumer Code, and prohibits its dissemination or continuation;</w:t>
      </w:r>
    </w:p>
    <w:p>
      <w:r>
        <w:t>c) to impose on Mr. Huang Jianhai, regarding the practice under a), an administrative pecuniary sanction of €50,000 (fifty thousand euros);</w:t>
      </w:r>
    </w:p>
    <w:p>
      <w:r>
        <w:t>d) to impose on Mr. Huang Jianhai, regarding the practice under b), an administrative pecuniary sanction of €50,000 (fifty thousand euros);</w:t>
      </w:r>
    </w:p>
    <w:p>
      <w:r>
        <w:t>The administrative sanctions referred to in the previous letters c) and d) must be paid within thirty days from the notification of this provision, using the attached F24 model with identifying elements, pursuant to Legislative Decree No. 241/1997. This model can be submitted in paper format at the counters of banks, Poste Italiane S.p.A., and Collection Agents. Alternatively, the model can be submitted electronically, with a charge to one's bank or postal account, through home banking and CBI services provided by banks or Poste Italiane S.p.A., or by using the telematic services of the Revenue Agency, available on the website www.agenziaentrate.gov.it.</w:t>
      </w:r>
    </w:p>
    <w:p>
      <w:r>
        <w:t>Pursuant to Article 37, paragraph 49, of Decree-Law No. 223/2006, subjects holding a VAT number are required to submit the F24 model electronically.</w:t>
      </w:r>
    </w:p>
    <w:p>
      <w:r>
        <w:t>After the aforementioned deadline, for the period of delay of less than six months, late payment interest must be paid at the legal rate starting from the day after the payment deadline until the date of payment. In case of further delay in fulfillment,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payment interest accrued during the same period.</w:t>
      </w:r>
    </w:p>
    <w:p>
      <w:r>
        <w:t>Immediate communication of the payment must be given to the Authority by sending a copy of the model certifying the payment made.</w:t>
      </w:r>
    </w:p>
    <w:p>
      <w:r>
        <w:t>Pursuant to the combined provisions of Article 27, paragraph 12, of the Consumer Code and Article 23, paragraph 12-quinquiesdecies, of Decree-Law No. 95 of July 6, 2012, converted with amendments with...</w:t>
      </w:r>
    </w:p>
    <w:p>
      <w:r>
        <w:rPr>
          <w:b/>
        </w:rPr>
        <w:t>[Pages 172–174]</w:t>
      </w:r>
    </w:p>
    <w:p>
      <w:r>
        <w:t>174 BULLETIN NO. 11 OF MARCH 17, 2014</w:t>
      </w:r>
    </w:p>
    <w:p>
      <w:r>
        <w:t>In the event of non-compliance with this resolution, the Authority shall impose an administrative pecuniary sanction ranging from 10,000 to 5,000,000 euros. In cases of repeated non-compliance, the Authority may order the suspension of business activity for a period not exceeding thirty days.</w:t>
      </w:r>
    </w:p>
    <w:p>
      <w:r>
        <w:t>This provision will be notified to the interested parties and published in the Bulletin of the Competition and Market Authority.</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r>
    </w:p>
    <w:p>
      <w:r>
        <w:t>THE SECRETARY GENERAL THE PRESIDENT</w:t>
        <w:br/>
        <w:t>Roberto Chieppa Giovanni Pitruzzella</w:t>
      </w:r>
    </w:p>
    <w:p>
      <w:r>
        <w:t>BULLETIN NO. 11 OF MARCH 17, 2014</w:t>
      </w:r>
    </w:p>
    <w:p>
      <w:r>
        <w:t>PS8943 - AUTOESCAPE - ARBITRARY CHARGES</w:t>
        <w:br/>
        <w:t>Provision No. 24645</w:t>
      </w:r>
    </w:p>
    <w:p>
      <w:r>
        <w:t>THE COMPETITION AND MARKET AUTHORITY</w:t>
      </w:r>
    </w:p>
    <w:p>
      <w:r>
        <w:t>IN ITS MEETING of November 28, 2013;</w:t>
      </w:r>
    </w:p>
    <w:p>
      <w:r>
        <w:t>HEARD the Rapporteur President Giovanni Pitruzzella;</w:t>
      </w:r>
    </w:p>
    <w:p>
      <w:r>
        <w:t>VIEWED Part II, Title III, of Legislative Decree No. 206 of September 6, 2005, containing the "Consumer Code" and subsequent amendments (hereinafter, Consumer Code);</w:t>
      </w:r>
    </w:p>
    <w:p>
      <w:r>
        <w:t>VIEWED Article 23, paragraph 12-quinquiesdecies, of Decree Law No. 95 of July 6, 2012, as amended by Law No. 135 of August 7, 2012, which increased the maximum penalty to €5,000,000;</w:t>
      </w:r>
    </w:p>
    <w:p>
      <w:r>
        <w:t>VIEWED the "Regulation on investigative procedures regarding misleading and comparative advertising, unfair commercial practices, and unfair clauses" (hereinafter, Regulation), adopted by the Authority with resolution of August 8, 2012;</w:t>
      </w:r>
    </w:p>
    <w:p>
      <w:r>
        <w:t>VIEWED the documents of the proceedings;</w:t>
      </w:r>
    </w:p>
    <w:p>
      <w:r>
        <w:t>I. THE PARTY</w:t>
      </w:r>
    </w:p>
    <w:p>
      <w:r>
        <w:t>1. Auto Escape S.A., a public limited company based in Pertuis, France, as a professional pursuant to Article 18, letter b), of the Consumer Code. In particular, Auto Escape S.A. is a company that, through agreements with car rental companies in various countries where it operates, seeks the best offers available on the market. It is present in 125 countries, of which 13 are in Europe. In the fiscal year ending September 30, 2012, the company achieved a turnover of approximately 40 million euros.</w:t>
      </w:r>
    </w:p>
    <w:p>
      <w:r>
        <w:t>II. THE COMMERCIAL PRACTICE</w:t>
      </w:r>
    </w:p>
    <w:p>
      <w:r>
        <w:t>2. The proceedings concern the behavior of the professional in the car rental service booking system, in Italian, consisting of communicating to consumers at a later time than that of the online booking – consequently proceeding with the related charge – the so-called "drop-off fees," that is, an additional cost related to returning the vehicle to a different location than that of pick-up. It is emphasized that the circumstance that the vehicle will be picked up in one location and returned in another is known only at the time of the quote, that is, when the consumer selects, along with the other characteristics of the requested service, the pick-up and return locations of the vehicle.</w:t>
      </w:r>
    </w:p>
    <w:p>
      <w:r>
        <w:t>3. In particular, a report received in July 2012 complained that the consumer, after booking through the website and paying for the rental of the vehicle (to be picked up in one location and returned in another), subsequently received an email requesting payment of an amount in addition to that quoted. The booking was canceled due to the consumer's refusal to pay this additional amount.</w:t>
      </w:r>
    </w:p>
    <w:p>
      <w:r>
        <w:t>4. The second report, received in August 2012, is from a consumer who was charged on their credit card an amount greater than that quoted on the site. Following the consumer's request for clarification, the professional communicated that this increase was due to the service of pick-up and delivery at different locations, and following the consumer's complaints, the booking was canceled.</w:t>
      </w:r>
    </w:p>
    <w:p>
      <w:r>
        <w:t>5. In general, from the checks carried out ex officio, the professional in the car rental services offered through the website www.autoescape.it does not always quantify, at the time of the online booking of the vehicle, the amount to be paid for the drop-off fees. In particular, in cases where the amount is not indicated, the site invites the consumer to call a premium-rate number, specifying that "drop-off fees may be charged at the time of vehicle pick-up."</w:t>
      </w:r>
    </w:p>
    <w:p>
      <w:r>
        <w:t>III. THE FINDINGS OF THE PROCEEDINGS</w:t>
      </w:r>
    </w:p>
    <w:p>
      <w:r>
        <w:t>1) The course of the proceedings</w:t>
      </w:r>
    </w:p>
    <w:p>
      <w:r>
        <w:t>6. In relation to the commercial practice described above, on May 10, 2013, the Party was notified of the initiation of investigative proceedings No. PS8943 for possible violation of Article 20, paragraph 2, Article 21, paragraph 1, letters b) and d), and Article 22 of the Consumer Code.</w:t>
      </w:r>
    </w:p>
    <w:p>
      <w:r>
        <w:t>7. In this context, the misleading nature of the practice was particularly hypothesized, consisting of not disclosing at the time of booking the vehicle on the website www.autoescape.it the exact amount to be paid for the drop-off fees, inviting to call a premium-rate number. Concurrently with the initiation communication to the professional, some information was requested, accompanied by the relevant documentation.</w:t>
      </w:r>
    </w:p>
    <w:p>
      <w:r>
        <w:t>8. On July 25, 2013, the initiation of the proceedings was communicated to the reporters.</w:t>
      </w:r>
    </w:p>
    <w:p>
      <w:r>
        <w:t>9. On June 12, 2013, the professional submitted a memorandum, providing some of the requested information. On September 27, 2013, further information was provided.</w:t>
      </w:r>
    </w:p>
    <w:p>
      <w:r>
        <w:t>10. On October 1, 2013, the Party was notified of the conclusion date of the investigative phase pursuant to Article 16, paragraph 1, of the Regulation.</w:t>
      </w:r>
    </w:p>
    <w:p>
      <w:r>
        <w:t>2) The evidence acquired</w:t>
      </w:r>
    </w:p>
    <w:p>
      <w:r>
        <w:t>a) The service offered by Auto Escape</w:t>
      </w:r>
    </w:p>
    <w:p>
      <w:r>
        <w:t>11. The professional defines itself on its website as "the car tour operator," negotiating "the best available rates with its international suppliers and developing on this basis the simplest and most complete offers possible." In particular, the professional indicates that it has agreements with many car rental companies, chosen, within the same country, from those that have demonstrated reliability and quality of service, in order to protect its customers from unpleasant inconveniences thanks, for example, to the greater number of available cars.</w:t>
      </w:r>
    </w:p>
    <w:p>
      <w:r>
        <w:t>12. Regarding the rates, the professional, also through its website, offers a "turnkey" car rental service specifying that "every rental with Auto Escape includes unlimited or limited mileage, insurance, and VAT" and that "Auto Escape customers are informed from the outset of the total cost of the rental. The rate proposed by Auto Escape includes all possible elements of the rental: vehicle category, duration, location. If you need to add some accessories, such as: roof racks, snow chains, child seats, the cost (payable locally upon vehicle pick-up) is nonetheless indicated in the rental proposal.</w:t>
      </w:r>
    </w:p>
    <w:p>
      <w:r>
        <w:rPr>
          <w:b/>
        </w:rPr>
        <w:t>[Pages 175–177]</w:t>
      </w:r>
    </w:p>
    <w:p>
      <w:r>
        <w:t>BULLETIN NO. 11 OF MARCH 17, 2014 177</w:t>
      </w:r>
    </w:p>
    <w:p>
      <w:r>
        <w:t>The rental can be booked by phone, credit card, or through the website. Payment is confirmed by the validity of the vehicle reservation. Furthermore, once the reservation is made and confirmed, the price remains guaranteed.</w:t>
      </w:r>
    </w:p>
    <w:p>
      <w:r>
        <w:t>b) The elements acquired</w:t>
      </w:r>
    </w:p>
    <w:p>
      <w:r>
        <w:t>13. The elements acquired in the official proceedings and through the information provided by the professional show that in the event the consumer wishes to book a car rental service choosing to pick up and return the vehicle at two different locations, instead of receiving clear indications about the existence and amount of such additional charges, they are invited to call a premium number to obtain information in this regard (as can be seen from screen n.1).</w:t>
      </w:r>
    </w:p>
    <w:p>
      <w:r>
        <w:t>Screen n.1</w:t>
      </w:r>
    </w:p>
    <w:p>
      <w:r>
        <w:t>178 BULLETIN NO. 11 OF MARCH 17, 2014</w:t>
      </w:r>
    </w:p>
    <w:p>
      <w:r>
        <w:t>3) The arguments of the Party</w:t>
      </w:r>
    </w:p>
    <w:p>
      <w:r>
        <w:t>14. The Party specified that the conduct, consisting of not indicating in some cases the price of the requested service, referring the consumer to a premium number, is due to the impossibility of providing the requested information at the time of online booking. In its response dated June 12, 2013, Auto Escape S.A. claims that if the selected vehicle is already linked to a specific company, the amount related to the drop-off fee is highlighted on the website, in the quote or in the booking screen.</w:t>
      </w:r>
    </w:p>
    <w:p>
      <w:r>
        <w:t>15. If, on the other hand, this amount is not known or not automatically provided by the rental company, a note appears on the screen suggesting the customer contact Auto Escape S.A. Before the reservation is confirmed, the customer receives an email indicating the amount of the drop-off fee. The customer must respond via email or phone. If they do not agree to pay the amount related to the service in question, the reservation is canceled and the amount paid up to that point is refunded to the customer. If, on the contrary, the customer accepts, the reservation is validated.</w:t>
      </w:r>
    </w:p>
    <w:p>
      <w:r>
        <w:t>16. The Party states that it is unable to specify how long the website www.autoescape.com has been present in the configuration subject to dispute.</w:t>
      </w:r>
    </w:p>
    <w:p>
      <w:r>
        <w:t>IV. OPINION OF THE AUTHORITY FOR GUARANTEES IN COMMUNICATIONS</w:t>
      </w:r>
    </w:p>
    <w:p>
      <w:r>
        <w:t>17. Since the commercial practice subject to this provision has been disseminated via the internet, on October 16, 2013, an opinion was requested from the Authority for Guarantees in Communications, pursuant to Article 27, paragraph 6, of the Consumer Code.</w:t>
      </w:r>
    </w:p>
    <w:p>
      <w:r>
        <w:t>18. In an opinion received on November 15, 2013, the aforementioned Authority deemed that the commercial practice in question is unfair pursuant to Articles 20, 21, and 22 of the Consumer Code.</w:t>
      </w:r>
    </w:p>
    <w:p>
      <w:r>
        <w:t>19. The practice under dispute, materializing in the offer, through the online channel, of an additional service with respect to the car rental, without adequately highlighting to the potential consumer the actual final costs attributable to the use of the specific service, is considered potentially capable of unduly influencing consumers' choices regarding the decision to accept or not the commercial offer of the professional in question.</w:t>
      </w:r>
    </w:p>
    <w:p>
      <w:r>
        <w:t>V. CONCLUDING ASSESSMENTS</w:t>
      </w:r>
    </w:p>
    <w:p>
      <w:r>
        <w:t>24. The behavior exhibited by the professional, as illustrated above, is in violation of Article 20, paragraph 2, 21, paragraph 1, letters b) and d), and 22 of the Consumer Code. As will be argued below, this practice is indeed capable of appreciably distorting the economic behavior of the average consumer, leading them to make a commercial decision they would not have otherwise made, by omitting relevant information they need.</w:t>
      </w:r>
    </w:p>
    <w:p>
      <w:r>
        <w:t>25. In general, it is observed that the total price for renting a vehicle must be clearly and fully indicated from the first contact with the consumer, so as to make the final expenditure to be paid for its purchase immediately and clearly perceivable. The online booking system present on the Italian language website of Auto Escape does not, as noted during the investigative checks, comply with the aforementioned principles of transparency and completeness of information.</w:t>
      </w:r>
    </w:p>
    <w:p>
      <w:r>
        <w:t>26. The investigative findings have shown that the indications regarding the price of the car rental service with delivery of the vehicle at a location different from that of pickup are not, at times, adequately provided, thus preventing the consumer from having precise knowledge regarding the total amount requested for the car rental service.</w:t>
      </w:r>
    </w:p>
    <w:p>
      <w:r>
        <w:t>27. In fact, the amount of the "drop-off fees" is not consistently indicated at the time of online booking, as in some situations the site invites the consumer to contact a premium number to obtain information about the amount to be paid for this additional service and thus know the total cost for renting the vehicle.</w:t>
      </w:r>
    </w:p>
    <w:p>
      <w:r>
        <w:t>29. It is noted that the amount related to the "drop-off fees" constitutes an inevitable and foreseeable cost element of the car rental service offered by Auto Escape, since it allows in its online booking system the purchase of the rental service with delivery at a location different from the pickup. It is therefore an integral part of the rental cost offered, inseparable and unavoidable.</w:t>
      </w:r>
    </w:p>
    <w:p>
      <w:r>
        <w:t>30. The methods of representing the price of the service on the professional's website, therefore, according to the now consolidated orientation of the Authority, are to be considered unfair as they do not adequately represent or do not include ab initio in the price of the proposed rental service a necessary cost element of the offered service, thus providing an ambiguous and incomplete representation of the economic conditions required and misleading the consumer regarding the overall final expenditure to be incurred.</w:t>
      </w:r>
    </w:p>
    <w:p>
      <w:r>
        <w:t>31. Furthermore, the argument of the professional that the conduct in question, consisting of not always indicating the price of the requested service, inviting the consumer to call a premium number to receive information about the price to be paid, is due to the company's inability to provide the requested information at the time of online booking, cannot be accepted in any way. In fact, it is the responsibility of the professional offering a service, even in the case of resale of others' services, to provide a clear representation of the price including all associated and foreseeable economic burdens ex ante, and cannot shift the burden to the consumer to take action to know this amount.</w:t>
      </w:r>
    </w:p>
    <w:p>
      <w:r>
        <w:t>31. More generally, however, given the professional's activity of offering car rental services from other professionals, it does not even seem plausible that this cost is not knowable ex ante, precisely before proceeding to offer consumers the car rental service. In fact, as also indicated on its website, the offer of the service in question is possible based on agreements with partner companies that provide the car rental service and therefore through these relationships, this cost is not only fully known and knowable but is certainly the subject of their commercial relationships.</w:t>
      </w:r>
    </w:p>
    <w:p>
      <w:r>
        <w:t>32. In conclusion, the methods sometimes used to inform consumers about the presence of such a supplement (through a subsequent communication directed to the consumer) do not meet the criteria of transparency and completeness of information that the company should have adhered to, as they do not allow the consumer, from the first contact, to know the actual cost of the rental service, inclusive of the set of cost items that compose it.</w:t>
      </w:r>
    </w:p>
    <w:p>
      <w:r>
        <w:rPr>
          <w:b/>
        </w:rPr>
        <w:t>[Pages 178–180]</w:t>
      </w:r>
    </w:p>
    <w:p>
      <w:r>
        <w:t>180 BULLETIN NO. 11 OF MARCH 17, 2014</w:t>
      </w:r>
    </w:p>
    <w:p>
      <w:r>
        <w:t>33. In this case, the conduct of the carrier is therefore found to be non-compliant with the level of professional diligence reasonably expected, taking into account the quality of the professional itself and the characteristics of the activity performed.</w:t>
      </w:r>
    </w:p>
    <w:p>
      <w:r>
        <w:t>The respect for the general principle of fairness requires professionals to ensure, in their commercial communications, tariff transparency and clarity of the information provided to consumers in order to allow them a full and immediate perception of the essential elements of the proposed offers; transparency and clarity that, in the case at hand, are compromised due to the undue separation from the total rental price of an economically foreseeable burden ex ante.</w:t>
      </w:r>
    </w:p>
    <w:p>
      <w:r>
        <w:t>20. Therefore, in accordance with the opinion rendered by the Authority for Communications Guarantees, the commercial practice in question is found to be unfair pursuant to Article 20, paragraph 2, Article 21, paragraph 1, letters b) and d), and Article 22 of the Consumer Code, as it is contrary to professional diligence and capable, through the omission of relevant information regarding the price of the additional service requested and therefore the total amount to be paid for the rental of the car, of appreciably distorting the economic behavior of the consumer, potentially leading them to make a commercial decision they would not have otherwise made.</w:t>
      </w:r>
    </w:p>
    <w:p>
      <w:r>
        <w:t>VI. QUANTIFICATION OF THE SANCTION</w:t>
      </w:r>
    </w:p>
    <w:p>
      <w:r>
        <w:t>21. Pursuant to the combined provisions of Article 27, paragraph 9, of the Consumer Code and Article 23, paragraph 12-quinquiesdecies, of Law Decree No. 95 of July 6, 2012, as amended by Law No. 135 of August 7, 2012, with the provision that prohibits the unfair commercial practice, the Authority orders the application of an administrative pecuniary sanction from €5,000 to €5,000,000, taking into account the severity and duration of the violation.</w:t>
      </w:r>
    </w:p>
    <w:p>
      <w:r>
        <w:t>22.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23. With regard to the severity of the violation found, account is taken primarily of the economic size of Auto Escape S.A., a company that achieved revenues of approximately €40 million in the fiscal year ending September 30, 2012.</w:t>
      </w:r>
    </w:p>
    <w:p>
      <w:r>
        <w:t>24. As for the duration of the violation, since the Professional did not indicate the start date of the practice itself, it can be assumed that the conduct in question was at least in effect from the date of the first report (i.e., July 19, 2012) to the current date, considering that the professional's website continues to be characterized by the same presentation methods of the abandonment costs as extensively illustrated above.</w:t>
      </w:r>
    </w:p>
    <w:p>
      <w:r>
        <w:t>25. Considering these elements, it is deemed appropriate to determine the amount of the administrative pecuniary sanction at €10,000 (ten thousand euros).</w:t>
      </w:r>
    </w:p>
    <w:p>
      <w:r>
        <w:t>THEREFORE, in accordance with the opinion of the Authority for Communications Guarantees, based on the considerations set forth above, the commercial practice in question is found to be unfair pursuant to Articles 20, paragraph 2 and 21, paragraph 1, letters b) and d), and Article 22 of the Consumer Code, as it is contrary to professional diligence and capable, through the omission of information regarding the cost of the so-called "abandonment fees," of appreciably distorting the economic behavior of the consumer in relation to the cost of the services marketed by the professional;</w:t>
      </w:r>
    </w:p>
    <w:p>
      <w:r>
        <w:t>RESOLVES</w:t>
      </w:r>
    </w:p>
    <w:p>
      <w:r>
        <w:t>a) that the commercial practice described in point II of this provision, carried out by the company Auto Escape S.A., constitutes, for the reasons and within the limits set forth in the motivation, an unfair commercial practice pursuant to Articles 20, paragraph 2, 21, paragraph 1, letters b) and d), and Article 22 of the Consumer Code, and prohibits its dissemination or continuation;</w:t>
      </w:r>
    </w:p>
    <w:p>
      <w:r>
        <w:t>b) to impose on the company Auto Escape S.A., with regard to the unfair commercial practice referred to in the previous letter a), an administrative pecuniary sanction of €10,000 (ten thousand euros);</w:t>
      </w:r>
    </w:p>
    <w:p>
      <w:r>
        <w:t>c) that the professional communicates to the Authority, within sixty days from the notification of this provision, the initiatives taken in compliance with the injunction referred to in point a).</w:t>
      </w:r>
    </w:p>
    <w:p>
      <w:r>
        <w:t>The administrative sanction referred to in the previous letter b) must be paid within thirty days from the notification of this provision, using the attached F24 model with identifying elements, pursuant to Legislative Decree No. 241/1997.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w:t>
      </w:r>
    </w:p>
    <w:p>
      <w:r>
        <w:t>Pursuant to Article 37, paragraph 49, of Law Decree No. 223/2006, VAT-registered subjects are required to submit the F24 model electronically.</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payment interest accrued during the same period.</w:t>
      </w:r>
    </w:p>
    <w:p>
      <w:r>
        <w:t>Immediate communication of the payment must be given to the Authority by sending a copy of the model certifying the payment made.</w:t>
      </w:r>
    </w:p>
    <w:p>
      <w:r>
        <w:t>This provision will be notified to the interested parties and published in the Bulletin of the Authority for Competition and the Market.</w:t>
      </w:r>
    </w:p>
    <w:p>
      <w:r>
        <w:t>182 BULLETIN NO. 11 OF MARCH 17, 2014</w:t>
      </w:r>
    </w:p>
    <w:p>
      <w:r>
        <w:t>Pursuant to the combined provisions of Article 27, paragraph 12, of the Consumer Code and Article 23, paragraph 12-quinquiesdecies, of Law Decree No. 95 of July 6, 2012, as amended by Law No. 135 of August 7, 2012,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Administrative Process Code (Legislative Decree No. 104 of July 2, 2010),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r>
    </w:p>
    <w:p>
      <w:r>
        <w:t>Roberto Chieppa Giovanni Pitruzzella</w:t>
      </w:r>
    </w:p>
    <w:p>
      <w:r>
        <w:rPr>
          <w:b/>
        </w:rPr>
        <w:t>[Pages 181–183]</w:t>
      </w:r>
    </w:p>
    <w:p>
      <w:r>
        <w:t>BULLETIN NO. 11 OF MARCH 17, 2014 183</w:t>
      </w:r>
    </w:p>
    <w:p>
      <w:r>
        <w:t xml:space="preserve">PS8905 - TOD'S COUNTERFEIT SITES.  </w:t>
        <w:br/>
        <w:t xml:space="preserve">Provision No. 24700  </w:t>
        <w:br/>
        <w:t xml:space="preserve">THE ANTITRUST AUTHORITY  </w:t>
        <w:br/>
        <w:t xml:space="preserve">IN ITS MEETING of December 10, 2013;  </w:t>
        <w:br/>
        <w:t xml:space="preserve">HEARD the Rapporteur Dr. Salvatore Rebecchini;  </w:t>
        <w:br/>
        <w:t xml:space="preserve">VIEWED Part II, Title III, of Legislative Decree No. 206 of September 6, 2005, containing the "Consumer Code" and subsequent amendments (hereinafter, Consumer Code);  </w:t>
        <w:br/>
        <w:t xml:space="preserve">VIEWED Article 23, paragraph 12-quinquiesdecies, of Decree-Law No. 95 of July 6, 2012, as amended by Law No. 135 of August 7, 2012, which increased the maximum administrative fine to 5,000,000 euros;  </w:t>
        <w:br/>
        <w:t xml:space="preserve">VIEWED the "Regulation on investigative procedures regarding misleading and comparative advertising, unfair commercial practices, and unfair clauses" (hereinafter, Regulation), adopted by the Authority with resolution of August 8, 2012;  </w:t>
        <w:br/>
        <w:t xml:space="preserve">VIEWED its provision of June 5, 2013, whereby the adoption of the precautionary measure was decided, pursuant to Article 27, paragraph 3, of the Consumer Code;  </w:t>
        <w:br/>
        <w:t>VIEWED the documents of the proceedings;</w:t>
      </w:r>
    </w:p>
    <w:p>
      <w:r>
        <w:t xml:space="preserve">I. THE PARTIES  </w:t>
        <w:br/>
        <w:t xml:space="preserve">1. Mr. Yao MingZhu, owner and registrant of the domain names todssoldes.net (registered at IP address 94.102.53.160), todsfrance.net, chaussurestods.net (registered at IP address 94.102.55.220), todsshoes2012.com and todsshoeuk.com (registered at IP address 89.248.172.100), in his capacity as a professional, pursuant to Article 18, letter b), of the Consumer Code.  </w:t>
        <w:br/>
        <w:t>2. Indicam, Institute of Centromarca for the defense and identification of authentic trademarks and for the fight against counterfeiting, in its capacity as notifier.</w:t>
      </w:r>
    </w:p>
    <w:p>
      <w:r>
        <w:t xml:space="preserve">II. THE COMMERCIAL PRACTICES  </w:t>
        <w:br/>
        <w:t xml:space="preserve">3. The proceedings concern the behavior carried out by the professional through the websites identified by the domain names todssoldes.net, todsfrance.net, chaussurestods.net, todsshoes2012.com and todsshoeuk.com, consisting of:  </w:t>
        <w:br/>
        <w:t xml:space="preserve">A) offering for sale footwear whose presentation faithfully reproduces (lines, colors, model names, distinctive signs, etc.) the corresponding products marketed by the owner of the "Tod’s" trademark, through websites that have an overall appearance (layout, graphics, product presentation images, distinctive signs, etc.) such as to present themselves as clones of the trademark owner's site, as well as identified by domain names that, reproducing in the string the denominative part of the trademark, are already in themselves likely to mislead visitors; all this in light of what was stated by the trademark owner, according to whom the products offered for sale through the aforementioned websites are not original, nor is there any contractual relationship between the trademark owner and the professional that would justify the circumstance that the latter presents himself to the public of consumers as authorized to use the trademark "Tod’s." This is evidenced by the notification from the Indicam association, which forwarded to the Authority the complaint from the trademark owner who, in response to complaints from some buyers, claims to have conducted a thorough verification of the websites in question through its technicians to determine whether the products offered for sale were original. According to the statement from the trademark owner "Tod’s," it appears that all the items sold were counterfeit products;  </w:t>
        <w:br/>
        <w:t>B) failing to disclose, on the aforementioned websites, either their identity or their geographical address, as well as failing to include any information regarding all rights provided for the protection of the consumer in the post-sale phase, including the right to replacement or refund and including the existence of the right of withdrawal and termination of the contract for products and commercial transactions that entail such a right.</w:t>
      </w:r>
    </w:p>
    <w:p>
      <w:r>
        <w:t xml:space="preserve">4. In light of the above, the commercial practices subject to the proceedings are as follows:  </w:t>
        <w:br/>
        <w:t xml:space="preserve">A) sale of counterfeit products;  </w:t>
        <w:br/>
        <w:t>B) omissions of information regarding the identification of the professional and all consumer rights provided in the post-sale phase.</w:t>
      </w:r>
    </w:p>
    <w:p>
      <w:r>
        <w:t xml:space="preserve">III. THE OUTCOMES OF THE PROCEEDINGS  </w:t>
        <w:br/>
        <w:t xml:space="preserve">1. The course of the proceedings  </w:t>
        <w:br/>
        <w:t xml:space="preserve">5. Based on the information acquired in the records, on May 28, 2013, the investigative procedure PS8905 was initiated against Mr. Yao MingZhu, pursuant to Article 27, paragraph 3, of the Consumer Code, as well as pursuant to Article 6 of the Regulation. In this context, it was hypothesized, for each of the behaviors described in the previous point II, the integration of as many unfair commercial practices. Specifically, it was hypothesized:  </w:t>
        <w:br/>
        <w:t xml:space="preserve">as for practice A), the violation of the provisions of Articles 20 and 21, paragraph 1, letters b) and f), as well as 21, paragraph 2, letter a), of the Consumer Code;  </w:t>
        <w:br/>
        <w:t>as for practice B), the violation of the provisions of Articles 20 and 22, paragraph 1, with specific reference to the provisions of the same Article 22, paragraph 4, letters b) and e), as well as Article 59 of the Consumer Code.</w:t>
      </w:r>
    </w:p>
    <w:p>
      <w:r>
        <w:t>6. The Authority, with a resolution adopted in the meeting of June 5, 2013, ordered that Mr. Yao MingZhu, pursuant to Article 27, paragraph 3, of the Consumer Code and Article 8, paragraph 1, of the Regulation, suspend any activity aimed at disseminating the contents of the websites identified by the domain names todssoldes.net, todsfrance.net, chaussurestods.net, todsshoes2012.com and todsshoeuk.com, with respect to access requests from users connected to the internet from Italian territory.</w:t>
      </w:r>
    </w:p>
    <w:p>
      <w:r>
        <w:t>7. With the same resolution, the Authority ordered, pursuant to Articles 14, paragraph 3, 15, paragraph 2 and 16, paragraph 3 of Legislative Decree No. 70 of April 9, 2003, that the subjects referred to in the same norms, who made accessible the websites identified by the domain names todssoldes.net, todsfrance.net, chaussurestods.net, todsshoes2012.com and todsshoeuk.com, block, in case of non-compliance by Mr. Yao MingZhu, the access requests to such sites from users connected to the internet from Italian territory.</w:t>
      </w:r>
    </w:p>
    <w:p>
      <w:r>
        <w:t>8. Mr. Yao MingZhu having failed to comply with the provision, the Authority requested the collaboration of the military of the Antitrust Group of the Special Unit for Market Protection of the Guardia di Finanza, pursuant to Article 3, paragraph 1 of Legislative Decree No. 68 of March 19, 2001. Specifically, the military of the Guardia di Finanza were requested to carry out all necessary activities to ensure that the subjects referred to in Articles 14, paragraph 3, 15, paragraph 2 and 16, paragraph 3 of Legislative Decree No. 70 of April 9, 2003, blocked the access requests as described above.</w:t>
      </w:r>
    </w:p>
    <w:p>
      <w:r>
        <w:t>9. The precautionary measure was executed on June 13, 2013.</w:t>
      </w:r>
    </w:p>
    <w:p>
      <w:r>
        <w:t>10. Concurrently with the initiation of the proceedings, the professional was also informed of the burden of providing evidence regarding the accuracy of the factual data related to the investigation, pursuant to Article 27, paragraph 5 of the Consumer Code and Article 15 of the Regulation.</w:t>
      </w:r>
    </w:p>
    <w:p>
      <w:r>
        <w:t>11. The Party did not fulfill the burden of proof and did not participate in the proceedings.</w:t>
      </w:r>
    </w:p>
    <w:p>
      <w:r>
        <w:t>12. On October 16 and 28, 2013, the parties were notified of the deadline for the conclusion of the investigative phase.</w:t>
      </w:r>
    </w:p>
    <w:p>
      <w:r>
        <w:t xml:space="preserve">2. The evidence acquired  </w:t>
        <w:br/>
        <w:t>13. The circumstance that the information provided through the websites www.todssoldes.net, www.todsfrance.net, www.chaussurestods.net, www.todsshoes2012.com and www.todsshoeuk.com, were likely to mislead the recipients regarding the nature and commercial origin of the product, as well as the nature, qualifications, and rights of the professional, is confirmed by the notification sent to the Authority by the Indicam association. The aforementioned association forwarded to the Authority the complaint from the trademark owner "Tod’s," who, in response to complaints from some buyers regarding the quality of the advertised products and having received some requests for warranty performance on the same, states that it has conducted, through its technicians, a thorough verification of the single-brand sales sites www.todssoldes.net, www.todsfrance.net, www.chaussurestods.net, www.todsshoes2012.com and www.todsshoeuk.com to determine whether the products advertised there were original. According to the statement from the trademark owner "Tod’s," it appears that all the items offered for sale on the aforementioned sites were counterfeit products.</w:t>
      </w:r>
    </w:p>
    <w:p>
      <w:r>
        <w:t>14. Furthermore, the sites in question do not disclose either the identity or the geographical address of the professional, nor is there any information regarding all rights provided for the protection of the consumer in the post-sale phase.</w:t>
      </w:r>
    </w:p>
    <w:p>
      <w:r>
        <w:t>15. In fact, any indication regarding general contract conditions is omitted, nor are there indications regarding the existence of the right of withdrawal in favor of consumer buyers and the related times and methods for exercising the same. Moreover, the professional, presumably due to the fact that he offers counterfeit products that by their nature cannot be protected by the manufacturer's warranty, omits the information according to which, in case of a lack of conformity existing at the time of delivery of the good and manifesting within 2 years from the delivery itself, the consumer is entitled, against the seller, to restore, at no cost, the conformity of the good itself through repair or replacement.</w:t>
      </w:r>
    </w:p>
    <w:p>
      <w:r>
        <w:t xml:space="preserve">3. The defensive arguments of the Party.  </w:t>
        <w:br/>
        <w:t>16. Following the communication of the initiation of the proceedings and the precautionary measure adopted by the Authority in its meeting of June 5, 2013, Mr. Yao MingZhu, owner of the sites subject to the proceedings, did not participate in the proceedings in any way, did not submit defensive memoranda, did not provide the requested report regarding the measures taken to comply with what was decided by the Authority with the aforementioned precautionary measure, nor did he fulfill the burden of proof.</w:t>
      </w:r>
    </w:p>
    <w:p>
      <w:r>
        <w:rPr>
          <w:b/>
        </w:rPr>
        <w:t>[Pages 184–186]</w:t>
      </w:r>
    </w:p>
    <w:p>
      <w:r>
        <w:t>186 BULLETIN NO. 11 OF MARCH 17, 2014</w:t>
      </w:r>
    </w:p>
    <w:p>
      <w:r>
        <w:t>IV. OPINION OF THE AUTHORITY FOR GUARANTEES IN COMMUNICATIONS</w:t>
      </w:r>
    </w:p>
    <w:p>
      <w:r>
        <w:t>17. Since the commercial practice subject to this provision was disseminated via the Internet, on November 8, 2013, an opinion was requested from the Authority for Guarantees in Communications, pursuant to Article 27, paragraph 6 of the Consumer Code.</w:t>
      </w:r>
    </w:p>
    <w:p>
      <w:r>
        <w:t>18. In the opinion received on December 5, 2013, the aforementioned Authority deemed that the commercial practices in question are unfair pursuant to Articles 20, 21, paragraph 1, letters b) and f), paragraph 2, letter a), 22, paragraphs 1 and 4, letters b) and e), as well as Article 59 of the Consumer Code, based on the following considerations.</w:t>
      </w:r>
    </w:p>
    <w:p>
      <w:r>
        <w:t>19. In evaluating the commercial practices under examination, the notoriety of the counterfeited brand (Tod’s) "and the great appeal that the offer of high-fashion products so marked at particularly advantageous prices can exert on the average consumer" is relevant.</w:t>
      </w:r>
    </w:p>
    <w:p>
      <w:r>
        <w:t>20. The sites through which the professional promotes the counterfeit products "are presented as an online outlet for branded products and are structured in an identical or very similar manner to those that advertise the original products."</w:t>
      </w:r>
    </w:p>
    <w:p>
      <w:r>
        <w:t>21. The professional has not submitted any defenses or any of the information requested by the Authority for Competition and the Market, nor has he fulfilled the burden of proof as assigned by the same Authority.</w:t>
      </w:r>
    </w:p>
    <w:p>
      <w:r>
        <w:t>22. The contested conduct "for the formulation and presentation of the messages in which they consist, can lead the average consumer to believe they are purchasing original products at heavily discounted prices due to the effects of their marketing on a global market," whereas the information provided is not correct, being instead "absolutely misleading and unsuitable to inform the average consumer about the actual characteristics of the products, their commercial origin, and their real value and quality." Specifically, the use of particularly well-known brands to the general public is likely to produce a situation of confusion regarding the commercial origin of the products.</w:t>
      </w:r>
    </w:p>
    <w:p>
      <w:r>
        <w:t>23. From the perspective of the completeness of information, the following information is particularly relevant: "(i) the geographical address and identity of the professional [...]; (ii) the existence of a right of withdrawal," whereas, in the case at hand, "the professional completely omits [...] to make this information available."</w:t>
      </w:r>
    </w:p>
    <w:p>
      <w:r>
        <w:t>24. Finally, there is no "evidence of the methods of production of the goods marketed through the sites in question, nor are there guarantees that their production is subject to the quality standards imposed by current legislation."</w:t>
      </w:r>
    </w:p>
    <w:p>
      <w:r>
        <w:t>V. CONCLUDING EVALUATIONS</w:t>
      </w:r>
    </w:p>
    <w:p>
      <w:r>
        <w:t>The procedure in question is aimed at ascertaining the possible unfairness of the commercial practices described above carried out by the professional, consisting of: A) the sale of counterfeit products; B) the omission of information regarding the identification of the professional and all consumer rights provided for in the post-sale phase.</w:t>
      </w:r>
    </w:p>
    <w:p>
      <w:r>
        <w:t>BULLETIN NO. 11 OF MARCH 17, 2014 187</w:t>
      </w:r>
    </w:p>
    <w:p>
      <w:r>
        <w:t>A. Sale of counterfeit products</w:t>
      </w:r>
    </w:p>
    <w:p>
      <w:r>
        <w:t>25. With specific regard to the sale of products through the sites www.todssoldes.net, www.todsfrance.net, www.chaussurestods.net, www.todsshoes2012.com, and www.todsshoeuk.com, from the documents acquired during the investigation, it emerged that the professional provided consumers with misleading information regarding the actual nature and commercial origin of the products offered for sale, as well as regarding his own nature, qualifications, and rights, leading the consumer to believe, contrary to the truth, that he was an authorized distributor of Tod’s and selling original products, which were actually counterfeit. It appears that the owner of the Tod’s brand, due to numerous reports received from consumers who had made purchases on the sites in question, had the sites examined by his technicians and therefore reported to the Authority, through the Indicam association, that all the products offered for sale there were counterfeit.</w:t>
      </w:r>
    </w:p>
    <w:p>
      <w:r>
        <w:t>26. The perception of being faced with a commercial activity attributable to the owner of the Tod’s brand was also reinforced by the structure of the sites, which presented an overall appearance (layout, graphics, product presentation images, distinctive signs, etc.) such as to act as clones of the original site.</w:t>
      </w:r>
    </w:p>
    <w:p>
      <w:r>
        <w:t>27. Furthermore, it is noteworthy that the items were offered for sale at a price lower than that practiced in official channels but not negligible, and that the buyer was given the option to make payments in different currencies. By virtue of this, the consumer could be led to believe they were facing an international outlet sales channel and, therefore, in a position to take advantage of one of the opportunities arising from the globalization of markets, rather than being presented with an offer of non-original products.</w:t>
      </w:r>
    </w:p>
    <w:p>
      <w:r>
        <w:t>28. Finally, it must be emphasized that the Party has not fulfilled the burden of proving the circumstances of the related attribution communication, namely that the products offered for sale through the aforementioned websites came from subjects authorized to produce the models designed by the owner of the Tod’s brand and that the application of the same brand on the products and their packaging was done by or with the consent of the owner, as well as the existence of contractual relationships with the brand owner, such as to justify the fact that the professional presented himself to the Italian public as a legitimate subject authorized to use the distinctive sign and to put online e-commerce sites substantially identical to the original.</w:t>
      </w:r>
    </w:p>
    <w:p>
      <w:r>
        <w:t>29. Based on the above, the conduct of the professional appears not to comply with the level of professional diligence reasonably required in this case, considering that the exercise of an activity such as online commerce, in which the sale occurs without the buyer's prior direct viewing of the product, imposes, based on the principles of good faith and fairness, the obligation to ensure consumers particularly complete and truthful information regarding the actual nature and commercial origin of the product, and the nature, qualifications, and rights of the professional, as well as to avoid leading the average consumer to make commercial decisions that they would not otherwise have made, due to commercial practices involving marketing activities that create confusion with others' products, brands, and business names.</w:t>
      </w:r>
    </w:p>
    <w:p>
      <w:r>
        <w:t>30. For the reasons stated above, the commercial practice in question must be deemed unfair pursuant to Articles 20, 21, paragraph 1, letters b) and f), as well as 21, paragraph 2, letter a), of the Consumer Code, as it is contrary to professional diligence and capable, through the dissemination of untruthful information and the omission of relevant information about the nature and quality of the advertised products, to appreciably distort the economic behavior of the average consumer regarding the concrete possibility of obtaining the delivery of original products as depicted on the sites and offered for sale.</w:t>
      </w:r>
    </w:p>
    <w:p>
      <w:r>
        <w:t>31. In this context, for the purposes of the misleading judgment, the omission by the professional of all necessary specifications to make the advertised offer objectively intelligible in its actual scope assumes insurmountable relevance. The practice is therefore strongly detrimental to the principles of fairness and good faith fundamental especially for those engaged in distance selling activities and, in this case, an online sales activity at particularly advantageous prices, an activity that involves charging the price of the product at the time of the order on the sites, that is, before the actual availability of the good purchased by the consumer.</w:t>
      </w:r>
    </w:p>
    <w:p>
      <w:r>
        <w:t>B) Omissions of information regarding the identification of the professional and all consumer rights provided for in the post-sale phase</w:t>
      </w:r>
    </w:p>
    <w:p>
      <w:r>
        <w:t>32. On the websites www.todssoldes.net, www.todsfrance.net, www.chaussurestods.net, www.todsshoes2012.com, and www.todsshoeuk.com, neither the identity nor the geographical address of the professional is reported.</w:t>
      </w:r>
    </w:p>
    <w:p>
      <w:r>
        <w:t>33. On the same sites, there is also a lack of any information regarding all rights provided for the protection of the consumer in the post-sale phase, including the right to replacement or refund and including the existence of the right of withdrawal and termination of the contract for products and commercial transactions that involve such a right. Furthermore, the professional, presumably due to the fact that he offers counterfeit products that by their nature cannot be covered by the manufacturer's warranty, omits the information according to which, in the event of a lack of conformity existing at the time of delivery of the good and manifesting within 2 years from the delivery itself, the consumer has the right, against the seller, to restore, at no cost, the conformity of the good itself through repair or replacement.</w:t>
      </w:r>
    </w:p>
    <w:p>
      <w:r>
        <w:t>34. Also on this point, therefore, the conduct of the professional appears not to comply with the level of professional diligence reasonably required in this case, considering that the exercise of an activity such as online commerce imposes, based on the principles of good faith and fairness, the obligation to ensure consumers correct, complete, and easily accessible information regarding the content and methods of exercising the rights belonging to consumers within the framework of the consumer relationship.</w:t>
      </w:r>
    </w:p>
    <w:p>
      <w:r>
        <w:t>35. For the reasons stated above, the commercial practice in question must be deemed unfair pursuant to Articles 20 and 22, paragraph 1, with specific reference to the provisions of the same Article 22, paragraph 4, letters b) and e), of the Consumer Code, as it is contrary to professional diligence and capable of unduly conditioning the freedom of choice of the average consumer regarding the possibility of entering into a contract with the professional and regarding the possibility of exercising contractual rights and/or the eventual interruption of the contractual relationship as provided for and regulated by the rules protecting consumer buyers.</w:t>
      </w:r>
    </w:p>
    <w:p>
      <w:r>
        <w:t>VI. QUANTIFICATION OF THE SANCTION</w:t>
      </w:r>
    </w:p>
    <w:p>
      <w:r>
        <w:t>36. Pursuant to the combined provisions of Article 27, paragraph 9 of the Consumer Code and Article 23, paragraph 12-quinquiesdecies, of Decree Law No. 95 of July 6, 2012, as amended by Law No. 135 of August 7, 2012, with the provision that prohibits the unfair commercial practice, the Authority orders</w:t>
      </w:r>
    </w:p>
    <w:p>
      <w:r>
        <w:rPr>
          <w:b/>
        </w:rPr>
        <w:t>[Pages 187–189]</w:t>
      </w:r>
    </w:p>
    <w:p>
      <w:r>
        <w:t>BULLETIN NO. 11 OF MARCH 17, 2014 189</w:t>
      </w:r>
    </w:p>
    <w:p>
      <w:r>
        <w:t>the application of an administrative pecuniary sanction from €5,000 to €5,000,000, taking into account the severity and duration of the violation.</w:t>
      </w:r>
    </w:p>
    <w:p>
      <w:r>
        <w:t>37. In the case of proceedings concerning a plurality of established administrative offenses, the jurisprudence has clarified that in the presence of multiple behaviors with structural and functional autonomy, attributed to the responsibility of professionals, the criterion of material accumulation of sanctions applies, instead of legal accumulation (see, among others, Council of State, Section VI, judgment No. 209 of January 19, 2012).</w:t>
      </w:r>
    </w:p>
    <w:p>
      <w:r>
        <w:t>38. Regarding the quantification of the sanction, the criteria identified by Article 11 of Law No. 689/81 must be taken into account,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39. In the specific case, moreover, the behaviors in question are characterized by particular severity as they were carried out during a period of severe economic crisis, as a result of which consumers are induced to resort to alternative forms of purchasing goods (especially non-essential goods) to traditional ones, in an attempt to obtain less burdensome economic conditions. In this context, the behaviors of those professionals who undermine consumer trust in e-commerce, as a potential tool for the development and revival of the production system, by marketing and delivering products that, in terms of quality, nature, and commercial origin, differ from those advertised, must be considered particularly reprehensible.</w:t>
      </w:r>
    </w:p>
    <w:p>
      <w:r>
        <w:t>40. With regard to the commercial practice under A), in assessing the severity of the violation, the following must be considered: i) the total unavailability of the professional and therefore the impossibility of quantifying their economic size; ii) the plurality of established misleading profiles; iii) the wide capacity for dissemination of the practice, given the increasing recourse to e-commerce by consumers; iv) the particular nature of the products dealt with, attributable to a famous high-fashion brand and the economic convenience of the offers; v) the extent of the economic harm caused to consumers, especially considering the methods of charging the price that occurs upon order confirmation.</w:t>
      </w:r>
    </w:p>
    <w:p>
      <w:r>
        <w:t>41. As for the duration of the violation, from the available elements in the records, it appears that the practice has been carried out at least since March 2013, until June 13, 2013.</w:t>
      </w:r>
    </w:p>
    <w:p>
      <w:r>
        <w:t>42. Based on these elements, in relation to practice A), it is deemed appropriate to determine the amount of the administrative pecuniary sanction applicable to Mr. Yao MingZhu in the amount of €55,000 (fifty-five thousand euros).</w:t>
      </w:r>
    </w:p>
    <w:p>
      <w:r>
        <w:t>43. With regard to the commercial practice under B), in assessing the severity of the violation, the following must be considered: i) the total unavailability of the professional and therefore the impossibility of quantifying their economic size; ii) the failure to identify the professional, as well as the denial of all consumer rights provided in the post-sale phase; iii) the wide capacity for dissemination of the practice, given the increasing recourse to e-commerce by consumers.</w:t>
      </w:r>
    </w:p>
    <w:p>
      <w:r>
        <w:t>44. As for the duration of the violation, from the available elements in the records, it appears that the practice has been carried out at least since March 2013, until June 13, 2013.</w:t>
      </w:r>
    </w:p>
    <w:p>
      <w:r>
        <w:t>45. Based on these elements, in relation to practice B), it is deemed appropriate to determine the amount of the administrative pecuniary sanction applicable to Mr. Yao MingZhu in the amount of €55,000 (fifty-five thousand euros).</w:t>
      </w:r>
    </w:p>
    <w:p>
      <w:r>
        <w:t>THEREFORE, it is deemed, in accordance with the opinion of the Authority for Communications Guarantees, based on the considerations set forth above, that the commercial practice under A) must be considered unfair pursuant to Articles 20, 21, paragraph 1, letters b) and f), and 21, paragraph 2, letter a), of the Consumer Code, as it is contrary to professional diligence and capable, through the dissemination of untrue information and the omission of relevant information, of appreciably distorting the economic behavior of the average consumer regarding the concrete possibility of obtaining the delivery of original products as depicted on the websites and offered for sale;</w:t>
      </w:r>
    </w:p>
    <w:p>
      <w:r>
        <w:t>IT IS ALSO DEEMED, in accordance with the opinion of the Authority for Communications Guarantees, based on the considerations set forth above, that the commercial practice under B) must be considered unfair pursuant to Articles 20 and 22, paragraph 1, with specific reference to the provisions of the same Article 22, paragraph 4, letters b) and e), of the Consumer Code, as it is contrary to professional diligence and capable of unduly influencing the freedom of choice of the average consumer regarding the possibility of entering into a contract with the professional and regarding the possibility of exercising contractual rights and/or the eventual interruption of the contractual relationship as provided and regulated by the norms protecting purchasing consumers.</w:t>
      </w:r>
    </w:p>
    <w:p>
      <w:r>
        <w:t>RESOLVES</w:t>
      </w:r>
    </w:p>
    <w:p>
      <w:r>
        <w:t>a) that the commercial practice described in point II, letter A) of this provision, carried out by Mr. Yao MingZhu, constitutes, for the reasons and within the limits set forth in the motivation, an unfair commercial practice pursuant to Articles 20, 21, paragraph 1, letters b) and f), and 21, paragraph 2, letter a), of the Consumer Code, and prohibits its dissemination or continuation;</w:t>
      </w:r>
    </w:p>
    <w:p>
      <w:r>
        <w:t>b) that the commercial practice described in point II, letter B) of this provision, carried out by Mr. Yao MingZhu, constitutes, for the reasons and within the limits set forth in the motivation, an unfair commercial practice pursuant to Articles 20 and 22, paragraph 1, with specific reference to the provisions of the same Article 22, paragraph 4, letters b) and e), of the Consumer Code, and prohibits its dissemination or continuation;</w:t>
      </w:r>
    </w:p>
    <w:p>
      <w:r>
        <w:t>c) to impose on Mr. Yao MingZhu, regarding practice A), an administrative pecuniary sanction of €55,000 (fifty-five thousand euros);</w:t>
      </w:r>
    </w:p>
    <w:p>
      <w:r>
        <w:t>d) to impose on Mr. Yao MingZhu, regarding practice B), an administrative pecuniary sanction of €55,000 (fifty-five thousand euros).</w:t>
      </w:r>
    </w:p>
    <w:p>
      <w:r>
        <w:t>The administrative sanctions referred to in the previous letters c) and d) must be paid within thirty days from the notification of this provision, using the attached model F24 with identifying elements, pursuant to Legislative Decree No. 241/1997.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w:t>
      </w:r>
    </w:p>
    <w:p>
      <w:r>
        <w:t>Pursuant to Article 37, paragraph 49, of Decree-Law No. 223/2006, subjects holding a VAT number are required to submit the F24 model electronically.</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payment interest accrued during the same period.</w:t>
      </w:r>
    </w:p>
    <w:p>
      <w:r>
        <w:t>Immediate notification of the payment must be given to the Authority by sending a copy of the model certifying the payment made.</w:t>
      </w:r>
    </w:p>
    <w:p>
      <w:r>
        <w:t>Pursuant to the combined provisions of Article 27, paragraph 12, of the Consumer Code and Article 23, paragraph 12-quinquiesdecies, of Decree-Law No. 95 of July 6, 2012, converted with amendments by Law No. 135 of August 7, 2012 (Official Gazette No. 173/L of August 14, 2012),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Authority for Competition and the Market, considering the nature of the offense and to ensure the public has the widest knowledge of its institutional activities.</w:t>
      </w:r>
    </w:p>
    <w:p>
      <w:r>
        <w:rPr>
          <w:b/>
        </w:rPr>
        <w:t>[Pages 190–192]</w:t>
      </w:r>
    </w:p>
    <w:p>
      <w:r>
        <w:t>192 BULLETIN NO. 11 OF MARCH 17, 2014</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r>
    </w:p>
    <w:p>
      <w:r>
        <w:t>THE SECRETARY GENERAL THE PRESIDENT</w:t>
        <w:br/>
        <w:t>Roberto Chieppa Giovanni Pitruzzella</w:t>
      </w:r>
    </w:p>
    <w:p>
      <w:r>
        <w:t>BULLETIN NO. 11 OF MARCH 17, 2014 193</w:t>
      </w:r>
    </w:p>
    <w:p>
      <w:r>
        <w:t>PS8976 - ROGER VIVIER - COUNTERFEITED SITES</w:t>
        <w:br/>
        <w:t>Provision No. 24701</w:t>
      </w:r>
    </w:p>
    <w:p>
      <w:r>
        <w:t>THE ANTITRUST AUTHORITY</w:t>
      </w:r>
    </w:p>
    <w:p>
      <w:r>
        <w:t>IN ITS MEETING of December 10, 2013;</w:t>
      </w:r>
    </w:p>
    <w:p>
      <w:r>
        <w:t>HEARD the Rapporteur Professor Piero Barucci;</w:t>
      </w:r>
    </w:p>
    <w:p>
      <w:r>
        <w:t>VIEWED Part II, Title III, of Legislative Decree No. 206 of September 6, 2005, containing the "Consumer Code" and subsequent amendments (hereinafter, Consumer Code);</w:t>
      </w:r>
    </w:p>
    <w:p>
      <w:r>
        <w:t>VIEWED Article 23, paragraph 12-quinquiesdecies, of Law Decree No. 95 of July 6, 2012, as amended by Law No. 135 of August 7, 2012, which increased the maximum administrative fine to 5,000,000 euros;</w:t>
      </w:r>
    </w:p>
    <w:p>
      <w:r>
        <w:t>VIEWED the "Regulation on investigative procedures regarding misleading and comparative advertising, unfair commercial practices, and unfair clauses" (hereinafter, Regulation), adopted by the Authority with resolution of August 8, 2012;</w:t>
      </w:r>
    </w:p>
    <w:p>
      <w:r>
        <w:t>VIEWED its provision of June 5, 2013, with which the adoption of the precautionary measure was decided, pursuant to Article 27, paragraph 3, of the Consumer Code;</w:t>
      </w:r>
    </w:p>
    <w:p>
      <w:r>
        <w:t>VIEWED the acts of the proceedings;</w:t>
      </w:r>
    </w:p>
    <w:p>
      <w:r>
        <w:t>I. THE PARTIES</w:t>
      </w:r>
    </w:p>
    <w:p>
      <w:r>
        <w:t>1. Mr. Jin Wu, owner and registrant of the domain names rogervivier2013.com, rogerviviersoldes.com (registered at IP address 31.222.205.20), usrogervivier.com, rogervivierer.com, rogervivierny.com (registered at IP address 31.222.205.22), frrogervivier.com (registered at IP address 31.222.205.23), rogervivierr.com, rogerviviershop.org (registered at IP address 31.222.205.24), rvboots.com and rvonlinestore.com (registered at IP address 31.222.207.22), in his capacity as a professional, pursuant to Article 18, letter b), of the Consumer Code.</w:t>
      </w:r>
    </w:p>
    <w:p>
      <w:r>
        <w:t>2. Indicam, Institute of Centromarca for the defense and identification of authentic trademarks and for the fight against counterfeiting, in its capacity as notifier.</w:t>
      </w:r>
    </w:p>
    <w:p>
      <w:r>
        <w:t>II. COMMERCIAL PRACTICES</w:t>
      </w:r>
    </w:p>
    <w:p>
      <w:r>
        <w:t>3. The proceedings concern the behavior carried out by the professional through the websites identified by the domain names rogervivier2013.com, rogerviviersoldes.com, usrogervivier.com, rogervivierer.com, rogervivierny.com, frrogervivier.com, rogervivierr.com, rogerviviershop.org, rvboots.com and rvonlinestore.com, consisting of:</w:t>
      </w:r>
    </w:p>
    <w:p>
      <w:r>
        <w:t>A) offering for sale footwear whose presentation faithfully reproduces (lines, colors, model names, distinctive signs, etc.) the corresponding products marketed by the owner of the "Roger Vivier" trademark, through websites that have an overall appearance (layout, graphics, product presentation images) such as to present themselves as clones of the trademark owner's site, as well as being identified by domain names that, reproducing (with the exception of the two registered at IP address 31.222.207.22) in the string the denominative part of the trademark, are already in themselves likely to mislead visitors. Furthermore, contrary to what is stated by the trademark owner, the products offered for sale through the aforementioned websites are not original, nor is there any contractual relationship between the trademark owner and the professional that would allow the latter to present himself to the public as authorized to use the "Roger Vivier" trademark.</w:t>
      </w:r>
    </w:p>
    <w:p>
      <w:r>
        <w:t>B) failing to disclose, on the aforementioned websites, either his identity or his geographical address, as well as failing to include any information regarding general contract conditions and omitting, in some of the considered sites, any indication regarding the existence of the right of withdrawal in favor of the consumer and the related times and methods of exercise;</w:t>
      </w:r>
    </w:p>
    <w:p>
      <w:r>
        <w:t>C) having included, in those among the websites where the right of withdrawal is mentioned, indications not in line with the applicable mandatory regulations; specifically, while the Consumer Code provides that in the case of distance contracts the consumer may withdraw within ten working days (Article 64, paragraph 1) and with the only burden represented by the "direct costs of returning the goods to the sender" (Article 67, paragraph 3), in some cases the professional requires that the goods be returned within shorter terms, or provides, in addition to the payment of shipping costs, various charges to be borne by the consumer, qualified as "re-stocking/processing fee," "return fee," "cancellation fee," etc. (see usrogervivier.com, rogerviviersoldes.com, rogervivierer.com); it also appears that some consumers have been unable to avail themselves of the remedies provided by the regulations on legal conformity guarantees.</w:t>
      </w:r>
    </w:p>
    <w:p>
      <w:r>
        <w:t>4. That said, the commercial practices subject to the proceedings are as follows:</w:t>
      </w:r>
    </w:p>
    <w:p>
      <w:r>
        <w:t>A) sale of counterfeit products;</w:t>
      </w:r>
    </w:p>
    <w:p>
      <w:r>
        <w:t>B) omissions of information regarding the identity of the professional and the consumer rights provided in the post-sale phase;</w:t>
      </w:r>
    </w:p>
    <w:p>
      <w:r>
        <w:t>C) failure to provide the legal guarantee of conformity.</w:t>
      </w:r>
    </w:p>
    <w:p>
      <w:r>
        <w:t>III. THE OUTCOMES OF THE PROCEEDINGS</w:t>
      </w:r>
    </w:p>
    <w:p>
      <w:r>
        <w:t>1. The course of the proceedings</w:t>
      </w:r>
    </w:p>
    <w:p>
      <w:r>
        <w:t>5. Based on the information acquired in the records, on May 28, 2013, the investigative procedure PS8976 was initiated against Mr. Jin Wu, pursuant to Article 27, paragraph 3, of the Consumer Code, as well as pursuant to Article 6 of the Regulation. In this context, the integration of as many unfair commercial practices as described in the previous point II was hypothesized. Specifically, it was proposed:</w:t>
      </w:r>
    </w:p>
    <w:p>
      <w:r>
        <w:t>as to practice A), the violation of the provisions of Articles 20 and 21, paragraph 1, letters b) and f), as well as 21, paragraph 2, letter a), of the Consumer Code;</w:t>
      </w:r>
    </w:p>
    <w:p>
      <w:r>
        <w:t>as to practice B), the violation of the provisions of Articles 20 and 22, paragraph 1, with specific reference to the provisions of the same Article 22, paragraph 4, letters b) and e), as well as Article 59 of the Consumer Code;</w:t>
      </w:r>
    </w:p>
    <w:p>
      <w:r>
        <w:t>as to practice C), the violation of the provisions of Articles 20, 24 and 25, letter d), of the Consumer Code.</w:t>
      </w:r>
    </w:p>
    <w:p>
      <w:r>
        <w:t>6. The Authority, with a resolution adopted in the meeting of June 5, 2013, ordered that Mr. Jin Wu, pursuant to Article 27, paragraph 3, of the Consumer Code and Article 8, paragraph 1, of the</w:t>
      </w:r>
    </w:p>
    <w:p>
      <w:r>
        <w:rPr>
          <w:b/>
        </w:rPr>
        <w:t>[Pages 193–195]</w:t>
      </w:r>
    </w:p>
    <w:p>
      <w:r>
        <w:t>BULLETIN NO. 11 OF MARCH 17, 2014 195</w:t>
      </w:r>
    </w:p>
    <w:p>
      <w:r>
        <w:t>Regulation, to suspend any activity aimed at disseminating the contents of the websites identified by the domain names rogervivier2013.com, rogerviviersoldes.com, usrogervivier.com, rogervivierer.com, rogervivierny.com, frrogervivier.com, rogervivierr.com, rogerviviershop.org, rvboots.com, and rvonlinestore.com, accessible through connection requests originating from Italian territory.</w:t>
      </w:r>
    </w:p>
    <w:p>
      <w:r>
        <w:t>7. With the same resolution, the Authority ordered, pursuant to Articles 14, paragraph 3, 15, paragraph 2, and 16, paragraph 3 of Legislative Decree No. 70 of April 9, 2003, that the subjects referred to in the same provisions, who made accessible the websites identified by the domain names rogervivier2013.com, rogerviviersoldes.com, usrogervivier.com, rogervivierer.com, rogervivierny.com, frrogervivier.com, rogervivierr.com, rogerviviershop.org, rvboots.com, and rvonlinestore.com, should block, in case of non-compliance by Mr. Jin Wu, the requests for access to such sites from users connected to the internet from Italian territory.</w:t>
      </w:r>
    </w:p>
    <w:p>
      <w:r>
        <w:t>8. Since Mr. Jin Wu did not comply with the order, the Authority requested the military personnel of the Antitrust Group of the Special Unit for Market Protection of the Guardia di Finanza, pursuant to Article 3, paragraph 1 of Legislative Decree No. 68 of March 19, 2001, to carry out all necessary activities to ensure that the subjects referred to in Articles 14, paragraph 3, 15, paragraph 2, and 16, paragraph 3 of Legislative Decree No. 70 of April 9, 2003, prevented access to the websites identified by the domain names rogervivier2013.com, rogerviviersoldes.com, usrogervivier.com, rogervivierer.com, rogervivierny.com, frrogervivier.com, rogervivierr.com, rogerviviershop.org, rvboots.com, and rvonlinestore.com, by users through connection requests to the internet originating from Italian territory.</w:t>
      </w:r>
    </w:p>
    <w:p>
      <w:r>
        <w:t>9. The precautionary measure was executed on June 13, 2013.</w:t>
      </w:r>
    </w:p>
    <w:p>
      <w:r>
        <w:t>10. Concurrently with the initiation of the proceedings, the professional was also informed of the burden of providing evidence regarding the accuracy of the factual data related to the investigation, pursuant to Article 27, paragraph 5 of the Consumer Code and Article 15 of the Regulation.</w:t>
      </w:r>
    </w:p>
    <w:p>
      <w:r>
        <w:t>11. The Party did not fulfill the burden of proof and did not participate in the proceedings.</w:t>
      </w:r>
    </w:p>
    <w:p>
      <w:r>
        <w:t>12. On October 16 and 17, 2013, the parties were informed of the deadline for concluding the investigative phase.</w:t>
      </w:r>
    </w:p>
    <w:p>
      <w:r>
        <w:t>2. The evidence acquired</w:t>
      </w:r>
    </w:p>
    <w:p>
      <w:r>
        <w:t>13. The fact that the information provided through the websites www.rogervivier2013.com, www.rogerviviersoldes.com, www.usrogervivier.com, www.rogervivierer.com, www.rogervivierny.com, www.frrogervivier.com, www.rogervivierr.com, www.rogerviviershop.org, www.rvboots.com, and www.rvonlinestore.com, was likely to mislead recipients regarding the nature and commercial origin of the product, as well as the nature, qualifications, and rights of the professional, is confirmed by the report sent to the Authority by the Indicam association. The aforementioned association forwarded to the Authority the complaint from the owner of the "Roger Vivier" trademark who, in light of complaints from some buyers regarding the quality of the advertised products and having received some requests for warranty performance on the same, stated that it had conducted, through its technicians, a thorough verification of the mono-brand sales sites www.rogervivier2013.com, www.rogerviviersoldes.com, www.usrogervivier.com, www.rogervivierer.com, www.rogervivierny.com, www.frrogervivier.com, www.rogervivierr.com, www.rogerviviershop.org, www.rvboots.com, and www.rvonlinestore.com to determine whether the products advertised there were original. According to the statements made by the owner of the "Roger Vivier" trademark, all items offered for sale on the aforementioned sites were counterfeit products.</w:t>
      </w:r>
    </w:p>
    <w:p>
      <w:r>
        <w:t>14. Furthermore, the sites in question do not provide either the identity or the geographical address of the professional, nor is there any information regarding all the rights provided for the protection of the consumer in the post-sale phase.</w:t>
      </w:r>
    </w:p>
    <w:p>
      <w:r>
        <w:t>15. In fact, any indication regarding general contract conditions is omitted, nor, in most of the sites in question, is there any information on the existence of the right of withdrawal in favor of purchasing consumers and the related times and methods of exercising it. Moreover, the professional, presumably due to the fact that they offer counterfeit products which by their nature cannot be protected by the manufacturer's warranty, omits the information according to which, in the event of a non-conformity defect existing at the time of delivery of the good and manifesting within 2 years from the delivery itself, the consumer is entitled, against the seller, to the restoration, at no cost, of the conformity of the good itself through repair or replacement.</w:t>
      </w:r>
    </w:p>
    <w:p>
      <w:r>
        <w:t>16. Finally, among the websites in question, where the right of withdrawal is mentioned (cf. usrogervivier.com, rogerviviersoldes.com, rogervivierer.com), the related indications are not in line with the applicable mandatory regulations. Specifically, while the Consumer Code provides that in the case of distance contracts the consumer may withdraw within ten working days (Article 64, paragraph 1) and with the only burden represented by the "direct costs of returning the good to the sender" (Article 67, paragraph 3), in some cases the professional requires that the good be returned within shorter terms, or provides, in addition to the payment of shipping costs, various charges to be borne by the consumer, qualified as "re-stocking/processing fee", "return fee", "cancellation fee", etc.</w:t>
      </w:r>
    </w:p>
    <w:p>
      <w:r>
        <w:t>3. The defensive arguments of the Party</w:t>
      </w:r>
    </w:p>
    <w:p>
      <w:r>
        <w:t>17. Following the communication of the initiation of the proceedings as well as the precautionary measure adopted by the Authority in its meeting of June 5, 2013, Mr. Jin Wu, the owner of the websites subject to the proceedings, did not participate in the proceedings in any way, did not submit defensive briefs, did not provide the requested report regarding the measures taken to comply with what was decided by the Authority with the aforementioned precautionary measure, nor did he fulfill the burden of proof.</w:t>
      </w:r>
    </w:p>
    <w:p>
      <w:r>
        <w:t>IV. OPINION OF THE AUTHORITY FOR GUARANTEES IN COMMUNICATIONS</w:t>
      </w:r>
    </w:p>
    <w:p>
      <w:r>
        <w:t>18. Since the commercial practice subject to this measure was disseminated via the Internet, on November 8, 2013, the opinion of the Authority for Guarantees in Communications was requested, pursuant to Article 27, paragraph 6 of the Consumer Code.</w:t>
      </w:r>
    </w:p>
    <w:p>
      <w:r>
        <w:t>19. In an opinion received on December 5, 2013, the aforementioned Authority deemed that the commercial practices in question are unfair pursuant to Articles 20, 21, paragraph 1, letters b) and f), paragraph 2, letter a), 22, paragraphs 1 and 4, letters b) and e), as well as Article 59 of the Consumer Code, based on the following considerations.</w:t>
      </w:r>
    </w:p>
    <w:p>
      <w:r>
        <w:t>20. In evaluating the commercial practices under examination, the notoriety of the counterfeit trademark (Roger Vivier) "and the great appeal that the offer of highly fashionable and current products so marked at particularly advantageous prices can exert on the average consumer" is relevant.</w:t>
      </w:r>
    </w:p>
    <w:p>
      <w:r>
        <w:t>21. The sites through which the professional promotes counterfeit products "are presented as an online outlet for branded products and are structured in the same or very similar manner to those that advertise original products."</w:t>
      </w:r>
    </w:p>
    <w:p>
      <w:r>
        <w:t>22. The professional did not submit briefs or any of the information requested by the Antitrust Authority, nor did he fulfill the burden of proof as assigned by the same Authority.</w:t>
      </w:r>
    </w:p>
    <w:p>
      <w:r>
        <w:t>23. The contested behaviors "due to the formulation and presentation of the messages in which they consist, can lead the average consumer to believe they are purchasing original products at heavily discounted prices thanks to the effects of their commercialization on a global market," whereas the information provided is not correct, being instead "absolutely misleading and unsuitable to inform the average consumer about the actual characteristics of the products, their commercial origin, and their real value and quality." Specifically, the use of particularly well-known trademarks to the general public is capable of producing a situation of confusion regarding the commercial origin of the products.</w:t>
      </w:r>
    </w:p>
    <w:p>
      <w:r>
        <w:t>24. From the perspective of the completeness of the information, the following information is particularly relevant: "(i) the geographical address and identity of the professional [...]; (ii) the existence of a right of withdrawal," whereas, in the case at hand, "the professional completely omits [...] to make this information available."</w:t>
      </w:r>
    </w:p>
    <w:p>
      <w:r>
        <w:t>25. Finally, there is no "evidence of the methods of production of the goods marketed through the websites in question, nor are there guarantees that their production is subject to the quality standards imposed by current regulations."</w:t>
      </w:r>
    </w:p>
    <w:p>
      <w:r>
        <w:t>V. CONCLUDING EVALUATIONS</w:t>
      </w:r>
    </w:p>
    <w:p>
      <w:r>
        <w:t>26. The proceedings in question are aimed at ascertaining the possible unfairness of the commercial practices described above carried out by the professional, consisting of A) the sale of counterfeit products; B) the omission of information regarding the identification of the professional and all consumer rights provided in the post-sale phase; C) the failure to provide the legal warranty of conformity.</w:t>
      </w:r>
    </w:p>
    <w:p>
      <w:r>
        <w:t>27. That said, it is noted that the cases described in the previous point II, letters A), B), and C), constitute two distinct unfair commercial practices, individually and autonomously assessable. Practice C), in this case, is absorbed into practice A) considering that the purchase of a non-original product does not allow buyers to benefit from either the legal warranty, as any replaced product will always be non-original, nor from the manufacturer's conformity warranty since the goods sold on the websites in question do not fall within those produced by the trademark owner. The practices in question, in fact, present themselves as structurally autonomous both in terms of the phase of the consumer relationship to which they pertain and in terms of the methods of coercion of the consumer's will.</w:t>
      </w:r>
    </w:p>
    <w:p>
      <w:r>
        <w:rPr>
          <w:b/>
        </w:rPr>
        <w:t>[Pages 196–198]</w:t>
      </w:r>
    </w:p>
    <w:p>
      <w:r>
        <w:t>198 BULLETIN NO. 11 OF MARCH 17, 2014</w:t>
      </w:r>
    </w:p>
    <w:p>
      <w:r>
        <w:t>A. Sale of Counterfeit Products</w:t>
      </w:r>
    </w:p>
    <w:p>
      <w:r>
        <w:t>28. With specific regard to the sale of products through the websites www.rogervivier2013.com, www.rogerviviersoldes.com, www.usrogervivier.com, www.rogervivierer.com, www.rogervivierny.com, www.frrogervivier.com, www.rogervivierr.com, www.rogerviviershop.org, www.rvboots.com, and www.rvonlinestore.com, the documents obtained during the investigation revealed that the professional provided consumers with misleading information regarding the actual nature and commercial origin of the products offered for sale, as well as regarding their own nature and qualifications and the rights of consumers, leading them to believe, contrary to the truth, that they were an authorized distributor of Roger Vivier and that they were selling original products, which were in fact counterfeit. In this regard, it is significant, first of all, what was stated by the trademark owner who verified and attested to the counterfeit nature of the marketed products.</w:t>
      </w:r>
    </w:p>
    <w:p>
      <w:r>
        <w:t>29. Secondly, the perception of being faced with a commercial activity attributable to the trademark owner Roger Vivier is considered, supported by the structure of the websites, which presented an overall appearance (layout, graphics, product presentation images, distinctive signs, etc.) such as to be clones of the original site.</w:t>
      </w:r>
    </w:p>
    <w:p>
      <w:r>
        <w:t>30. Furthermore, it is relevant that the items were offered for sale at a price lower than that practiced in official channels but not negligible, and that the buyer was given the option to make payments in different currencies. By virtue of this, in fact, the consumer could be led to believe they were facing an international outlet sales channel and, therefore, in a position to take advantage of one of the opportunities arising from the globalization of markets.</w:t>
      </w:r>
    </w:p>
    <w:p>
      <w:r>
        <w:t>31. Finally, it must be emphasized that the Party did not fulfill the burden of proving the circumstances of the relevant attribution communication, namely the fact that the products offered for sale through the aforementioned websites came from authorized entities to produce the models designed by the trademark owner Roger Vivier and that the affixing of the same trademark on the products and their packaging was done by or with the consent of the owner, as well as the existence of contractual relationships with the trademark owner, such as to justify the fact that the professional presented themselves to the Italian public as a legitimate subject authorized to use the distinctive sign and to put online e-commerce sites substantially identical to the original.</w:t>
      </w:r>
    </w:p>
    <w:p>
      <w:r>
        <w:t>32. It is evident that since these are non-original products, buyers convinced they have purchased original Roger Vivier branded products have been effectively deprived of the possibility of benefiting from the legal warranty and conformity. Title III, Part IV, of the Consumer Code, in fact, provides that in the event of a conformity defect existing at the time of delivery of the good and manifesting within 2 years from the delivery itself, the consumer has the right, against the seller, to restore, at no cost, the conformity of the good through repair or replacement, or, alternatively (in the cases provided for by paragraph 7 of Article 130), to an adequate reduction of the price or to the resolution of the contract.</w:t>
      </w:r>
    </w:p>
    <w:p>
      <w:r>
        <w:t>33. Since in this case, the products are counterfeit sold as originals to the consumer, the exercise of any of their rights is effectively precluded as the products in question, by their nature, cannot be protected by the warranty of the parent company and therefore the described behavior constitutes a violation of Articles 20, 24, and 25, letter d) of the Consumer Code.</w:t>
      </w:r>
    </w:p>
    <w:p>
      <w:r>
        <w:t>34. Based on the above, the conduct of the professional is also found to be non-compliant with the level of professional diligence reasonably required in this case, considering that</w:t>
      </w:r>
    </w:p>
    <w:p>
      <w:r>
        <w:t>BULLETIN NO. 11 OF MARCH 17, 2014 199</w:t>
      </w:r>
    </w:p>
    <w:p>
      <w:r>
        <w:t>the exercise of an activity such as online commerce, in which the sale occurs without the buyer's prior direct viewing of the product, imposes, based on the principles of good faith and fairness, the obligation to ensure consumers receive particularly complete and truthful information regarding the actual nature and commercial origin of the product, and regarding the nature, qualifications, and rights of the professional, as well as to avoid that the average consumer may be led to make commercial decisions that they would not otherwise have made, due to commercial practices involving marketing activities that create confusion with others' products, trademarks, and business names.</w:t>
      </w:r>
    </w:p>
    <w:p>
      <w:r>
        <w:t>35. For the above reasons, the commercial practice in question must be considered unfair pursuant to Articles 20, 21, paragraph 1, letters b) and f), as well as 21, paragraph 2, letter a), of the Consumer Code, as it is contrary to professional diligence and capable, through the dissemination of untruthful information and the omission of relevant information about the nature and quality of the advertised products, to appreciably distort the economic behavior of the average consumer in relation to the concrete possibility of obtaining the delivery of original products as depicted on the websites and offered for sale.</w:t>
      </w:r>
    </w:p>
    <w:p>
      <w:r>
        <w:t>36. In this context, for the purposes of the misleading assessment, the omission by the professional of all necessary specifications to make the advertised offer objectively intelligible in its actual scope assumes insurmountable relevance. The practice is therefore strongly detrimental to the principles of fairness and good faith, fundamental especially for those engaged in distance selling activities and, in this case, an online sales activity at particularly advantageous prices, an activity that involves charging the price of the product at the time of order on the websites, that is, before the actual availability of the good purchased by the consumer.</w:t>
      </w:r>
    </w:p>
    <w:p>
      <w:r>
        <w:t>B) Omissions of Information Regarding the Identification of the Professional and All Consumer Rights Provided in the Post-Sale Phase</w:t>
      </w:r>
    </w:p>
    <w:p>
      <w:r>
        <w:t>37. On the websites www.rogervivier2013.com, www.rogerviviersoldes.com, www.usrogervivier.com, www.rogervivierer.com, www.rogervivierny.com, www.frrogervivier.com, www.rogervivierr.com, www.rogerviviershop.org, www.rvboots.com, and www.rvonlinestore.com, neither the identity nor the geographical address of the professional is provided.</w:t>
      </w:r>
    </w:p>
    <w:p>
      <w:r>
        <w:t>38. Furthermore, on the same websites, there is no information regarding the general terms of the contract, while, in most of them, there are no indications regarding the existence of the right of withdrawal in favor of the consumer and the related times and methods of exercise. Moreover, the professional, presumably due to the fact that they offer counterfeit products that by their nature cannot be covered by the warranty of the parent company, omits the information according to which, in the event of a conformity defect existing at the time of delivery of the good and manifesting within 2 years from the delivery itself, the consumer has the right, against the seller, to restore, at no cost, the conformity of the good itself through repair or replacement.</w:t>
      </w:r>
    </w:p>
    <w:p>
      <w:r>
        <w:t>39. With specific reference to the right of withdrawal, where the right of withdrawal is mentioned (see usrogervivier.com, rogerviviersoldes.com, rogervivierer.com), the indications regarding the contents and methods of exercising it are not compliant with the applicable regulations. In fact, while the Consumer Code provides that in the case of distance contracts the consumer may withdraw within ten working days (Article 64, paragraph 1) and with the only burden represented by the "direct costs of returning the good to the sender" (Article 67, paragraph 3), in some cases the professional requires that the good be returned within shorter timeframes, or provides, in addition to the payment of shipping costs, various charges to be borne by the consumer, qualified as "re-stocking/processing fee," "return fee," "cancellation fee," etc.</w:t>
      </w:r>
    </w:p>
    <w:p>
      <w:r>
        <w:t>40. Therefore, on this point as well, the conduct of the professional is found to be non-compliant with the level of professional diligence reasonably required in this case, considering that the exercise of an activity such as online commerce imposes, based on the principles of good faith and fairness, the obligation to ensure consumers receive correct, complete, and easily accessible information regarding the content and methods of exercising the rights entitled to consumers within the framework of the consumer relationship.</w:t>
      </w:r>
    </w:p>
    <w:p>
      <w:r>
        <w:t>41. For the above reasons, the commercial practice in question must be considered unfair pursuant to Articles 20 and 22, paragraph 1, with specific reference to the provisions of the same Article 22, paragraph 4, letters b) and e) of the Consumer Code, as it is contrary to professional diligence and capable of unduly conditioning the freedom of choice of the average consumer in relation to the possibility of entering into a contract with the professional and regarding the possibility of exercising contractual rights and/or the potential interruption of the contractual relationship as provided and regulated by the norms protecting purchasing consumers.</w:t>
      </w:r>
    </w:p>
    <w:p>
      <w:r>
        <w:t>VI. QUANTIFICATION OF THE SANCTION</w:t>
      </w:r>
    </w:p>
    <w:p>
      <w:r>
        <w:t>42. Pursuant to the combined provisions of Article 27, paragraph 9 of the Consumer Code and Article 23, paragraph 12-quinquiesdecies, of Law Decree No. 95 of July 6, 2012, as amended by Law No. 135 of August 7, 2012, with the provision that prohibits the unfair commercial practice, the Authority orders the application of an administrative pecuniary sanction from €5,000 to €5,000,000, taking into account the severity and duration of the violation.</w:t>
      </w:r>
    </w:p>
    <w:p>
      <w:r>
        <w:t>43. In the case of proceedings concerning a plurality of established administrative offenses, the jurisprudence has clarified that in the presence of a plurality of conducts with structural and functional autonomy, attributed to the responsibility of professionals, the criterion of material cumulation of sanctions applies, instead of legal cumulation (see, among others, Council of State, Section VI, judgment No. 209 of January 19, 2012).</w:t>
      </w:r>
    </w:p>
    <w:p>
      <w:r>
        <w:t>44.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business to eliminate or mitigate the infringement, the personality of the agent, as well as the economic conditions of the business itself.</w:t>
      </w:r>
    </w:p>
    <w:p>
      <w:r>
        <w:t>45. In the specific case, moreover, the conducts in question are characterized by particular severity as they were carried out during a period of severe economic crisis, as a result of which consumers are led to resort to alternative forms of purchasing goods (especially non-essential goods) compared to traditional ones, in an attempt to obtain less burdensome economic conditions. In this context, the conducts of those professionals who undermine consumer trust in e-commerce, as a potential tool for the development and revival of the production system, by marketing and delivering products that, due to their quality, nature, and commercial origin, differ from those advertised, must be considered particularly reprehensible.</w:t>
      </w:r>
    </w:p>
    <w:p>
      <w:r>
        <w:rPr>
          <w:b/>
        </w:rPr>
        <w:t>[Pages 199–201]</w:t>
      </w:r>
    </w:p>
    <w:p>
      <w:r>
        <w:t>BULLETIN NO. 11 OF MARCH 17, 2014 201</w:t>
      </w:r>
    </w:p>
    <w:p>
      <w:r>
        <w:t>46. With regard to the commercial practice under A), in assessing the severity of the violation, the following must be considered: i) the total unavailability of the professional and therefore the impossibility of quantifying their economic size; ii) the multiple profiles of misleadingness established regarding the characteristics and nature of the products offered; iii) the wide capacity for dissemination of the practice, given the increasing recourse to e-commerce by consumers; iv) the particular nature of the products involved, attributable to a famous high-fashion brand and the economic convenience of the offers; v) the extent of the economic harm caused to consumers, especially considering the manner in which the price is charged at the confirmation of the order.</w:t>
      </w:r>
    </w:p>
    <w:p>
      <w:r>
        <w:t>47. As for the duration of the violation, from the available elements in the records, it appears that the practice has been in place at least since March 2013, until June 13, 2013.</w:t>
      </w:r>
    </w:p>
    <w:p>
      <w:r>
        <w:t>48. Based on these elements, in relation to practice A), it is deemed appropriate to determine the amount of the administrative pecuniary sanction applicable to Mr. Jin Wu in the amount of €100,000 (one hundred thousand euros).</w:t>
      </w:r>
    </w:p>
    <w:p>
      <w:r>
        <w:t>49. With regard to the commercial practice under B), in assessing the severity of the violation, the following must be considered: i) the total unavailability of the professional and therefore the impossibility of quantifying their economic size; ii) the failure to identify the professional, as well as the denial of all consumer rights provided in the post-sale phase; iii) the wide capacity for dissemination of the practice, given the increasing recourse to e-commerce by consumers.</w:t>
      </w:r>
    </w:p>
    <w:p>
      <w:r>
        <w:t>50. As for the duration of the violation, from the available elements in the records, it appears that the practice has been in place at least since March 2013, until June 13, 2013.</w:t>
      </w:r>
    </w:p>
    <w:p>
      <w:r>
        <w:t>51. Based on these elements, in relation to practice B), it is deemed appropriate to determine the amount of the administrative pecuniary sanction applicable to Mr. Jin Wu in the amount of €100,000 (one hundred thousand euros).</w:t>
      </w:r>
    </w:p>
    <w:p>
      <w:r>
        <w:t>CONSIDERED, therefore, in accordance with the opinion of the Authority for Communications Guarantees, based on the aforementioned considerations, that the commercial practice under A) must be deemed unfair pursuant to Articles 20, 21, paragraph 1, letters b) and f), and 21, paragraph 2, letter a), 24 and 25, letter d), of the Consumer Code, as it is contrary to professional diligence and capable, through the dissemination of untrue information and the omission of relevant information, of appreciably distorting the economic behavior of the average consumer in relation to the actual characteristics of originality of the products offered;</w:t>
      </w:r>
    </w:p>
    <w:p>
      <w:r>
        <w:t>CONSIDERED, also, in accordance with the opinion of the Authority for Communications Guarantees, based on the aforementioned considerations, that the commercial practice under B) must be deemed unfair pursuant to Articles 20 and 22, paragraph 1, with specific reference to the provisions of the same Article 22, paragraph 4, letters b) and e), of the Consumer Code, as it is contrary to professional diligence and capable of unduly influencing the freedom of choice of the average consumer in relation to the possibility of exercising contractual rights and/or the potential interruption of the contractual relationship as provided and regulated by the rules for the protection of purchasing consumers;</w:t>
      </w:r>
    </w:p>
    <w:p>
      <w:r>
        <w:t>1 Date on which the precautionary measure decided by the Authority on June 5, 2013, was executed.</w:t>
        <w:br/>
        <w:t>2 Date on which the precautionary measure decided by the Authority on June 5, 2013, was executed.</w:t>
      </w:r>
    </w:p>
    <w:p>
      <w:r>
        <w:t>202 BULLETIN NO. 11 OF MARCH 17, 2014</w:t>
      </w:r>
    </w:p>
    <w:p>
      <w:r>
        <w:t>RESOLUTION</w:t>
      </w:r>
    </w:p>
    <w:p>
      <w:r>
        <w:t>a) that the commercial practice described in point II, letter A) of this provision, carried out by Mr. Jin Wu, constitutes, for the reasons and within the limits set out in the motivation, an unfair commercial practice pursuant to Articles 20, 21, paragraph 1, letters b) and f), and 21, paragraph 2, letter a), 24 and 25, letter d), of the Consumer Code, and prohibits its dissemination or continuation;</w:t>
      </w:r>
    </w:p>
    <w:p>
      <w:r>
        <w:t>b) that the commercial practice described in point II, letter B) of this provision, carried out by Mr. Jin Wu, constitutes, for the reasons and within the limits set out in the motivation, an unfair commercial practice pursuant to Articles 20 and 22, paragraph 1, with specific reference to the provisions of the same Article 22, paragraph 4, letters b) and e), of the Consumer Code, and prohibits its dissemination or continuation;</w:t>
      </w:r>
    </w:p>
    <w:p>
      <w:r>
        <w:t>c) to impose on Mr. Jin Wu, regarding practice A), an administrative pecuniary sanction of €100,000 (one hundred thousand euros);</w:t>
      </w:r>
    </w:p>
    <w:p>
      <w:r>
        <w:t>d) to impose on Mr. Jin Wu, regarding practice B), an administrative pecuniary sanction of €100,000 (one hundred thousand euros).</w:t>
      </w:r>
    </w:p>
    <w:p>
      <w:r>
        <w:t>The administrative sanctions referred to in the previous letters c) and d) must be paid within thirty days from the notification of this provision, using the attached F24 model with identifying elements, pursuant to Legislative Decree No. 241/1997. This model can be submitted in paper format at the counters of banks, Poste Italiane S.p.A., and Collection Agents. Alternatively, the model can be submitted electronically, with a charge to one's bank or postal account, through home banking and CBI services provided by banks or Poste Italiane S.p.A., or by using the telematic services of the Revenue Agency, available on the website www.agenziaentrate.gov.it.</w:t>
      </w:r>
    </w:p>
    <w:p>
      <w:r>
        <w:t>Pursuant to Article 37, paragraph 49, of Decree-Law No. 223/2006, subjects holding a VAT number are required to submit the F24 model electronically.</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payment interest accrued during the same period.</w:t>
      </w:r>
    </w:p>
    <w:p>
      <w:r>
        <w:t>Immediate communication of the payment must be given to the Authority by sending a copy of the model certifying the payment made.</w:t>
      </w:r>
    </w:p>
    <w:p>
      <w:r>
        <w:t>Pursuant to the combined provisions of Article 27, paragraph 12, of the Consumer Code and Article 23, paragraph 12-quinquiesdecies, of Decree-Law of July 6, 2012, No. 95, converted with amendments by Law No. 135 of August 7, 2012 (Official Gazette No. 173/L of August 14, 2012),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Authority for the Guarantee of Competition and the Market, considering the nature of the offense and to ensure the public has the widest knowledge of its institutional activities.</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r>
    </w:p>
    <w:p>
      <w:r>
        <w:t>Roberto Chieppa Giovanni Pitruzzella</w:t>
      </w:r>
    </w:p>
    <w:p>
      <w:r>
        <w:rPr>
          <w:b/>
        </w:rPr>
        <w:t>[Pages 202–204]</w:t>
      </w:r>
    </w:p>
    <w:p>
      <w:r>
        <w:t>205 BULLETIN NO. 11 OF MARCH 17, 2014</w:t>
      </w:r>
    </w:p>
    <w:p>
      <w:r>
        <w:t>PS8985 - ARMANI-COUNTERFEIT PRODUCTS</w:t>
      </w:r>
    </w:p>
    <w:p>
      <w:r>
        <w:t>Provision No. 24703</w:t>
      </w:r>
    </w:p>
    <w:p>
      <w:r>
        <w:t>THE ANTITRUST AUTHORITY</w:t>
      </w:r>
    </w:p>
    <w:p>
      <w:r>
        <w:t>IN ITS MEETING of December 10, 2013;</w:t>
      </w:r>
    </w:p>
    <w:p>
      <w:r>
        <w:t>HEARD the Rapporteur Dr. Salvatore Rebecchini;</w:t>
      </w:r>
    </w:p>
    <w:p>
      <w:r>
        <w:t>HAVING REGARD to Part II, Title III, of Legislative Decree No. 206 of September 6, 2005, and subsequent amendments (hereinafter, Consumer Code);</w:t>
      </w:r>
    </w:p>
    <w:p>
      <w:r>
        <w:t>HAVING REGARD to Article 23, paragraph 12-quinquiesdecies, of Decree-Law No. 95 of July 6, 2012, as amended by Law No. 135 of August 7, 2012, which increased the maximum administrative fine to 5,000,000 euros;</w:t>
      </w:r>
    </w:p>
    <w:p>
      <w:r>
        <w:t>HAVING REGARD to the "Regulation on investigative procedures regarding misleading and comparative advertising, unfair commercial practices, and unfair clauses" (hereinafter, Regulation), adopted by the Authority with resolution of August 8, 2012;</w:t>
      </w:r>
    </w:p>
    <w:p>
      <w:r>
        <w:t>HAVING REGARD to its provision of June 11, 2013, whereby the adoption of the precautionary measure was decided, pursuant to Article 27, paragraph 3, of the Consumer Code;</w:t>
      </w:r>
    </w:p>
    <w:p>
      <w:r>
        <w:t>HAVING REGARD to the acts of the proceedings;</w:t>
      </w:r>
    </w:p>
    <w:p>
      <w:r>
        <w:t>I. THE PARTIES</w:t>
      </w:r>
    </w:p>
    <w:p>
      <w:r>
        <w:t>1. Mr. Adam Dormain, owner and registrant of the domain name emporioarmaniwatchesuk.uk.com registered at IP address 87.117.229.23;</w:t>
        <w:br/>
        <w:t>2. Adoc, consumer protection association, and Indicam, Centromarca Institute for the fight against counterfeiting, as complainants.</w:t>
      </w:r>
    </w:p>
    <w:p>
      <w:r>
        <w:t>II. THE COMMERCIAL PRACTICES</w:t>
      </w:r>
    </w:p>
    <w:p>
      <w:r>
        <w:t>3. The proceedings concern the behavior of the professional who, using the domain name emporioarmaniwatchesuk.uk.com registered at IP address 87.117.229.23, advertised watches branded Emporio Armani, implying to visitors of the site www.emporioarmaniwatchesuk.uk.com that the products sold were original and offered to consumers at particularly convenient prices.</w:t>
      </w:r>
    </w:p>
    <w:p>
      <w:r>
        <w:t>4. The reports highlight that the information present on the site www.emporioarmaniwatchesuk.uk.com would be likely to deceive consumers, leading them to make a commercial decision that they would not have otherwise made. In fact, the watches advertised as Emporio Armani branded products would actually be counterfeit.</w:t>
      </w:r>
    </w:p>
    <w:p>
      <w:r>
        <w:t>5. The fact that these are non-original products emerges from the report of the Indicam association, which forwarded to the Authority the complaint from the owner of the Emporio Armani trademark who, in response to complaints from some buyers, stated that he had conducted a thorough verification of the single-brand sales site www.emporioarmaniwatchesuk.uk.com through his technicians to determine whether the products offered for sale were original.</w:t>
      </w:r>
    </w:p>
    <w:p>
      <w:r>
        <w:t>6. According to the complaint from the consumer association, the structure of the site would have led some buyers to complete the transaction believing they were purchasing an original product on the site www.emporioarmaniwatchesuk.uk.com at an outlet price, which actually turned out to be a counterfeit product. The report also highlights that the information contained on the "Return and Exchange" page regarding the rights recognized to buyers by the Consumer Code is incorrect, both regarding the post-sale phase, i.e., the warranty on the product, and regarding the exercise of the right of withdrawal and reconsideration. In fact, the "Return and Exchange" page provides confusing information about the product return and reconsideration procedures and does not disclose information about the existence of the mandatory legal warranty pursuant to Articles 130 and following of the Consumer Code. The site does not indicate any geographical address and/or identity of the professional to whom complaints can be addressed, except for the email address: service@emporioarmaniwatchesuk.uk.com.</w:t>
      </w:r>
    </w:p>
    <w:p>
      <w:r>
        <w:t>7. The consumer association also highlights that the insidiousness of the practice lies in the particular appeal generated by a highly fashionable and current product like Armani watches. The professional amplifies the hook effect of his site as it offers free shipping of the product right on the homepage, along with a hypothetical additional discount applied in case of immediate purchase. Furthermore, throughout the site www.emporioarmaniwatchesuk.uk.com, images and photos taken from the original site www.armaniwatch.com scroll by, and access to the entire catalog of products currently for sale is available, saving between 50% and 70% off the official price.</w:t>
      </w:r>
    </w:p>
    <w:p>
      <w:r>
        <w:t>8. That said, the behaviors as described above could constitute three distinct unfair commercial practices carried out in violation of Articles 20, 21, paragraph 1, letters a), b), f) and g), paragraph 2, letter a), 22, paragraphs 1 and 4, letters a), b) and e), 23, paragraph 1, letter b), 24 and 25, paragraph 1, letter d), of the Consumer Code. Therefore, on May 31, 2013, the investigative procedure PS/8985 was initiated, contesting the following practices against the professional:</w:t>
      </w:r>
    </w:p>
    <w:p>
      <w:r>
        <w:t>a) Sale of counterfeit products</w:t>
      </w:r>
    </w:p>
    <w:p>
      <w:r>
        <w:t>9. Through his website www.emporioarmaniwatchesuk.uk.com, the professional would have provided misleading information regarding the actual existence, nature, and characteristics of the offered product, falsely implying to be an official Emporio Armani distributor and unlawfully using the related trademark without having obtained the necessary authorization. Such conduct could constitute a misleading commercial practice pursuant to Articles 20, 21, paragraph 1, letters a), b) and e), paragraph 2, letter a), and 23, paragraph 1, letter b).</w:t>
      </w:r>
    </w:p>
    <w:p>
      <w:r>
        <w:t>b) Omissions of information regarding the identification of the professional and all consumer rights provided in the post-sale phase</w:t>
      </w:r>
    </w:p>
    <w:p>
      <w:r>
        <w:t>10. In violation of Articles 20, 21, paragraph 1, letters f) and g), and 22, paragraphs 1 and 4, letters a), b) and e), the professional would have failed to indicate on the site www.emporioarmaniwatchesuk.uk.com his identity and geographical address along with all rights provided for consumer protection in the post-sale phase, including the right to replacement or refund, and including the existence of the right of withdrawal and contract termination for products and commercial transactions that entail such rights.</w:t>
      </w:r>
    </w:p>
    <w:p>
      <w:r>
        <w:t>c) Failure to provide the legal warranty of conformity</w:t>
      </w:r>
    </w:p>
    <w:p>
      <w:r>
        <w:t>11. The professional, moreover, by offering counterfeit products, which by their nature cannot be protected by the manufacturer's warranty, has completely disregarded the regulations regarding the legal warranty of conformity set forth in Title III, Part IV, of the Consumer Code, according to which, in the event of a conformity defect existing at the time of delivery of the good and manifesting within 2 years from the delivery itself, the consumer is entitled, against the seller, to restore, at no cost, the conformity of the good through repair or replacement, or, alternatively (in cases provided for by paragraph 7 of Article 130), to an adequate reduction of the price or to the resolution of the contract. In this case, since it is a counterfeit product sold as original to the consumer, the exercise of any of his rights is effectively precluded, and therefore the described behavior could constitute a violation of Articles 20, 24 and 25, letter d), of the Consumer Code.</w:t>
      </w:r>
    </w:p>
    <w:p>
      <w:r>
        <w:t>III. THE OUTCOMES OF THE PROCEEDINGS</w:t>
      </w:r>
    </w:p>
    <w:p>
      <w:r>
        <w:t>1) The course of the proceedings</w:t>
      </w:r>
    </w:p>
    <w:p>
      <w:r>
        <w:t>12. Based on the information acquired in the records, on May 31, 2013, the investigative procedure PS8985 was initiated, pursuant to Article 27, paragraph 3, of the Consumer Code, as well as pursuant to Article 6 of the Regulation, in order to verify the existence of the aforementioned unfair commercial practices in violation of Articles 20, 21 paragraph 1 letters a), b), f), e) and g), paragraph 2, letter a), 22, paragraphs 1 and 4, letters a), b) and e), 23, paragraph 1, letter b), 24 and 25, paragraph 1, letter d), of the Consumer Code, carried out by Mr. Adam Dormain.</w:t>
      </w:r>
    </w:p>
    <w:p>
      <w:r>
        <w:t>13. The Authority, with a resolution adopted in the meeting of June 11, 2013, ordered that, pursuant to Article 27, paragraph 3, of the Consumer Code and Article 8, paragraph 3, of the Regulation, Mr. Adam Dormain suspend any activity aimed at disseminating the contents of the domain name emporioarmaniwatchesuk.uk.com registered at IP address 87.117.229.23 accessible through connection requests from the Italian territory.</w:t>
      </w:r>
    </w:p>
    <w:p>
      <w:r>
        <w:t>14. With the same resolution, the Authority ordered, pursuant to Articles 14, paragraph 3, 15, paragraph 2 and 16, paragraph 3 of Legislative Decree No. 70 of April 9, 2003, that the subjects referred to in the same norms, which made the website identified by the domain name emporioarmaniwatchesuk.uk.com accessible, should block, in case of non-compliance by Mr. Adam Dormain, access requests to that site from users connected to the internet from the Italian territory.</w:t>
      </w:r>
    </w:p>
    <w:p>
      <w:r>
        <w:t>15. Mr. Adam Dormain, having not participated in any way in the proceedings that led to the adoption by the Authority of the precautionary suspension measure regarding the practices in question, the Authority requested the direct cooperation of the military of the Antitrust Group of the Special Market Protection Unit of the Guardia di Finanza, pursuant to Article 3, paragraph 1, of Legislative Decree No. 6 of March 19, 2001, to enforce the precautionary provision.</w:t>
      </w:r>
    </w:p>
    <w:p>
      <w:r>
        <w:t>16. Specifically, the military of the Antitrust Group of the Special Market Protection Unit of the Guardia di Finanza were requested to carry out all necessary activities to ensure that the subjects referred to in Articles 14, paragraph 3, 15, paragraph 2, and 16, paragraph 3, of Legislative Decree No. 70 of April 9, 2003,</w:t>
      </w:r>
    </w:p>
    <w:p>
      <w:r>
        <w:rPr>
          <w:b/>
        </w:rPr>
        <w:t>[Pages 205–207]</w:t>
      </w:r>
    </w:p>
    <w:p>
      <w:r>
        <w:t>BULLETIN NO. 11 OF MARCH 17, 2014 207</w:t>
      </w:r>
    </w:p>
    <w:p>
      <w:r>
        <w:t>No. 70, which made the domain name emporioarmaniwatchesuk.uk.com accessible at IP address 87.117.229.23, prevented users from accessing the same website through internet connection requests originating from Italian territory.</w:t>
      </w:r>
    </w:p>
    <w:p>
      <w:r>
        <w:t>17. The measure was made enforceable on June 20, 2013.</w:t>
      </w:r>
    </w:p>
    <w:p>
      <w:r>
        <w:t>18. On October 16, 2013, the Parties were notified of the conclusion of the investigative phase.</w:t>
      </w:r>
    </w:p>
    <w:p>
      <w:r>
        <w:t>2) The evidence acquired</w:t>
      </w:r>
    </w:p>
    <w:p>
      <w:r>
        <w:t>19. The fact that the information provided on the website www.emporioarmaniwatchesuk.uk.com was likely to mislead recipients regarding the characteristics of the products for sale emerged from the report sent to the Authority by the Indicam association. The aforementioned association forwarded to the Authority the complaint from the owner of the Emporio Armani trademark, who, in response to complaints from some buyers regarding the quality of the advertised products and having received requests for warranty performance on the same from some buyers, stated that he had conducted a thorough verification of the single-brand sales website www.emporioarmaniwatchesuk.uk.com through his technicians to determine whether the products advertised there were original or not. According to the statements made by the owner of the Emporio Armani trademark, all the items sold were counterfeit.</w:t>
      </w:r>
    </w:p>
    <w:p>
      <w:r>
        <w:t>20. Furthermore, on the website in question, on the "Return and Exchange" page, information was provided exclusively on the shipping methods for the products that may have been ordered, while all information regarding the right of withdrawal and reconsideration, as well as information regarding the existence of the mandatory legal warranty pursuant to Articles 130 and following of the Consumer Code, was absent. The sites did not indicate any precise geographical address and/or the identity of the professional to whom buyers could turn in case of complaints.</w:t>
      </w:r>
    </w:p>
    <w:p>
      <w:r>
        <w:t>3) The defensive arguments of the Party</w:t>
      </w:r>
    </w:p>
    <w:p>
      <w:r>
        <w:t>21. Following the communication of the initiation of the procedure as well as the precautionary measure adopted by the Authority in its meeting of June 11, 2013, Mr. Adam Dormain, the owner of the website subject to the procedure, did not participate in the procedure in any way nor submitted defensive briefs, nor provided the requested report regarding the measures taken to comply with what was decided by the Authority with the aforementioned precautionary measure.</w:t>
      </w:r>
    </w:p>
    <w:p>
      <w:r>
        <w:t>IV. OPINION OF THE AUTHORITY FOR GUARANTEES IN COMMUNICATIONS</w:t>
      </w:r>
    </w:p>
    <w:p>
      <w:r>
        <w:t>22. Since the commercial practice subject to this measure was disseminated via the internet, on November 7, 2013, the opinion was requested from the Authority for Guarantees in Communications, pursuant to Article 27, paragraph 6, of the Consumer Code.</w:t>
      </w:r>
    </w:p>
    <w:p>
      <w:r>
        <w:t>23. In an opinion received on December 5, 2013, the aforementioned Authority deemed that the commercial practices in question were unfair pursuant to Articles 20, 21, paragraph 1, letters b) and f), paragraph 2, letter a), 22, paragraphs 1 and 4, letters b) and e), as well as Article 59 of the Consumer Code, based on the following considerations.</w:t>
      </w:r>
    </w:p>
    <w:p>
      <w:r>
        <w:t>24. In evaluating the commercial practices under examination, the notoriety of the counterfeit trademark (Armani) "and the great appeal that the offer of high fashion products so characterized at particularly advantageous prices can exert on the average consumer" is relevant.</w:t>
      </w:r>
    </w:p>
    <w:p>
      <w:r>
        <w:t>25. The sites through which the professional promotes counterfeit products "are presented as an online outlet for branded products and are structured in the same or very similar manner to those that advertise original products."</w:t>
      </w:r>
    </w:p>
    <w:p>
      <w:r>
        <w:t>26. The professional did not submit briefs and none of the information requested by the Antitrust Authority was provided.</w:t>
      </w:r>
    </w:p>
    <w:p>
      <w:r>
        <w:t>27. The contested conduct "for the formulation and presentation of the messages in which they consist, can lead the average consumer to believe they are purchasing original products at heavily discounted prices due to the effects of their marketing on a global market," where the information provided is not correct, being instead "absolutely misleading and not suitable to inform the average consumer about the actual characteristics of the products, their commercial origin, and their real value and quality." Specifically, the use of particularly well-known trademarks to the general public is likely to produce a situation of confusion regarding the commercial origin of the products.</w:t>
      </w:r>
    </w:p>
    <w:p>
      <w:r>
        <w:t>28. From the perspective of the completeness of information, the following information is particularly relevant: "(i) the geographical address and identity of the professional [...]; (ii) the existence of a right of withdrawal," whereas, in the case at hand, "the professional completely omits [...] to make this information available."</w:t>
      </w:r>
    </w:p>
    <w:p>
      <w:r>
        <w:t>29. Finally, there is no "evidence of the production methods of the goods marketed through the sites in question, nor are there guarantees that their production is subject to the quality standards imposed by current regulations."</w:t>
      </w:r>
    </w:p>
    <w:p>
      <w:r>
        <w:t>V. CONCLUDING EVALUATIONS</w:t>
      </w:r>
    </w:p>
    <w:p>
      <w:r>
        <w:t>30. The procedure in question is aimed at ascertaining the potential unfairness of the commercial practices described above carried out by the professional, consisting of the online sale to Italian consumers of watches branded Emporio Armani presented as original products that were in fact counterfeit.</w:t>
      </w:r>
    </w:p>
    <w:p>
      <w:r>
        <w:t>31. That said, it is noted that the cases described in the previous point II, letters a), b), and c), constitute two distinct unfair commercial practices, individually and autonomously assessable. Practice c), in this case, is absorbed into practice a) considering that the purchase of a non-original product does not allow buyers to benefit from either the legal warranty, as the replaced product will always be non-original, nor from the manufacturer's conformity warranty since the goods sold on the site in question do not fall within those produced by the trademark owner. The practices in question, in fact, present themselves as structurally autonomous both due to the phase of the consumer relationship to which they pertain and due to the methods of coercion of the consumer's will.</w:t>
      </w:r>
    </w:p>
    <w:p>
      <w:r>
        <w:t>a) Sale of counterfeit products</w:t>
      </w:r>
    </w:p>
    <w:p>
      <w:r>
        <w:t>32. With specific regard to the sale of products through the website www.emporioarmaniwatchesuk.uk.com, it is noted that from the documents acquired in the investigation it emerged that the professional provided misleading information regarding the real nature and characteristics of the products offered for sale, leading the consumer, contrary to the truth, to believe he was an authorized distributor of Emporio Armani and selling original products, which were in reality counterfeit. It appears from the records that the owner of the Emporio Armani trademark, due to numerous reports received from deceived customers, had the site examined by his technicians and therefore reported to the Authority that all the watches sold there were counterfeit.</w:t>
      </w:r>
    </w:p>
    <w:p>
      <w:r>
        <w:t>33. The perception that the products sold were original Emporio Armani watches was reinforced by the structure of the site, which appeared to be a true clone of the original site, in addition to the fact that the information present and the images related to the entire catalog of Emporio Armani watches were already suitable to mislead visitors. Furthermore, the price of the proposed items was in line with outlet prices of major brand products, further amplifying the recipients' perception that they had entered outlet sites for original items and certainly not sites selling counterfeit watches as later evidenced in the records.</w:t>
      </w:r>
    </w:p>
    <w:p>
      <w:r>
        <w:t>34. The contested commercial practice appears particularly insidious in its ability to alter consumer choices and mislead them, as the structure and particularly the graphics used were likely to generate in consumers attracted by the site the belief that they could purchase an original product at an outlet price.</w:t>
      </w:r>
    </w:p>
    <w:p>
      <w:r>
        <w:t>35. It is noted that the site in question allowed the possibility of purchasing various watches with different currencies, further reinforcing the perception that the particularly advantageous price could derive from the fact that it was an authorized distributor of original Emporio Armani products, which could therefore take advantage of the undeniable benefits arising from the globalization of markets during a period of deep economic crisis.</w:t>
      </w:r>
    </w:p>
    <w:p>
      <w:r>
        <w:t>36. It is evident that since these are non-original watches, buyers convinced they had purchased original Emporio Armani products were in fact deprived of the possibility of benefiting from the legal warranty and conformity. Title III, Part IV, of the Consumer Code, in fact, provides that in the event of a conformity defect existing at the time of delivery of the good and manifesting within 2 years from the delivery itself, the consumer is entitled, against the seller, to the restoration, at no cost, of the conformity of the good through repair or replacement, or, in the alternative (in the cases provided for by paragraph 7 of Article 130), to an adequate reduction of the price or to the resolution of the contract.</w:t>
      </w:r>
    </w:p>
    <w:p>
      <w:r>
        <w:t>37. Since in this case, the products were counterfeit sold as original to the consumer, he was effectively denied the exercise of any of his rights as the products in question by their nature cannot be protected by the warranty of the parent company and, therefore, the described behavior constitutes a violation of Articles 20, 24, and 25, letter d), of the Consumer Code.</w:t>
      </w:r>
    </w:p>
    <w:p>
      <w:r>
        <w:t>38. Based on the above, the commercial practice under A) must also be deemed unfair pursuant to Articles 20, 21, paragraph 1, letters a), b), and e), paragraph 2, letter a), and 23, paragraph 1, letter b), as it is contrary to professional diligence and likely, through the dissemination of untrue indications and the omission of relevant information regarding the nature and quality of the advertised products, to appreciably distort the economic behavior of the average consumer in relation to the characteristics of the products and the concrete possibility of receiving original Emporio Armani watches as depicted on the site and offered for sale.</w:t>
      </w:r>
    </w:p>
    <w:p>
      <w:r>
        <w:rPr>
          <w:b/>
        </w:rPr>
        <w:t>[Pages 208–210]</w:t>
      </w:r>
    </w:p>
    <w:p>
      <w:r>
        <w:t>210 BULLETIN NO. 11 OF MARCH 17, 2014</w:t>
      </w:r>
    </w:p>
    <w:p>
      <w:r>
        <w:t>39. In this context, for the purposes of the misleading judgment, the omission by the professional of all necessary specifications to make the advertised offer objectively intelligible in its actual scope is of insurmountable relevance.</w:t>
      </w:r>
    </w:p>
    <w:p>
      <w:r>
        <w:t>b) Omissions of information concerning the identification of the professional and all consumer rights provided in the post-sale phase</w:t>
      </w:r>
    </w:p>
    <w:p>
      <w:r>
        <w:t>40. Regarding the omissions related to the identity of the professional and the omissions related to the rights of buyers based on the provisions of the Consumer Code, the commercial practice under B) must be considered incorrect pursuant to Articles 20, 21, paragraph 1, letters f) and g), and 22, paragraphs 1 and 4, letters a), b) and e), as it is contrary to professional diligence and capable of unduly conditioning the freedom of choice of the average consumer in relation to the possibility of contacting the professional and regarding the possibility of exercising contractual rights and/or the potential interruption of the contractual relationship as provided and regulated by the rules for the protection of purchasing consumers.</w:t>
      </w:r>
    </w:p>
    <w:p>
      <w:r>
        <w:t>41. In this regard, the professional would have failed to indicate on the website www.emporioarmaniwatchesuk.uk.com their identity and geographical address along with all rights provided for the protection of the consumer in the post-sale phase, including the right of replacement and/or refund and including the existence of the right of withdrawal and termination of the contract for products and commercial transactions that entail such a right.</w:t>
      </w:r>
    </w:p>
    <w:p>
      <w:r>
        <w:t>42. As for the indications on delivery methods, the mere fact that the site omits any contact information and does not allow for the correct identification of the professional renders them misleading in itself. Nor is it valid to argue that the professional refers to hypothetical average delivery times on the site. It can indeed be easily counter-argued that the indication serves, in any case, to establish in the recipient a legitimate reliance on being able to enjoy the contractually provided rights but which are in fact not exercisable once the goods are received due to the absolute impossibility of correctly identifying the interlocutor.</w:t>
      </w:r>
    </w:p>
    <w:p>
      <w:r>
        <w:t>43. In this regard, it should be noted that the proceedings in question were also initiated following a report from the owner of the Emporio Armani trademark, forwarded to the Authority by the Indicam association. The trademark owner, in fact, based on complaints from some buyers who, unable to communicate with the website owners, turned to the parent company, initiated a series of checks and verified that the watches sold on the website subject to the proceedings were counterfeit products and, therefore, lacked the possibility of enjoying the guarantees recognized by law from the manufacturer to the buyer.</w:t>
      </w:r>
    </w:p>
    <w:p>
      <w:r>
        <w:t>44. The practice is therefore strongly damaging to the principles of fairness and good faith, which are fundamental especially for those engaged in distance selling and, in this case, an online selling activity at particularly advantageous prices, an activity that involves charging the price of the product at the time of the order on the site, that is, before the actual availability of the purchased good by the consumer.</w:t>
      </w:r>
    </w:p>
    <w:p>
      <w:r>
        <w:t>VI. QUANTIFICATION OF THE SANCTION</w:t>
      </w:r>
    </w:p>
    <w:p>
      <w:r>
        <w:t>45. Pursuant to the combined provisions of Article 27, paragraph 9 of the Consumer Code and Article 23, paragraph 12-quinquiesdecies, of Decree Law No. 95 of July 6, 2012, as amended by the conversion law No. 135 of August 7, 2012, with the provision that prohibits the unfair commercial practice, the Authority orders the application of an administrative pecuniary sanction from €5,000 to €5,000,000, taking into account the severity and duration of the violation.</w:t>
      </w:r>
    </w:p>
    <w:p>
      <w:r>
        <w:t>46. In the case of proceedings concerning a plurality of established administrative offenses, the jurisprudence has clarified that in the presence of a plurality of conduct with structural and functional autonomy, attributed to the responsibility of the professionals, the criterion of material cumulation of sanctions applies, instead of legal cumulation (see, among others, Council of State, Section VI, judgment No. 209 of January 19, 2012).</w:t>
      </w:r>
    </w:p>
    <w:p>
      <w:r>
        <w:t>47. Regarding the quantification of the sanction, the criteria identified by Article 11 of Law No. 689/81 must be taken into account, as applicable, by virtue of the reference provided in Article 27, paragraph 13, of the Consumer Code: in particular, the severity of the violation, the actions taken by the company to eliminate or mitigate the infringement, the personality of the agent, as well as the economic conditions of the company itself.</w:t>
      </w:r>
    </w:p>
    <w:p>
      <w:r>
        <w:t>48. In the specific case, moreover, the conduct in question is characterized by particular severity as it was carried out during a period of severe economic crisis, as a result of which consumers are induced to resort to alternative forms of purchasing goods (especially non-essential goods) to traditional ones, in an attempt to obtain less burdensome economic conditions. In this context, the conduct of those professionals who undermine consumer trust in e-commerce, as a potential tool for the development and revival of the production system, is particularly reprehensible, inducing prospective buyers to adhere to commercial proposals that have a high probability of not being completed with the delivery of the good or of receiving a good that differs in quality and nature from that proposed, against the immediate loss of the availability of the sum of money corresponding to the price.</w:t>
      </w:r>
    </w:p>
    <w:p>
      <w:r>
        <w:t>49. With regard to the commercial practice under A), in assessing the severity of the violation, the following must be considered: i) the total unavailability of the professional and therefore the impossibility of quantifying their economic size; ii) the plurality of profiles of misleading conduct established regarding the characteristics and nature of the products offered; iii) the wide capacity for dissemination of the practice, given the increasing recourse to e-commerce by consumers; iv) the particular nature of the products involved linked to a famous high-fashion brand and the economic convenience of the offers; v) the extent of the economic harm caused to consumers, especially considering the methods of charging the price that occurs upon confirmation of the order.</w:t>
      </w:r>
    </w:p>
    <w:p>
      <w:r>
        <w:t>50. As for the duration of the violation, from the available elements in the records, it appears that the practice has been carried out at least since May 2013 and until June 2013.</w:t>
      </w:r>
    </w:p>
    <w:p>
      <w:r>
        <w:t>51. Based on these elements, in relation to the practice under A), it is deemed appropriate to determine the amount of the applicable administrative pecuniary sanction for Mr. Adam Dormain at €50,000 (fifty thousand euros).</w:t>
      </w:r>
    </w:p>
    <w:p>
      <w:r>
        <w:t>52. Regarding the commercial practice under B), in assessing the severity of the violation, the following must be considered: i) the total unavailability of the professional and therefore the impossibility of quantifying their economic size; ii) the failure to identify the professional as well as the denial of all consumer rights provided in the post-sale phase; iii) the wide capacity for dissemination of the practice, given the increasing recourse to e-commerce by consumers.</w:t>
      </w:r>
    </w:p>
    <w:p>
      <w:r>
        <w:t>53. As for the duration of the violation, from the available elements in the records, it appears that the practice has been carried out at least since May 2013 and until June 2013.</w:t>
      </w:r>
    </w:p>
    <w:p>
      <w:r>
        <w:t>54. Based on these elements, in relation to the practice under B), it is deemed appropriate to determine the amount of the applicable administrative pecuniary sanction for Mr. Adam Dormain at €50,000 (fifty thousand euros).</w:t>
      </w:r>
    </w:p>
    <w:p>
      <w:r>
        <w:t>THEREFORE CONSIDERED, in accordance with the opinion rendered by the Authority for Communications Guarantees, based on the above considerations, that the commercial practice under A) must be considered incorrect pursuant to Articles 20, 21, paragraph 1, letters a), b) and e), paragraph 2, letter a), 23, paragraph 1, letter b), 24 and 25, letter d), of the Consumer Code, as it is contrary to professional diligence and capable, through the dissemination of misleading indications and the omission of relevant information, of appreciably distorting the economic behavior of the average consumer in relation to the actual characteristics of originality of the products offered;</w:t>
      </w:r>
    </w:p>
    <w:p>
      <w:r>
        <w:t>FURTHER CONSIDERED, in accordance with the opinion rendered by the Authority for Communications Guarantees, based on the above considerations, that the commercial practice under B) is deemed incorrect pursuant to Articles 20, 21, paragraph 1, letters f) and g), and 22, paragraphs 1 and 4, letters a), b) and e), as it is contrary to professional diligence and capable, through omissive or obstructive conduct, of unduly conditioning the freedom of choice of the average consumer in relation to the exercise of contractual rights and/or the potential interruption of the contractual relationship;</w:t>
      </w:r>
    </w:p>
    <w:p>
      <w:r>
        <w:t>RESOLVES</w:t>
      </w:r>
    </w:p>
    <w:p>
      <w:r>
        <w:t>a) that the commercial practice described in point II, letter A) of this provision, carried out by Mr. Adam Dormain, constitutes, for the reasons and within the limits set out in the motivation, an unfair commercial practice pursuant to Articles 20, 21, paragraph 1 letters a), b) and e), paragraph 2, letter a), 23, paragraph 1, letter b), 24 and 25, letter d), of the Consumer Code and prohibits its dissemination or continuation;</w:t>
      </w:r>
    </w:p>
    <w:p>
      <w:r>
        <w:t>b) that the commercial practice described in point II, letter B) of this provision, carried out by Mr. Adam Dormain, constitutes, for the reasons and within the limits set out in the motivation, an unfair commercial practice pursuant to Articles 20, 21, paragraph 1, letters f) and g), and 22, paragraphs 1 and 4, letters a), b) and e), of the Consumer Code, and prohibits its dissemination or continuation;</w:t>
      </w:r>
    </w:p>
    <w:p>
      <w:r>
        <w:t>c) to impose on Mr. Adam Dormain, regarding the practice under A), an administrative pecuniary sanction of €50,000 (fifty thousand euros);</w:t>
      </w:r>
    </w:p>
    <w:p>
      <w:r>
        <w:rPr>
          <w:b/>
        </w:rPr>
        <w:t>[Pages 211–213]</w:t>
      </w:r>
    </w:p>
    <w:p>
      <w:r>
        <w:t>BULLETIN NO. 11 OF MARCH 17, 2014 213</w:t>
      </w:r>
    </w:p>
    <w:p>
      <w:r>
        <w:t>d) to impose on Mr. Adam Dormain, regarding the matter sub B), an administrative pecuniary sanction of €50,000 (fifty thousand euros);</w:t>
      </w:r>
    </w:p>
    <w:p>
      <w:r>
        <w:t>The administrative sanctions referred to in the previous letters c) and d) must be paid within thirty days from the notification of this provision, using the attached model F24 with identifying elements, pursuant to Legislative Decree No. 241/1997.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w:t>
      </w:r>
    </w:p>
    <w:p>
      <w:r>
        <w:t>Pursuant to Article 37, paragraph 49, of Decree-Law No. 223/2006, subjects holding a VAT number are required to submit the F24 model electronically.</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payment interest accrued during the same period.</w:t>
      </w:r>
    </w:p>
    <w:p>
      <w:r>
        <w:t>Immediate communication of the payment must be given to the Authority by sending a copy of the model certifying the payment made.</w:t>
      </w:r>
    </w:p>
    <w:p>
      <w:r>
        <w:t>Pursuant to the combined provisions of Article 27, paragraph 12-quinquiesdecies, of the Consumer Code and Article 23, paragraph 12-quinquiesdecies, of Decree-Law No. 6 July 2012, No. 95, converted with amendments by Law No. 7 August 2012, No. 135 (Official Gazette No. 173/L of 14 August 2012),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provision will be notified to the interested parties and published in the Bulletin of the Competition and Market Authority, considering the nature of the offense and to ensure the public has the widest knowledge of its institutional activities.</w:t>
      </w:r>
    </w:p>
    <w:p>
      <w:r>
        <w:t>214 BULLETIN NO. 11 OF MARCH 17, 2014</w:t>
      </w:r>
    </w:p>
    <w:p>
      <w:r>
        <w:t>Against this provision, an appeal may be submitted to the TAR of Lazio, pursuant to Article 135, paragraph 1, letter b), of the Administrative Process Code (Legislative Decree No. 104 of 2 July 2010),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No. 1199 of 24 November 1971 within the term of one hundred and twenty days from the date of notification of the provision itself.</w:t>
      </w:r>
    </w:p>
    <w:p>
      <w:r>
        <w:t>THE SECRETARY GENERAL THE PRESIDENT</w:t>
      </w:r>
    </w:p>
    <w:p>
      <w:r>
        <w:t>Roberto Chieppa Giovanni Pitruzzella</w:t>
      </w:r>
    </w:p>
    <w:p>
      <w:r>
        <w:t>BULLETIN NO. 11 OF MARCH 17, 2014 215</w:t>
      </w:r>
    </w:p>
    <w:p>
      <w:r>
        <w:t>PS9017 - AIRTICKETS - FLIGHT BOOKING AND CCS</w:t>
      </w:r>
    </w:p>
    <w:p>
      <w:r>
        <w:t>Provision No. 24787</w:t>
      </w:r>
    </w:p>
    <w:p>
      <w:r>
        <w:t>THE COMPETITION AND MARKET AUTHORITY</w:t>
      </w:r>
    </w:p>
    <w:p>
      <w:r>
        <w:t>IN ITS MEETING of February 5, 2014;</w:t>
      </w:r>
    </w:p>
    <w:p>
      <w:r>
        <w:t>HEARD the Rapporteur Dr. Salvatore Rebecchini;</w:t>
      </w:r>
    </w:p>
    <w:p>
      <w:r>
        <w:t>VIEWING Part II, Title III, of Legislative Decree No. 206 of September 6, 2005, containing the "Consumer Code" and subsequent amendments (hereinafter, Consumer Code);</w:t>
      </w:r>
    </w:p>
    <w:p>
      <w:r>
        <w:t>VIEWING Article 23, paragraph 12-quinquiesdecies, of Decree-Law No. 6 July 2012, No. 95, as amended by Law No. 7 August 2012, No. 135, which increased the maximum penalty to €5,000,000;</w:t>
      </w:r>
    </w:p>
    <w:p>
      <w:r>
        <w:t>VIEWING the "Regulation on investigative procedures regarding misleading and comparative advertising, unfair commercial practices, and unfair clauses" (hereinafter, Regulation), adopted by the Authority with resolution of August 8, 2012;</w:t>
      </w:r>
    </w:p>
    <w:p>
      <w:r>
        <w:t>VIEWING its provision of July 16, 2013, which ordered the inspection pursuant to Article 27, paragraphs 2 and 3, of the Consumer Code, at Regus Business Centres Italia S.r.l.;</w:t>
      </w:r>
    </w:p>
    <w:p>
      <w:r>
        <w:t>VIEWING the acts of the proceedings;</w:t>
      </w:r>
    </w:p>
    <w:p>
      <w:r>
        <w:t>I. THE PARTIES</w:t>
      </w:r>
    </w:p>
    <w:p>
      <w:r>
        <w:t>1. Airtickets Travel Services Ltd (hereinafter also "Airtickets UK"), as a professional, pursuant to Article 18, letter b), of the Consumer Code. The company, with its registered office in London, is an online travel agency that promotes travel and leisure activities. Airtickets UK operates in Italy under the brand Airtickets.it® and manages the website www.airtickets.it. The company, based on the financial data available as of December 31, 2012, generated revenues of approximately [omitted]1.</w:t>
      </w:r>
    </w:p>
    <w:p>
      <w:r>
        <w:t>2. Airtickets Tourist Services Limited Liability Company (hereinafter also "Airtickets GR"), with its registered office in Athens, as a professional, pursuant to Article 18, letter b), of the Consumer Code. The company has registered the domain name airtickets.it and manages all economic transactions and credit card charges following bookings made through the website www.airtickets.it. The company, based on the financial data available as of December 31, 2012, generated revenues of €9,149,808 million.</w:t>
      </w:r>
    </w:p>
    <w:p>
      <w:r>
        <w:t>II. THE COMMERCIAL PRACTICE</w:t>
      </w:r>
    </w:p>
    <w:p>
      <w:r>
        <w:t>3. The proceedings concern the behavior exhibited by the professionals, consisting of disseminating on the website www.airtickets.it misleading commercial communications specifically regarding offers of airline tickets, which do not provide immediate, clear, and complete information regarding the forecast, nature, and calculation methods of additional charges.</w:t>
      </w:r>
    </w:p>
    <w:p>
      <w:r>
        <w:t>1 In this version, some data are omitted, as elements of confidentiality or secrecy of the information were deemed to exist.</w:t>
      </w:r>
    </w:p>
    <w:p>
      <w:r>
        <w:rPr>
          <w:b/>
        </w:rPr>
        <w:t>[Pages 214–216]</w:t>
      </w:r>
    </w:p>
    <w:p>
      <w:r>
        <w:t>216 BULLETIN NO. 11 OF MARCH 17, 2014</w:t>
      </w:r>
    </w:p>
    <w:p>
      <w:r>
        <w:t>economic burdens. In particular, the prices presented at the beginning of the booking and online purchase phase do not include several relevant cost components such as transaction fees, airport fees, and the surcharge applied for payment by credit card (hereinafter also referred to as "credit card surcharge"), making the existence of such surcharges known to the consumer only at the final stage of the booking process, as these are added automatically by the system only at the end of the last step of the booking.</w:t>
      </w:r>
    </w:p>
    <w:p>
      <w:r>
        <w:t>III. THE OUTCOMES OF THE PROCEEDING</w:t>
      </w:r>
    </w:p>
    <w:p>
      <w:r>
        <w:t>1) The course of the proceeding</w:t>
      </w:r>
    </w:p>
    <w:p>
      <w:r>
        <w:t>4. Based on the findings from the professionals' website conducted ex officio in June 2013 and the report received on July 5, 2013, on July 17, 2013, the Parties were notified of the initiation of investigative proceeding No. PS9017 for possible violation of Articles 20, 21, and 22 of the Consumer Code.</w:t>
      </w:r>
    </w:p>
    <w:p>
      <w:r>
        <w:t>5. In this context, the misleading nature of the commercial communications regarding the online promotion of flights was particularly hypothesized, as a specific price was advertised on the homepage while a different, significantly higher price was presented at the end of the booking procedure.</w:t>
      </w:r>
    </w:p>
    <w:p>
      <w:r>
        <w:t>6. On July 18, 2013, an inspection was carried out at the company Regus Business Centres Italia S.r.l., indicated on the website www.airtickets.it as the headquarters of Airtickets.</w:t>
      </w:r>
    </w:p>
    <w:p>
      <w:r>
        <w:t>7. During the proceeding, on October 1, 2013, an additional report was received.</w:t>
      </w:r>
    </w:p>
    <w:p>
      <w:r>
        <w:t>8. On August 8, 2013, the professionals responded to the request for information contained in the communication initiating the proceeding, and on October 14, November 22, and 28, 2013, the Parties submitted further statements following the requests for information of November 6 and 27, 2013.</w:t>
      </w:r>
    </w:p>
    <w:p>
      <w:r>
        <w:t>9. On November 28, 2013, the Parties were finally notified of the conclusion date of the investigative phase pursuant to Article 16, paragraph 1, of the Regulation.</w:t>
      </w:r>
    </w:p>
    <w:p>
      <w:r>
        <w:t>10. On December 9, 2013, the Parties submitted a final statement, which was sent by fax on December 6, 2013.</w:t>
      </w:r>
    </w:p>
    <w:p>
      <w:r>
        <w:t>2) The evidence acquired</w:t>
      </w:r>
    </w:p>
    <w:p>
      <w:r>
        <w:t>11. The complainants alleged that the amount displayed as a result of the system query was increased during the booking process due to the application of additional economic burdens that were added, after entering the credit card details, to the total ticket price at the final stage of the booking process, as airport fees and credit card surcharge and transaction fees; therefore, upon payment, the total price was higher than initially indicated.</w:t>
      </w:r>
    </w:p>
    <w:p>
      <w:r>
        <w:t>12. The purchase simulations on the professionals' online booking system, conducted ex officio in June 2013 and included in the case file, indeed confirmed that the initial indication of the price of airline tickets as displayed in the first phase of the booking process on the same site, in the "price analysis" box, was presented net of the amount of airport fees and those due as credit card surcharge and transaction fees, which were only added in the last step of the purchase process.</w:t>
      </w:r>
    </w:p>
    <w:p>
      <w:r>
        <w:t>13. More precisely, on the homepage of the site, the three sections "Flights," "Hotels," and "Car Rentals" appear, advertising various offers while omitting any reference regarding the forecast, nature, and calculation methods of the additional charges required at the end of the procedure. Simulating the purchase of an airline ticket, once the route, desired dates, and number of passengers interested in the booking are selected, a webpage opens displaying various flight offers for the chosen route, indicating the respective prices, starting from the cheapest one, and the amount displayed as a result of the system query, although presented with the wording "Final Price," is subsequently increased, at the end of the booking process, by a single all-inclusive surcharge, due as "airport fees, credit card fees, and transaction fees" in the case of payment with a card other than MasterCard Debit.</w:t>
      </w:r>
    </w:p>
    <w:p>
      <w:r>
        <w:t>14. By way of example, a consumer complained that for the purchase of 4 tickets (route Rome – Rhodes), the amount indicated at the beginning of the booking equal to €861 increased on the screen where the credit card details were entered to €1,093 (with a charge of €58 per person for transaction and CCS fees, totaling €232).</w:t>
      </w:r>
    </w:p>
    <w:p>
      <w:r>
        <w:t>15. Therefore, only at the moment of entering the payment details, by clicking on "type of credit card," does the consumer learn of the existence of additional costs of varying amounts depending on the chosen route and the credit card selected from those accepted by the system (except in the case of payment with MasterCard Debit introduced starting from May 1, 2013, which does not entail any additional charge).</w:t>
      </w:r>
    </w:p>
    <w:p>
      <w:r>
        <w:t>16. With reference to the amount of transactions made through the site during the period May – July 2013, the professionals represented that the transactions with a surcharge due to the credit card surcharge were 5,628 while those made with Mastercard Debit, and therefore without additional surcharges, were 322, accounting for just over 5% of the total.</w:t>
      </w:r>
    </w:p>
    <w:p>
      <w:r>
        <w:t>17. Finally, from the findings conducted ex officio, it emerged that, in some cases, at the final stage of the booking process, the total final amount to be paid for the booked tickets excluding the credit card (the "final price of the tickets" is equal to €146.78 in the example below) is higher than the sum of the details provided (the "fare" for an adult passenger is €33 and the "taxes and fees" are €89.78), the sum of which would amount to €122.78 instead of €146.78, without providing any information on any additional cost components that were not disclosed.</w:t>
      </w:r>
    </w:p>
    <w:p>
      <w:r>
        <w:t>3) The defensive arguments of the Parties</w:t>
      </w:r>
    </w:p>
    <w:p>
      <w:r>
        <w:t>18. The professionals, in the joint statement received on August 8, 2013, preliminarily observed that no company involved in the proceeding is established or operates in Italy and that Airtickets LLC, based in Greece, operates exclusively under the name "Airtickets.gr."</w:t>
      </w:r>
    </w:p>
    <w:p>
      <w:r>
        <w:t>19. With reference to the booking and purchase process of airline tickets online, the professionals excluded that the price determination mechanism could mislead the consumer considering that the ticket price appears analytically at every step of the procedure.</w:t>
      </w:r>
    </w:p>
    <w:p>
      <w:r>
        <w:t>20. The consumer would be informed, in the third phase of the process, at the time of choosing the type of credit/debit card used, of the additional surcharges connected to it, therefore before payment, being able to consciously decide whether to proceed with the purchase of the ticket or not.</w:t>
      </w:r>
    </w:p>
    <w:p>
      <w:r>
        <w:t>21. In their final statement dated December 9, 2013, the professionals highlighted that they are not the only ones charging additional surcharges at the final stage of the booking process, as other online travel agencies, whose website screenshots they attach, would implement the same policy in the Italian market.</w:t>
      </w:r>
    </w:p>
    <w:p>
      <w:r>
        <w:t>IV. OPINION OF THE AUTHORITY FOR GUARANTEES IN COMMUNICATIONS</w:t>
      </w:r>
    </w:p>
    <w:p>
      <w:r>
        <w:t>22. Since the commercial practice subject to this provision has been disseminated through telecommunications means, on December 16, 2013, the opinion was requested from the Authority for Guarantees in Communications, pursuant to Article 27, paragraph 6, of the Consumer Code.</w:t>
      </w:r>
    </w:p>
    <w:p>
      <w:r>
        <w:t>23. In the opinion received on January 15, 2014, the aforementioned Authority deemed that the commercial practice in question is unfair pursuant to Articles 20, 21, paragraph 1, letter d), and 22 of the Consumer Code, based on the following considerations: - the lack of clear information provided by the professionals from the first contact with the same cannot be remedied by the circumstance that the consumer is informed.</w:t>
      </w:r>
    </w:p>
    <w:p>
      <w:r>
        <w:rPr>
          <w:b/>
        </w:rPr>
        <w:t>[Pages 217–219]</w:t>
      </w:r>
    </w:p>
    <w:p>
      <w:r>
        <w:t>BULLETIN NO. 11 OF MARCH 17, 2014 219</w:t>
      </w:r>
    </w:p>
    <w:p>
      <w:r>
        <w:t xml:space="preserve">of the existence of such additional economic burden at the final stage of the airline ticket purchase process; </w:t>
        <w:br/>
        <w:t xml:space="preserve">- the consumer is not informed from the first contact with the professionals about the additional cost (so-called credit card surcharge) that would affect a significant number of online purchases, as the use of credit cards currently represents the main payment method for purchasing airline tickets made via the internet; </w:t>
        <w:br/>
        <w:t>- the commercial practice in question, by omitting the indication of additional price components, is contrary to professional diligence and is capable of appreciably distorting the economic behavior of consumers because it does not allow them to clearly and completely know from the first contact with the professional the final and total expenditure to be paid for the purchase of the service, leading and/or conditioning them to make a commercial decision that they would not have otherwise made.</w:t>
      </w:r>
    </w:p>
    <w:p>
      <w:r>
        <w:t>V. CONCLUDING ASSESSMENTS</w:t>
      </w:r>
    </w:p>
    <w:p>
      <w:r>
        <w:t>24. The procedure in question is aimed at verifying the correctness of the methods of presenting the rates offered for passenger air transport services by professionals, through the Italian-language website www.airtickets.it, with regard to the online booking and purchasing system and the charging of economic burdens, additional to the ticket price, in the form of airport fees, credit card/debit card payment (credit card surcharge), and transaction fees.</w:t>
      </w:r>
    </w:p>
    <w:p>
      <w:r>
        <w:t>Preliminary Issues</w:t>
      </w:r>
    </w:p>
    <w:p>
      <w:r>
        <w:t>25. Preliminary, with reference to the exception made by the professionals regarding the fact that no company is established or operates in Italy, it is worth noting that, contrary to what is stated in the submissions, the website www.airtickets.it, in the "About Us" section, declares "through the central offices in London and local branches in Greece, Cyprus, Russia, Poland, Turkey, and Italy, Airtickets Travel Services Ltd guarantees high-level services, offering impeccable service to its customers and the most competitive prices in the market" (emphasis added), and provides, as a domicile and telephone contact for the submission of any complaints and communications from consumers, an Italian address and phone number, respectively in the "Address" and "Contacts" sections of the aforementioned website.</w:t>
      </w:r>
    </w:p>
    <w:p>
      <w:r>
        <w:t>26. Furthermore, the objection that the Greek company Airtickets LLC operates exclusively under the name "Airtickets.gr" also appears to lack merit. In fact, the Italian Registration Authority stated, in response to a request for information made on July 5, 2013, that the domain name "Airtickets.it" has been assigned since 2010 to the Greek company Airtickets LLC, providing a copy of the registration contract.</w:t>
      </w:r>
    </w:p>
    <w:p>
      <w:r>
        <w:t>27. Due to the inseparable instrumental and commercial connection between the activities carried out by Airtickets UK, which operates in Italy under the brand Airtickets.it® and manages the website www.airtickets.it, and those carried out by Airtickets GR, which registered the domain name airtickets.it and manages all economic transactions with the payment methods used for the bookings made through the website www.airtickets.it, the Parties must be considered jointly responsible for the commercial practice in question.</w:t>
      </w:r>
    </w:p>
    <w:p>
      <w:r>
        <w:t>28. Finally, the circumstance that, as raised in their defenses by the professionals, other online travel agencies would implement the same price display policy in the Italian market does not remedy the incorrectness of the practice in question.</w:t>
      </w:r>
    </w:p>
    <w:p>
      <w:r>
        <w:t>The Violations</w:t>
      </w:r>
    </w:p>
    <w:p>
      <w:r>
        <w:t>29. During the proceedings, it was established that the professionals, starting at least from October 2010, the date of registration of the website in the version still in circulation that already provided for payment by credit/debit card, promote various flight offers via the internet through the incomplete illustration of their price on the homepage, relegating to the final stage of the booking process information about the additional economic burdens required, the amounts of which are automatically added to the initially proposed price, providing the new total and actual cost of the intermediated services. On the homepage, in fact, the price is advertised with only the mention "final price," in the subsequent steps of the procedure the "price analysis" box appears which still does not inform about the presence of supplements, while the existence of airport fees, the credit card surcharge, and transaction fees and the related total amount is known only at the end of the booking, at the time of payment.</w:t>
      </w:r>
    </w:p>
    <w:p>
      <w:r>
        <w:t>30. Such methods of presenting the offer to the public, as they do not allow the consumer to understand from the first contact, that is, from the beginning of the booking process, the actual amount of the total cost of the transaction, do not appear to meet the standards of clarity, completeness, and perceptibility of the relevant elements of the offer, which are essential for a conscious purchasing decision by the consumer.</w:t>
      </w:r>
    </w:p>
    <w:p>
      <w:r>
        <w:t>31. In this regard, it is worth noting that, according to the constant orientation of the Authority, confirmed by administrative jurisprudence, the indication of the price must include, from the outset, any economic burden on the consumer, the amount of which can be determined ex ante, or present modes of exposure that allow for immediate and clear perception by the consumer of the related information.</w:t>
      </w:r>
    </w:p>
    <w:p>
      <w:r>
        <w:t>32. Regarding the credit card surcharge, it should be noted that it constitutes an inevitable and predictable cost element, as well as an additional burden that does not correspond to a different and additional service, but is instead inseparably connected to that of passenger air transport. It is worth recalling – in confirmation of the contrary nature of such practice to the regulations on unfair commercial practices – the existence of the prohibition on applying charges for the use of payment services, while it is permitted to apply a discount in the case of using a particular payment instrument. In this case, the price display policy adopted by the professionals, even following the introduction of the information on the maximum percentage that can be applied to the ticket cost as a credit card surcharge, as it does not include, in the first price presented, the inevitable cost associated with the use of payment instruments, contravenes the aforementioned prohibition on applying charges for the use of payment services.</w:t>
      </w:r>
    </w:p>
    <w:p>
      <w:r>
        <w:t>33. In other words, the presentation of the rates for the services offered by the professionals through the separation of the amount of the credit card surcharge and the airport and transaction fees from the ticket price, as well as the methods used to inform consumers about the presence of such supplements, do not meet the criteria of transparency and completeness of information to which the companies should have adhered as they do not allow the consumer, from the first contact, to know the actual price of the ticket, inclusive of all unavoidable cost items that make it up.</w:t>
      </w:r>
    </w:p>
    <w:p>
      <w:r>
        <w:t>34. It is worth adding, as noted by the administrative judge, that the professional is imposed a particular burden of clarity in the communication strategy from the initial presentation of the product: this is to safeguard the consumer's freedom of self-determination and allow them to perceive the actual cost of the services purchased; moreover, the credit card surcharge constitutes a supplement, in purely probabilistic terms, predictable in good faith, as well as inevitable since one cannot disregard this supplement for the online ticket purchase.</w:t>
      </w:r>
    </w:p>
    <w:p>
      <w:r>
        <w:t>35. Therefore, the professionals continue to offer their services with this lack of transparency in information, as the price indicated at the beginning of the booking continues not to include all cost items, with the consequence that the economic conditions applied remain represented incompletely, confusing the consumer regarding the total final expenditure to be incurred for the chosen flight.</w:t>
      </w:r>
    </w:p>
    <w:p>
      <w:r>
        <w:t>36. That said, the conduct carried out by the professionals does not comply with the level of professional diligence reasonably expected from an operator in the specific sector of online travel agencies in order for consumers to understand the scope of the travel offers intermediated by them. Compliance with the general principle of fairness indeed imposes on operators the obligation to ensure, in their commercial communications, tariff transparency and clarity of the information provided to consumers, in order to allow them a correct perception of the essential elements of the advertised product and its convenience.</w:t>
      </w:r>
    </w:p>
    <w:p>
      <w:r>
        <w:t>37. The practice is therefore deemed unfair with regard to the price of the offer, thus constituting a violation of Articles 20, 21, and 22 of the Consumer Code as the professionals do not provide an immediate, clear, and complete indication of the presence, amount, and nature of additional charges (credit card surcharge and transaction fees), economically appreciable in relation to the price of the ticket initially proposed to the consumer, which are added, at the end of the online booking process, to the prices of the tickets offered by the professionals to Italian consumers for the served routes.</w:t>
      </w:r>
    </w:p>
    <w:p>
      <w:r>
        <w:rPr>
          <w:b/>
        </w:rPr>
        <w:t>[Pages 220–222]</w:t>
      </w:r>
    </w:p>
    <w:p>
      <w:r>
        <w:t>222 BULLETIN NO. 11 OF MARCH 17, 2014</w:t>
      </w:r>
    </w:p>
    <w:p>
      <w:r>
        <w:t>VI. QUANTIFICATION OF THE SANCTION</w:t>
      </w:r>
    </w:p>
    <w:p>
      <w:r>
        <w:t>38. Pursuant to the combined provisions of Article 27, paragraph 9, of the Consumer Code and Article 23, paragraph 12-quinquiesdecies, of Decree Law No. 95 of July 6, 2012, as amended by Law No. 135 of August 7, 2012, with the provision that prohibits the unfair commercial practice, the Authority imposes an administrative pecuniary sanction ranging from €5,000 to €5,000,000, taking into account the severity and duration of the violation.</w:t>
      </w:r>
    </w:p>
    <w:p>
      <w:r>
        <w:t>39. Regarding the quantification of the sanction, account must be taken, where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40. With regard to the severity of the violation, consideration is given in the case at hand to the economic size of the professionals as well as the suitability of the practice to reach a considerable number of consumers, particularly considering that the sale of the services offered by the professionals occurs through the booking system present on the website www.airtickets.it.</w:t>
      </w:r>
    </w:p>
    <w:p>
      <w:r>
        <w:t>41. As for the duration of the violation, the available evidence indicates that the commercial practice has been in place since at least October 2010, the date of registration of the site that already provided for payment by credit/debit card, and is still ongoing.</w:t>
      </w:r>
    </w:p>
    <w:p>
      <w:r>
        <w:t>42. Based on these elements, it is deemed appropriate to determine the amount of the administrative pecuniary sanction applicable to Airtickets Travel Services Ltd in the amount of €15,000 (fifteen thousand euros) and to Airtickets Tourist Services Limited Liability Company in the amount of €55,000 (fifty-five thousand euros).</w:t>
      </w:r>
    </w:p>
    <w:p>
      <w:r>
        <w:t>CONSIDERING, therefore, in accordance with the opinion of the Authority for Communications Guarantees, based on the aforementioned considerations, that the commercial practice in question is deemed unfair pursuant to Articles 20, 21, and 22 of the Consumer Code as it is contrary to professional diligence and capable of appreciably distorting the economic behavior of the average consumer in relation to the services offered by the professionals;</w:t>
      </w:r>
    </w:p>
    <w:p>
      <w:r>
        <w:t>RESOLVES</w:t>
      </w:r>
    </w:p>
    <w:p>
      <w:r>
        <w:t>a) that the commercial practice described in point II of this provision, carried out by Airtickets Travel Services Ltd and Airtickets Tourist Services Limited Liability Company, constitutes, for the reasons and within the limits set forth in the motivation, an unfair commercial practice pursuant to Articles 20, 21, and 22 of the Consumer Code, and prohibits its dissemination or continuation;</w:t>
      </w:r>
    </w:p>
    <w:p>
      <w:r>
        <w:t>b) to impose on Airtickets Travel Services Ltd an administrative pecuniary sanction of €15,000 (fifteen thousand euros);</w:t>
      </w:r>
    </w:p>
    <w:p>
      <w:r>
        <w:t>c) to impose on Airtickets Tourist Services Limited Liability Company an administrative pecuniary sanction of €55,000 (fifty-five thousand euros);</w:t>
      </w:r>
    </w:p>
    <w:p>
      <w:r>
        <w:t>223 BULLETIN NO. 11 OF MARCH 17, 2014</w:t>
      </w:r>
    </w:p>
    <w:p>
      <w:r>
        <w:t>d) that the professionals communicate to the Authority, within ninety days from the notification of this provision, the initiatives taken in compliance with the warning referred to in point a).</w:t>
      </w:r>
    </w:p>
    <w:p>
      <w:r>
        <w:t>The administrative sanctions referred to in the previous letters b) and c) must be paid within thirty days from the notification of this provision, using the attached F24 model with identifying elements, pursuant to Legislative Decree No. 241/1997.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w:t>
      </w:r>
    </w:p>
    <w:p>
      <w:r>
        <w:t>Pursuant to Article 37, paragraph 49, of Decree-Law No. 223/2006, VAT-registered persons are required to submit the F24 model electronically.</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payment interest accrued during the same period.</w:t>
      </w:r>
    </w:p>
    <w:p>
      <w:r>
        <w:t>Immediate notification of the payment must be given to the Authority by sending a copy of the model certifying the payment made.</w:t>
      </w:r>
    </w:p>
    <w:p>
      <w:r>
        <w:t>This provision will be notified to the interested parties and published in the Bulletin of the Authority for Competition and the Market.</w:t>
      </w:r>
    </w:p>
    <w:p>
      <w:r>
        <w:t>Pursuant to the combined provisions of Article 27, paragraph 12, of the Consumer Code and Article 23, paragraph 12-quinquiesdecies, of Decree Law No. 95 of July 6, 2012, as amended by Law No. 135 of August 7, 2012, in case of non-compliance with the provision, the Authority applies an administrative pecuniary sanction from €10,000 to €5,000,000. In cases of repeated non-compliance, the Authority may order the suspension of business activity for a period not exceeding thirty days.</w:t>
      </w:r>
    </w:p>
    <w:p>
      <w:r>
        <w:t>224 BULLETIN NO. 11 OF MARCH 17, 2014</w:t>
      </w:r>
    </w:p>
    <w:p>
      <w:r>
        <w:t>Against this provision, an appeal may be filed with the TAR of Lazio, pursuant to Article 135, paragraph 1, letter b), of the Administrative Procedure Code (Legislative Decree No. 104 of July 2, 2010),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r>
    </w:p>
    <w:p>
      <w:r>
        <w:t>Roberto Chieppa Giovanni Pitruzzella</w:t>
      </w:r>
    </w:p>
    <w:p>
      <w:r>
        <w:rPr>
          <w:b/>
        </w:rPr>
        <w:t>[Pages 223–225]</w:t>
      </w:r>
    </w:p>
    <w:p>
      <w:r>
        <w:t>BULLETIN NO. 11 OF MARCH 17, 2014 225</w:t>
      </w:r>
    </w:p>
    <w:p>
      <w:r>
        <w:t>PS7524 - VOLO24.IT - PAYMENT OF COMMISSION FOR AIRLINE BOOKING</w:t>
      </w:r>
    </w:p>
    <w:p>
      <w:r>
        <w:t>Provision No. 24794</w:t>
      </w:r>
    </w:p>
    <w:p>
      <w:r>
        <w:t>THE ANTITRUST AUTHORITY</w:t>
      </w:r>
    </w:p>
    <w:p>
      <w:r>
        <w:t>IN ITS MEETING of February 12, 2014;</w:t>
      </w:r>
    </w:p>
    <w:p>
      <w:r>
        <w:t>HEARD the Rapporteur Professor Piero Barucci;</w:t>
      </w:r>
    </w:p>
    <w:p>
      <w:r>
        <w:t>HAVING REGARD to Part II, Title III, of Legislative Decree No. 206 of September 6, 2005, containing the "Consumer Code" and subsequent amendments (hereinafter, Consumer Code);</w:t>
      </w:r>
    </w:p>
    <w:p>
      <w:r>
        <w:t>HAVING REGARD to Article 23, paragraph 12-quinquiesdecies, of Decree-Law No. 95 of July 6, 2012, as amended by Law No. 135 of August 7, 2012, which increased the maximum administrative fine to 5,000,000 euros;</w:t>
      </w:r>
    </w:p>
    <w:p>
      <w:r>
        <w:t>HAVING REGARD to the "Regulation on investigative procedures regarding misleading and comparative advertising, unfair commercial practices, and unfair clauses" (hereinafter, Regulation), adopted by the Authority with resolution of August 8, 2012;</w:t>
      </w:r>
    </w:p>
    <w:p>
      <w:r>
        <w:t>HAVING REGARD to the documents of the proceedings;</w:t>
      </w:r>
    </w:p>
    <w:p>
      <w:r>
        <w:t>I. THE PARTY</w:t>
      </w:r>
    </w:p>
    <w:p>
      <w:r>
        <w:t>1. Unister GmbH, as a professional, pursuant to Article 18, letter b), of the Consumer Code. The company is an online agency that promotes travel and leisure activities and manages the website www.volo24.it. The company, based on the financial data available as of December 31, 2011, reported a turnover of approximately 307 million euros and recorded an operating loss of approximately 2.5 million euros.</w:t>
      </w:r>
    </w:p>
    <w:p>
      <w:r>
        <w:t>II. THE COMMERCIAL PRACTICE</w:t>
      </w:r>
    </w:p>
    <w:p>
      <w:r>
        <w:t>2. The proceedings concern the unfairness of the commercial communications disseminated on the professional's website www.volo24.it in relation to airline flight offers.</w:t>
      </w:r>
    </w:p>
    <w:p>
      <w:r>
        <w:t>3. In particular, the prices presented at the beginning of the booking do not include some relevant cost components such as management fees and the surcharge applied for payment by credit card (hereinafter also "credit card surcharge").</w:t>
      </w:r>
    </w:p>
    <w:p>
      <w:r>
        <w:t>4. Therefore, at the conclusion of the online purchase procedure, the actual cost of the airline tickets is increased due to the application of additional economic charges at the final stage of the booking process, in the form of taxes and management fees, and thus, in the form of a surcharge for payment by credit card.</w:t>
      </w:r>
    </w:p>
    <w:p>
      <w:r>
        <w:t>III. THE OUTCOMES OF THE PROCEEDINGS</w:t>
      </w:r>
    </w:p>
    <w:p>
      <w:r>
        <w:t>1) The course of the proceedings</w:t>
      </w:r>
    </w:p>
    <w:p>
      <w:r>
        <w:t>5. Following 65 reports received since June 2011 and based on the inspections of the professional's website conducted ex officio on June 14 and 24, 2013, on July 22, 2013, the Party was notified of the initiation of investigative proceedings No. PS7524 for possible violations of Articles 20, 21, and 22 of the Consumer Code.</w:t>
      </w:r>
    </w:p>
    <w:p>
      <w:r>
        <w:t>6. In this context, in particular, the unfairness of the commercial practice was hypothesized, consisting of the presentation of misleading commercial communications concerning the online promotion of airline tickets, as the page displaying possible flight combinations of interest to the consumer advertised one price while at the end of the booking procedure another, significantly higher price was presented.</w:t>
      </w:r>
    </w:p>
    <w:p>
      <w:r>
        <w:t>7. On August 16, 2013, a response note from the professional was received regarding the request for information contained in the communication initiating the proceedings.</w:t>
      </w:r>
    </w:p>
    <w:p>
      <w:r>
        <w:t>8. On December 20, 2013, the Party was notified of the conclusion date of the investigative phase pursuant to Article 16, paragraph 1, of the Regulation.</w:t>
      </w:r>
    </w:p>
    <w:p>
      <w:r>
        <w:t>9. On January 14, 2014, the Party submitted a concluding memorandum fully reproducing the note received on August 16.</w:t>
      </w:r>
    </w:p>
    <w:p>
      <w:r>
        <w:t>2) The evidence acquired</w:t>
      </w:r>
    </w:p>
    <w:p>
      <w:r>
        <w:t>10. The simulations of airline ticket purchases conducted ex officio highlighted the application of some relevant cost components initially omitted from the advertised price.</w:t>
      </w:r>
    </w:p>
    <w:p>
      <w:r>
        <w:t>11. In particular, following the first query of the system in which the consumer selects the destinations and dates of interest, the site displays the possible flight combinations and under each shows the warning "Depending on the extra services chosen and the selected payment methods, additional charges may apply," followed by the link "Information" for optional consultation.</w:t>
      </w:r>
    </w:p>
    <w:p>
      <w:r>
        <w:t>12. Selecting this link opens a box that under the title "Fees to be added to the ticket price" lists not only optional services, such as extra baggage, booking changes ("Clever Fly"), and additional or insurance services, but also the "Management Fee (VAT included)" related to various online payment methods (always equal to 19.99 euros per passenger for accepted credit cards).</w:t>
      </w:r>
    </w:p>
    <w:p>
      <w:r>
        <w:t>13. By way of example, with reference to the round trip flight Rome-Brussels (June 30 - July 1, 2013 with the carrier Ryanair), the initial price (per person) of €119.10 is increased at the conclusion of the booking process by both the credit card payment fee (€2.38) and the taxes and management fee (€19.99), for a total of €141.47.</w:t>
      </w:r>
    </w:p>
    <w:p>
      <w:r>
        <w:t>14. For the same route and on the same dates (but with a scheduled airline), the initial price of €568.19 is then subject to a surcharge for taxes and management fee (€29.73) for a total of €597.92. In the case of a scheduled airline, therefore, the management fee charged does not correspond to the amount of €19.99 indicated under the heading "Fees to be added to the ticket price" (in the aforementioned box viewable via the "Information" link, present after each flight combination offer).</w:t>
      </w:r>
    </w:p>
    <w:p>
      <w:r>
        <w:t>3) The defensive arguments of the Party</w:t>
      </w:r>
    </w:p>
    <w:p>
      <w:r>
        <w:t>15. The professional, with a brief communication received on August 16, 2013, and resent on January 14, 2014, stated that the consumer intending to book on its site declares to have read and accepted both the General Terms and Conditions of the airline and those of the professional. The latter conditions provide, in point IV, paragraph 1, for the possible application, for the intermediation activity, of commissions indicated separately in the context of the booking; as well as, in point V, paragraph 1, the application, for charter and low-cost flights, of the conditions of the service provider (airline or tour operator). Furthermore, the price surcharge for the use of a credit card is required only by some airlines and is indicated in the General Conditions of those airlines, which must be read, understood, and accepted by the user before confirming the booking.</w:t>
      </w:r>
    </w:p>
    <w:p>
      <w:r>
        <w:t>16. Regarding the warning "Depending on the extra services chosen and the selected payment method, additional charges may apply," any additional amounts depend on various variables (flight price, number of passengers, payment method, airline, and selected additional services) and are in any case indicated under the "Information" section. Moreover, the professional reiterates that the total amount, including the selected extras, is specified on the last booking page, before entering the credit card details, that is, before concluding the contract through the "Book Flight" button.</w:t>
      </w:r>
    </w:p>
    <w:p>
      <w:r>
        <w:t>IV. OPINION OF THE AUTHORITY FOR GUARANTEES IN COMMUNICATIONS</w:t>
      </w:r>
    </w:p>
    <w:p>
      <w:r>
        <w:t>17. Since the commercial practice subject to this provision was disseminated through telecommunications means, on January 9, 2014, the opinion was requested from the Authority for Guarantees in Communications, pursuant to Article 27, paragraph 6, of the Consumer Code.</w:t>
      </w:r>
    </w:p>
    <w:p>
      <w:r>
        <w:t>18. In an opinion received on February 7, 2014, the aforementioned Authority deemed that the commercial practice in question is unfair pursuant to Articles 20, 21, and 22 of the Consumer Code, based on the following considerations: the omission of the various components of the final price of the service offered does not make the final and overall expenditure to be paid for the purchase of the airline ticket clearly perceivable to the consumer; furthermore, the information on additional economic charges - at an advanced stage of the procedure or even at the final stage of purchase - does not remedy the lack of clear information that the professional is required to provide from the first contact with the consumer.</w:t>
      </w:r>
    </w:p>
    <w:p>
      <w:r>
        <w:t>V. CONCLUDING EVALUATIONS</w:t>
      </w:r>
    </w:p>
    <w:p>
      <w:r>
        <w:t>19. The proceedings in question aim to verify the correctness of the presentation methods of airline ticket offers by Unister GmbH through its Italian-language website www.volo24.it.</w:t>
      </w:r>
    </w:p>
    <w:p>
      <w:r>
        <w:t>20. During the proceedings, it was established that the professional, starting at least from June 2011, promoted its flight offers via the internet by illustrating</w:t>
      </w:r>
    </w:p>
    <w:p>
      <w:r>
        <w:rPr>
          <w:b/>
        </w:rPr>
        <w:t>[Pages 226–228]</w:t>
      </w:r>
    </w:p>
    <w:p>
      <w:r>
        <w:t>228 BULLETIN NO. 11 OF MARCH 17, 2014</w:t>
      </w:r>
    </w:p>
    <w:p>
      <w:r>
        <w:t>incomplete presentation of the ticket prices on the page displaying the possible flight combinations of interest to the consumer, relegating to the final stage of the booking process a complete disclosure of the total cost of the intermediary services. In fact, at the beginning of the contact, that is, on the first screen displayed as a result of the search, the consumer is informed solely of the possible application of additional charges in a completely generic manner in relation to the payment method, without specifying and including the amount.</w:t>
      </w:r>
    </w:p>
    <w:p>
      <w:r>
        <w:t>21. Only by clicking on the "Information" link, which is optional and follows the selection of the relevant link, does the consumer first become aware of the presence of additional management fees and their respective amounts, which, however, relate to causes of unclear interpretation: in particular, reference is made to the confusion that may arise from the charge of two cost items (in the case of a low-cost airline), one titled "Credit Card Fee with (name of low-cost carrier)" and the other referred to as "Management Fee (VAT included)" along with "payment method (name of credit card) per passenger."</w:t>
      </w:r>
    </w:p>
    <w:p>
      <w:r>
        <w:t>22. In any case, the professional's website at this stage of the booking process continues to display a ticket price that does not include significant cost items such as management fees and the credit card surcharge, which will subsequently be charged to the consumer.</w:t>
      </w:r>
    </w:p>
    <w:p>
      <w:r>
        <w:t>23. Such methods of presenting the offer to the public, as they do not allow the consumer to understand from the outset of the booking process the actual amount of the total cost of the transaction, do not appear to meet the standards of clarity, completeness, and perceptibility of the relevant elements of the offer that are essential for an informed choice.</w:t>
      </w:r>
    </w:p>
    <w:p>
      <w:r>
        <w:t>24. In this regard, it is worth noting that, according to the consistent orientation of the Authority, confirmed by administrative jurisprudence, the indication of the price must include, from the outset, every economic burden on the consumer, the amount of which can be determined ex ante, or present modes of display that allow for immediate and clear perception by the consumer of the relevant information. This is because the advertising message is read quickly, such that it is capable of misleading the consumer "when the final and actual price of the service is not the one emphasized in the main claim, but to that price additional charges must be added - based on non-contextual indications lacking the same emphasis - for which the impact on the overall expenditure is not indicated, not even approximately."</w:t>
      </w:r>
    </w:p>
    <w:p>
      <w:r>
        <w:t>25. In the specific case, the initially indicated price does not include all possible certain cost items, and indeed, the professional warns the consumer about possible additional charges, namely: the amount of management fees (reported separately in the box viewable by selecting the optional "Information" link next to the warning about possible charges), as well as the surcharge required for payment by credit card, only generically provided in the warning about possible charges and in the general terms and conditions of the low-cost carriers that the consumer must declare to have read and accepted.</w:t>
      </w:r>
    </w:p>
    <w:p>
      <w:r>
        <w:t>26. Regarding the credit card surcharge, it should be noted that it constitutes an inevitable and foreseeable cost element, as well as an additional burden that does not correspond to a different and additional service, but rather is inextricably linked to the air passenger transport service. It is worth recalling - to confirm the opposition of such practice to the regulations on unfair commercial practices - the existence of the prohibition on applying charges for the use of payment services, while it is permitted to apply a discount in the case of using a particular payment instrument. In this case, the price display policy adopted by the professional, as it does not include, in the first price presented, the inevitable cost associated with the use of payment instruments, contravenes the aforementioned prohibition.</w:t>
      </w:r>
    </w:p>
    <w:p>
      <w:r>
        <w:t>27. In other words, the presentation of the service rates offered by the professional through the separation of the amount of the credit card surcharge and management fees from the ticket price, as well as the methods used to inform consumers about the presence of such supplements, do not meet the criteria of transparency and completeness of information that the company should have adhered to, as they do not allow the consumer, from the first contact, to know the actual ticket price, inclusive of all unavoidable cost items that compose it.</w:t>
      </w:r>
    </w:p>
    <w:p>
      <w:r>
        <w:t>28. On this point, as the administrative judge has not failed to note, the professional is imposed a particular burden of clarity in the communication strategy from the initial presentation of the product: this is to safeguard the consumer's freedom of self-determination and allow them to perceive the actual cost of the services purchased; furthermore, the credit card surcharge constitutes a supplement, in purely probabilistic terms, foreseeable in good faith, as well as inevitable since one cannot disregard this supplement for the online ticket purchase.</w:t>
      </w:r>
    </w:p>
    <w:p>
      <w:r>
        <w:t>29. That said, the conduct carried out by the professional does not appear to comply with the level of professional diligence reasonably expected from an operator in the specific sector of online travel agencies in order for consumers to understand the scope of the travel offers intermediated by it. Compliance with the general principle of fairness indeed imposes on operators the obligation to ensure, in their commercial communications, tariff transparency and clarity of the information provided to consumers in order to allow them a correct perception of the essential elements of the advertised product and its convenience.</w:t>
      </w:r>
    </w:p>
    <w:p>
      <w:r>
        <w:t>30. The practice therefore appears to be unfair with respect to the price of the offer, thus constituting a violation of Articles 20, 21, and 22 of the Consumer Code as the professional does not provide an immediate, clear, and complete indication of the presence, amount, and nature of additional charges (management fees and credit card surcharge), economically appreciable in relation to the price of the ticket initially proposed to the consumer, which accumulate during the online booking process, to the price of the tickets offered by the professional to Italian consumers for the served routes.</w:t>
      </w:r>
    </w:p>
    <w:p>
      <w:r>
        <w:t>VI. QUANTIFICATION OF THE SANCTION</w:t>
      </w:r>
    </w:p>
    <w:p>
      <w:r>
        <w:t>31. Pursuant to the combined provisions of Article 27, paragraph 9, of the Consumer Code and Article 23, paragraph 12-quinquiesdecies of Decree Law No. 95 of July 6, 2012, as amended by Law No. 135 of August 7, 2012, with the provision that prohibits the unfair commercial practice, the Authority orders the application of an administrative pecuniary sanction from €5,000 to €5,000,000, taking into account the severity and duration of the violation.</w:t>
      </w:r>
    </w:p>
    <w:p>
      <w:r>
        <w:t>32. Regarding the quantification of the sanction, account must be taken, as applicable, of the criteria identified by Article 11 of Law No. 689 of November 24, 1981,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33. With reference to the contested commercial practice, the economic size of the professional is relevant, which based on the balance sheet data available as of December 31, 2011, generated revenues of approximately €307 million.</w:t>
      </w:r>
    </w:p>
    <w:p>
      <w:r>
        <w:t>34. Secondly, the severity of the violation must be assessed in consideration of the high degree of dissemination of the practice, capable of reaching a considerable number of consumers, particularly since the sale of the services offered by Unister GmbH occurs through the booking system present on its website.</w:t>
      </w:r>
    </w:p>
    <w:p>
      <w:r>
        <w:t>35. Regarding the duration of the violation, from the elements available in the records, it appears that the commercial practice has been in place since at least June 2011 and is still ongoing.</w:t>
      </w:r>
    </w:p>
    <w:p>
      <w:r>
        <w:t>36. Based on these elements, it is deemed appropriate to determine the base amount of the administrative pecuniary sanction applicable to Unister GmbH at €230,000 (two hundred thirty thousand euros).</w:t>
      </w:r>
    </w:p>
    <w:p>
      <w:r>
        <w:t>37. Considering the economic situation of the professional, which presents unfavorable economic conditions with a loss-making balance sheet, it is deemed appropriate to set the amount of the administrative pecuniary sanction to be applied to Unister GmbH at €200,000 (two hundred thousand euros).</w:t>
      </w:r>
    </w:p>
    <w:p>
      <w:r>
        <w:t>CONSIDERING, therefore, in accordance with the opinion of the Authority for Communications Guarantees, that the commercial practice described in Title II of this provision, based on the above considerations, is unfair pursuant to Articles 20, 21, and 22 of the Consumer Code as it is contrary to professional diligence and capable of appreciably distorting the economic behavior of the average consumer in relation to the services advertised by the professional;</w:t>
      </w:r>
    </w:p>
    <w:p>
      <w:r>
        <w:t>RESOLVES</w:t>
      </w:r>
    </w:p>
    <w:p>
      <w:r>
        <w:t>a) that the commercial practice described in Title II of this provision, carried out by Unister GmbH, constitutes, for the reasons and within the limits set forth in the motivation, an unfair practice.</w:t>
      </w:r>
    </w:p>
    <w:p>
      <w:r>
        <w:rPr>
          <w:b/>
        </w:rPr>
        <w:t>[Pages 229–231]</w:t>
      </w:r>
    </w:p>
    <w:p>
      <w:r>
        <w:t>BULLETIN NO. 11 OF MARCH 17, 2014 231</w:t>
      </w:r>
    </w:p>
    <w:p>
      <w:r>
        <w:t>commercial practice unfair pursuant to Articles 20, 21, and 22 of the Consumer Code, and prohibits its dissemination or continuation;</w:t>
      </w:r>
    </w:p>
    <w:p>
      <w:r>
        <w:t>b) to impose on the company Unister GmbH for the violations referred to in the previous letter a), an administrative pecuniary sanction of €200,000 (two hundred thousand euros);</w:t>
      </w:r>
    </w:p>
    <w:p>
      <w:r>
        <w:t>c) that the professional communicates to the Authority, within ninety days from the notification of this provision, the initiatives taken in compliance with the injunction referred to in point a). The administrative sanction referred to in the previous letter b) must be paid within thirty days from the notification of this provision, using the attached model F24 with identifying elements, pursuant to Legislative Decree No. 241/1997.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w:t>
      </w:r>
    </w:p>
    <w:p>
      <w:r>
        <w:t>Pursuant to Article 37, paragraph 49, of Decree-Law No. 223/2006, VAT holders are required to submit the F24 model electronically.</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payment interest accrued during the same period.</w:t>
      </w:r>
    </w:p>
    <w:p>
      <w:r>
        <w:t>Immediate communication of the payment must be given to the Authority by sending a copy of the model certifying the payment made.</w:t>
      </w:r>
    </w:p>
    <w:p>
      <w:r>
        <w:t>This provision will be notified to the interested parties and published in the Bulletin of the Competition and Market Authority.</w:t>
      </w:r>
    </w:p>
    <w:p>
      <w:r>
        <w:t>Pursuant to the combined provisions of Article 27, paragraph 12, of the Consumer Code and Article 23, paragraph 12-quinquiesdecies, of Decree-Law of July 6, 2012, No. 95, as amended by Law of August 7, 2012, No. 135, in case of non-compliance with the provision, the Authority applies an administrative pecuniary sanction from €10,000 to €5,000,000. In cases of repeated non-compliance, the Authority may order the suspension of business activity for a period not exceeding thirty days.</w:t>
      </w:r>
    </w:p>
    <w:p>
      <w:r>
        <w:t>232 BULLETIN NO. 11 OF MARCH 17, 2014</w:t>
      </w:r>
    </w:p>
    <w:p>
      <w:r>
        <w:t>Against this provision, an appeal may be filed with the TAR for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r>
    </w:p>
    <w:p>
      <w:r>
        <w:t>Roberto Chieppa Giovanni Pitruzzella</w:t>
      </w:r>
    </w:p>
    <w:p>
      <w:r>
        <w:t>BULLETIN NO. 11 OF MARCH 17, 2014 233</w:t>
      </w:r>
    </w:p>
    <w:p>
      <w:r>
        <w:t>PS9100 - CREDITECH - DEBT COLLECTION</w:t>
      </w:r>
    </w:p>
    <w:p>
      <w:r>
        <w:t>Provision No. 24815</w:t>
      </w:r>
    </w:p>
    <w:p>
      <w:r>
        <w:t>THE COMPETITION AND MARKET AUTHORITY</w:t>
      </w:r>
    </w:p>
    <w:p>
      <w:r>
        <w:t>IN ITS MEETING of February 19, 2014;</w:t>
      </w:r>
    </w:p>
    <w:p>
      <w:r>
        <w:t>HEARD the Rapporteur Dr. Salvatore Rebecchini;</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and unfair clauses" (hereinafter, Regulation), adopted by the Authority with resolution of August 8, 2012;</w:t>
      </w:r>
    </w:p>
    <w:p>
      <w:r>
        <w:t>VIEWED the communication received on November 18, 2013, whereby the company Creditech S.p.A. submitted commitments pursuant to Article 27, paragraph 7, of the Consumer Code and Article 9 of the Regulation;</w:t>
      </w:r>
    </w:p>
    <w:p>
      <w:r>
        <w:t>VIEWED its resolution of December 10, 2013, whereby, pursuant to Article 7, paragraph 3, of the Regulation, the deadline for concluding the procedure was extended for the evaluation of the commitments proposed by the professional on November 18, 2013, pursuant to Article 27, paragraph 7, of the Consumer Code and Article 9 of the Regulation;</w:t>
      </w:r>
    </w:p>
    <w:p>
      <w:r>
        <w:t>VIEWED the documents of the procedure;</w:t>
      </w:r>
    </w:p>
    <w:p>
      <w:r>
        <w:t>I. THE PARTIES</w:t>
      </w:r>
    </w:p>
    <w:p>
      <w:r>
        <w:t>1. The company Creditech S.p.A. (hereinafter, "Creditech") as the professional, pursuant to Article 18, letter b), of the Consumer Code. The company, which engages in debt collection activities, achieved revenues of approximately €14.1 million in the fiscal year 2012.</w:t>
      </w:r>
    </w:p>
    <w:p>
      <w:r>
        <w:t>2. Guardia di Finanza, Special Market Protection Unit, as the reporting party.</w:t>
      </w:r>
    </w:p>
    <w:p>
      <w:r>
        <w:t>II. THE COMMERCIAL PRACTICE</w:t>
      </w:r>
    </w:p>
    <w:p>
      <w:r>
        <w:t>3. The procedure concerns the behavior of the professional, consisting of having solicited the payment of debts allegedly owed by the company Compass S.p.A. by requesting additional sums beyond the amount of the outstanding debt that would not find cause in the delay of payment, in the activities carried out by the debt collection company, or in the regulation of the contractual relationships between Compass S.p.A. and consumers. Moreover, the existence of such additional sums or the reason for their request was not adequately represented to the recipients of the aforementioned solicitations.</w:t>
      </w:r>
    </w:p>
    <w:p>
      <w:r>
        <w:t>4. Furthermore, the methods for obtaining payment of the debt would have been characterized by particular aggressiveness as the professional would have resorted to continuous phone contacts, verbal threats, and numerous communications that suggested the imminent filing of legal actions in case of failure to satisfy the creditor's claims.</w:t>
      </w:r>
    </w:p>
    <w:p>
      <w:r>
        <w:rPr>
          <w:b/>
        </w:rPr>
        <w:t>[Pages 232–234]</w:t>
      </w:r>
    </w:p>
    <w:p>
      <w:r>
        <w:t>234 BULLETIN NO. 11 OF MARCH 17, 2014</w:t>
      </w:r>
    </w:p>
    <w:p>
      <w:r>
        <w:t>III. THE OUTCOMES OF THE PROCEEDING: THE PRESENTATION OF COMMITMENTS</w:t>
      </w:r>
    </w:p>
    <w:p>
      <w:r>
        <w:t>1) The procedure process</w:t>
      </w:r>
    </w:p>
    <w:p>
      <w:r>
        <w:t>5. In relation to the conduct described above, on August 23, 2013, the professional was notified of the initiation of investigative procedure No. PS9100. In this context, it was hypothesized that Creditech's conduct could constitute a violation of Articles 20, 21, 22, 24, and 25 of the Consumer Code, as it was contrary to professional diligence and capable of appreciably distorting the economic behavior of the average consumer to whom it was directed through the false representation of the legal necessity to pay the aforementioned additional sums in relation to the amount of the outstanding credit or the failure to explicitly state the reason underlying the same request. Furthermore, the conduct in question could be considered aggressive as it – through undue conditioning – was capable of significantly limiting the freedom of choice or behavior of the consumer and, therefore, inducing them to make a commercial decision that they would not have otherwise made. In particular, the expressive modalities and timing of the reminders made by the professional seemed to pursue the sole purpose of exerting psychological pressure on the recipients to induce them to pay the amounts allegedly arising from credit services provided by Compass S.p.A.</w:t>
      </w:r>
    </w:p>
    <w:p>
      <w:r>
        <w:t>6. Concurrently with the initiation communication, in order to acquire useful knowledge elements for the evaluation of the commercial practice in question, the professional was requested, pursuant to Article 27, paragraphs 3 and 4, of the Consumer Code and Article 12, paragraph 1, of the Regulation, to provide in particular information and related documentation regarding the relationships with Compass S.p.A. concerning the debt collection service and clarifications regarding any additional sums requested from the recipients of the payment reminders, specifying the reasons as well as the modalities of representation.</w:t>
      </w:r>
    </w:p>
    <w:p>
      <w:r>
        <w:t>7. On September 16, 2013, Creditech provided its defensive considerations regarding the profiles of unfairness contested in the initiation communication and responded to the request for information contained therein.</w:t>
      </w:r>
    </w:p>
    <w:p>
      <w:r>
        <w:t>8. On January 17, 2014, the date of conclusion of the investigative phase was communicated to the Parties pursuant to Article 16, paragraph 1, of the Regulation.</w:t>
      </w:r>
    </w:p>
    <w:p>
      <w:r>
        <w:t>9. On January 23, 2014, the professional submitted a final memorandum.</w:t>
      </w:r>
    </w:p>
    <w:p>
      <w:r>
        <w:t>2) The acquired elements and the commitments of the professional</w:t>
      </w:r>
    </w:p>
    <w:p>
      <w:r>
        <w:t>10. Creditech exclusively carries out activities related to the management, protection, and recovery of debts on behalf of third parties and operates in the sector based on private law contracts, typically contracts of mandate, which provide for the granting of a mandate without representation. Based on the mandate received, Creditech acts in its own name, but in the interest of the contracting companies and autonomously carries out the activities deemed most suitable from time to time in relation to the nature of the credit, in order to protect the rights of its contracting companies within the framework of the mandate in question.</w:t>
      </w:r>
    </w:p>
    <w:p>
      <w:r>
        <w:t>11. Creditech is associated with UNIREC - Union of Companies for Credit Protection, and is a member of EBITEC - National Bilateral Entity for Credit Protection - an entity established by UNIREC and the consumer association ADICONSUM, which aims to pursue a fruitful collaborative relationship between ADICONSUM and UNIREC. Furthermore, it operates based on a Code of Ethics drafted and adopted in accordance with the Ethical Codes of UNIREC and EBITEC and has over the years involved its employees and debt recovery agents in repeated training and updating courses provided by UNIREC and/or EBITEC and/or itself.</w:t>
      </w:r>
    </w:p>
    <w:p>
      <w:r>
        <w:t>12. With specific reference to the relationships with Compass S.p.A., Creditech manages the debt recovery service claimed by it based on a contract signed on [omitted] and this activity is carried out autonomously [omitted]. No additional sums are requested by Creditech beyond the total amount due from the debtor based on the financing contract [omitted].</w:t>
      </w:r>
    </w:p>
    <w:p>
      <w:r>
        <w:t>13. As for the modalities of representation of such sums to the debtors, they take into account the distinction of the activities carried out by Creditech based on the contact method adopted (telephone, written, etc.) and the classification of the debt position (Pre-DBT - debtor's forfeiture of the benefit of the term or Post-DBT - debtor's forfeiture of the benefit of the term).</w:t>
      </w:r>
    </w:p>
    <w:p>
      <w:r>
        <w:t>14. With reference to written communications, Creditech operates with reminder models, which differ from each other based on the type and status of the credit and therefore the debtor's awareness of their state of default and the composition of their debt at the time of receiving the communication, as well as based on previous contacts that occurred.</w:t>
      </w:r>
    </w:p>
    <w:p>
      <w:r>
        <w:t>15. By note received on November 18, 2013, the professional submitted a proposal for commitments, pursuant to Article 27, paragraph 7, of the Consumer Code and Article 9 of the Regulation.</w:t>
      </w:r>
    </w:p>
    <w:p>
      <w:r>
        <w:t>16. In particular, these commitments – which in their final version are attached to this provision and constitute an integral part thereof – provide for the adoption by Creditech of measures aimed at:</w:t>
        <w:br/>
        <w:t>a) improving the clarity and transparency of the information provided in the payment reminders sent to the debtors of Compass S.p.A. regarding the credits entrusted to Creditech for recovery, with particular reference to previous contacts that occurred, or were attempted, with the recipient of the letter, as well as in relation to the representation of the insolvency situation and the causal justification of each of the individual amounts representing the credit claimed by Compass S.p.A.;</w:t>
        <w:br/>
        <w:t>b) strengthening the monitoring mechanisms of the actions of the subjects appointed by Creditech for debt recovery activities, particularly through more stringent planning of the periodic controls currently carried out and the introduction of specific "Commodity Check" processes aimed at verifying the correct behavior adopted by these subjects during the various phases of contact with the debtors.</w:t>
      </w:r>
    </w:p>
    <w:p>
      <w:r>
        <w:t>17. More precisely, firstly, Creditech has committed to modify, starting from November 30, 2013, the models of written reminders, which differ from each other based on the type and status of the credit and therefore the debtor's awareness of their state of default and the composition of their debt at the time of receiving the communication, as well as based on previous contacts that occurred. In detail, Creditech has modified the descriptive form of the composition of the credit in the communications sent to the Compass debtors entrusted to it, particularly representing more clearly and transparently the insolvency situation of the recipient of the letter, the causal justification of the individual amounts representing the credit claimed by Compass S.p.A., as well as the possible consequences arising from the potential prolongation of the default.</w:t>
      </w:r>
    </w:p>
    <w:p>
      <w:r>
        <w:t>More specifically, Creditech has committed to modify the text of such written communications by providing in each of them:</w:t>
        <w:br/>
        <w:t>- a detailed description of the total amount of the credit claimed by Compass S.p.A., as well as the individual causal components thereof (interest, recovery costs, etc.);</w:t>
        <w:br/>
        <w:t>- a clearer illustration of the payment method, as well as an absolute transparency indication of the consequences of the potential prolongation of the state of default through the use of language that cannot in any way be interpreted as intimidating.</w:t>
      </w:r>
    </w:p>
    <w:p>
      <w:r>
        <w:t>18. Secondly, Creditech has committed, also starting from November 30, 2013, in order to strengthen the prevention measures against conduct similar to those reported in the intervention requests in the records and maintain conduct and quality standards at the highest levels, to:</w:t>
        <w:br/>
        <w:t>- plan periodic controls currently carried out quarterly with a frequency of at least bi-monthly, with a 50% increase in controls;</w:t>
        <w:br/>
        <w:t>- further stimulate each subject appointed for recovery to ensure their effective compliance with the company's Code of Ethics, particularly by introducing specific "Commodity Check" processes aimed at verifying the correct behavior adopted by the subjects during the various phases of contact with the debtors. These controls will occur monthly and on significant samples of positions managed in the previous calendar month. The verifications will consist of interviews with the defaulting debtors of Compass S.p.A., managed in the previous month, and will aim to ascertain that the recovery activities have been fully compliant;</w:t>
        <w:br/>
        <w:t>- further deepen through scheduled courses at least annually the training phase of those appointed to recovery activities aimed at offering professional figures capable of communicating precisely, respectfully, and exhaustively with the debtors. To this end, it will continue with the provision of specific training and training courses - provided by UNIREC and/or EBITEC and/or specialized companies - regarding compliance with the Codes: Ethical, Privacy, as well as Consumer Credit, Legislative Decree No. 231/01, Legislative Decree No. 231/07, and others.</w:t>
      </w:r>
    </w:p>
    <w:p>
      <w:r>
        <w:t>IV. EVALUATION OF THE COMMITMENTS</w:t>
      </w:r>
    </w:p>
    <w:p>
      <w:r>
        <w:t>19. The Authority believes that the commitments proposed by the professional are suitable to remedy the possible profiles of illegitimacy of the commercial practice contested in the initiation communication of August 23, 2013.</w:t>
      </w:r>
    </w:p>
    <w:p>
      <w:r>
        <w:t>20. In particular, it is believed that the proposed measure regarding the modification of the text of the payment reminders sent to the defaulting debtors of Compass entrusted to Creditech with the detailed indication of the amount of the credit claimed by Compass S.p.A. and of the</w:t>
      </w:r>
    </w:p>
    <w:p>
      <w:r>
        <w:rPr>
          <w:b/>
        </w:rPr>
        <w:t>[Pages 235–237]</w:t>
      </w:r>
    </w:p>
    <w:p>
      <w:r>
        <w:t>BULLETIN NO. 11 OF MARCH 17, 2014 237</w:t>
      </w:r>
    </w:p>
    <w:p>
      <w:r>
        <w:t>the individual causal components thereof, regardless of the fact that there have been previous telephone or written contacts between the debtor and Compass and/or Creditech, is suitable to remove the possible profiles of unfairness outlined at the outset as it appears to guarantee the recipient comprehensive and clear information regarding their debt position, both in terms of amount/size and in terms of its composition (distinguishing, for example, between interest, recovery costs, etc.).</w:t>
      </w:r>
    </w:p>
    <w:p>
      <w:r>
        <w:t>The clearer and more transparent illustration of the possible consequences arising from the continuation of non-compliance, particularly through the use of language that cannot in any way be interpreted as intimidating, then allows the recipient of the communication to make a fully informed decision regarding the behavior to adopt in response to the communication, especially in light of the characteristics of the credit claimed by Compass S.p.A. against them.</w:t>
      </w:r>
    </w:p>
    <w:p>
      <w:r>
        <w:t>21. Likewise, it is believed that the proposed measure regarding the modification of the monitoring processes of the personnel of Creditech through more frequent periodic checks, as well as the introduction of specific "Commodity Check" processes aimed at verifying the correct behavior adopted by the individuals in charge during the various phases of contact with the debtors, is also suitable to remove the possible profiles of unfairness outlined at the outset as it offers the best guarantee of full compliance of the behaviors adopted by Creditech in the exercise of its debt collection activities with the regulations protecting consumers and the ethical codes to which the company adheres.</w:t>
      </w:r>
    </w:p>
    <w:p>
      <w:r>
        <w:t>22. In light of the above considerations, it is believed that the commitments presented meet the requirements set forth in Article 27, paragraph 7, of the Consumer Code.</w:t>
      </w:r>
    </w:p>
    <w:p>
      <w:r>
        <w:t>CONSIDERING, therefore, that the commitments presented by Creditech S.p.A., in the terms outlined above, are suitable to eliminate the possible profiles of unfairness of the commercial practice under investigation;</w:t>
      </w:r>
    </w:p>
    <w:p>
      <w:r>
        <w:t>CONSIDERING, to make the aforementioned commitments mandatory for Creditech S.p.A.;</w:t>
      </w:r>
    </w:p>
    <w:p>
      <w:r>
        <w:t>CONSIDERING, therefore, that it is possible to close the proceedings without establishing the infringement;</w:t>
      </w:r>
    </w:p>
    <w:p>
      <w:r>
        <w:t>RESOLVES</w:t>
      </w:r>
    </w:p>
    <w:p>
      <w:r>
        <w:t>a) to make mandatory, for Creditech S.p.A., pursuant to Article 27, paragraph 7, of the Consumer Code and Article 9, paragraph 2, letter a), of the Regulation, the commitments proposed by the company on November 18, 2013, as described in the statement attached to this provision;</w:t>
      </w:r>
    </w:p>
    <w:p>
      <w:r>
        <w:t>b) to close the proceedings without establishing the infringement, pursuant to Article 27, paragraph 7, of the Consumer Code and Article 9, paragraph 2, letter a), of the Regulation;</w:t>
      </w:r>
    </w:p>
    <w:p>
      <w:r>
        <w:t>c) that Creditech S.p.A., within sixty days from the date of notification of this resolution, informs the Authority of the implementation of the commitments by sending a specific and detailed report.</w:t>
      </w:r>
    </w:p>
    <w:p>
      <w:r>
        <w:t>238 BULLETIN NO. 11 OF MARCH 17, 2014</w:t>
      </w:r>
    </w:p>
    <w:p>
      <w:r>
        <w:t>Pursuant to Article 9, paragraph 3, of the Regulation, the proceedings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the combined provisions of Article 27, paragraph 12, of the Consumer Code and Article 23, paragraph 12-quinquiesdecies, of Decree Law No. 95 of July 6, 2012, as amended by Law No. 135 of August 7, 2012, in the event of non-compliance with this resolution, the Authority applies an administrative pecuniary sanction from €10,000 to €5,000,000. In cases of repeated non-compliance, the Authority may order the suspension of business activities for a period not exceeding thirty days.</w:t>
      </w:r>
    </w:p>
    <w:p>
      <w:r>
        <w:t>This provision will be notified to the interested parties and published in the Bulletin of the Antitrust Authority.</w:t>
      </w:r>
    </w:p>
    <w:p>
      <w:r>
        <w:t>THE SECRETARY GENERAL THE PRESIDENT</w:t>
      </w:r>
    </w:p>
    <w:p>
      <w:r>
        <w:t>Roberto Chieppa Giovanni Pitruzzella</w:t>
      </w:r>
    </w:p>
    <w:p>
      <w:r>
        <w:t>BULLETIN NO. 11 OF MARCH 17, 2014 239</w:t>
      </w:r>
    </w:p>
    <w:p>
      <w:r>
        <w:t>ANNEX 1</w:t>
      </w:r>
    </w:p>
    <w:p>
      <w:r>
        <w:t>STATEMENT OF COMMITMENTS</w:t>
      </w:r>
    </w:p>
    <w:p>
      <w:r>
        <w:t>In the context of proceeding No. PS9100 initiated by the Antitrust Authority on August 23, 2013, concerning the commercial practices of Creditech S.p.A. in the area of debt collection, Creditech S.p.A., pursuant to and for the effects of Article 27, paragraph 7, of the Consumer Code (Legislative Decree No. 206 of September 6, 2005, and subsequent amendments), commits, starting from the date of communication of the Authority's provision, to implement the following measures in the manner and within the timeframes indicated below:</w:t>
      </w:r>
    </w:p>
    <w:p>
      <w:r>
        <w:t>Commitment No. 1 - Modification of the text of the payment reminders sent to the insolvent debtors of Compass S.p.A. entrusted to Creditech S.p.A.</w:t>
      </w:r>
    </w:p>
    <w:p>
      <w:r>
        <w:t>In relation to the models of written reminders, Creditech S.p.A. commits to modify the descriptive form of the composition of the credit in the communications sent to the debtors of Compass S.p.A. entrusted to it, in particular representing in an even clearer and more transparent manner the insolvency situation of the recipient of the letter, the causal justification of the individual amounts representing the credit claimed by Compass S.p.A., as well as the possible consequences arising from the potential continuation of non-compliance.</w:t>
      </w:r>
    </w:p>
    <w:p>
      <w:r>
        <w:t>More specifically, Creditech S.p.A. commits to modify the text of such written communications by providing in each of them:</w:t>
      </w:r>
    </w:p>
    <w:p>
      <w:r>
        <w:t>- a detailed description of the total amount of the credit claimed by Compass S.p.A., as well as the individual causal components thereof;</w:t>
      </w:r>
    </w:p>
    <w:p>
      <w:r>
        <w:t>- a clearer illustration of the payment method, as well as an absolute transparency regarding the consequences of the potential continuation of the state of non-compliance through the use of language that cannot in any way be interpreted as intimidating.</w:t>
      </w:r>
    </w:p>
    <w:p>
      <w:r>
        <w:t>The new version of the text of the written communications is attached in the appendix (Appendices A.1, A.2, and A.3).</w:t>
      </w:r>
    </w:p>
    <w:p>
      <w:r>
        <w:t>Commitment No. 2 - Modification of the monitoring processes of the personnel of Creditech S.p.A.</w:t>
      </w:r>
    </w:p>
    <w:p>
      <w:r>
        <w:t>In relation to the monitoring processes of the personnel in charge of debt collection, Creditech S.p.A. commits to:</w:t>
      </w:r>
    </w:p>
    <w:p>
      <w:r>
        <w:t>- plan periodic checks currently conducted quarterly at least bi-monthly, with a 50% increase in checks;</w:t>
      </w:r>
    </w:p>
    <w:p>
      <w:r>
        <w:t>- further encourage each individual in charge of recovery to ensure their effective compliance with their Code of Ethics, particularly by introducing specific "Commodity Check" processes aimed at verifying the correct behavior adopted by the individuals in charge during the various phases of contact with the debtors; and</w:t>
      </w:r>
    </w:p>
    <w:p>
      <w:r>
        <w:t>- further deepen, through scheduled training courses at least annually, the training phase of the individuals assigned to recovery activities on behalf of Creditech S.p.A.</w:t>
      </w:r>
    </w:p>
    <w:p>
      <w:r>
        <w:rPr>
          <w:b/>
        </w:rPr>
        <w:t>[Pages 238–240]</w:t>
      </w:r>
    </w:p>
    <w:p>
      <w:r>
        <w:t>240 BULLETIN NO. 11 OF MARCH 17, 2014</w:t>
      </w:r>
    </w:p>
    <w:p>
      <w:r>
        <w:t>aimed at offering professional figures capable of communicating accurately, respectfully, and exhaustively with debtors. Specifically, Creditech S.p.A. has modified the existing monitoring procedure for the actions of the appointed agents:</w:t>
        <w:br/>
        <w:t>- doubling the frequency of periodic checks (so-called standard checks) carried out by Creditech S.p.A.; in particular, point 6 of the document describing the corporate procedures provides that the correct execution of the management, protection, and recovery activities of receivables by the appointed agents shall be subject to verification at least bi-monthly based on a specific "Control Form," to be completed by the person responsible for the control, structured in a section A describing the actions of the agent, a section B containing a questionnaire regarding specific aspects of the management, protection, and recovery activities of the receivables entrusted to Creditech S.p.A., and a section C containing the details of the assignments to the agent;</w:t>
        <w:br/>
        <w:t>- introducing a new "Commodity Check" process on a monthly basis aimed at the constant monitoring of the correct behavior assumed by the appointed agents during the various phases of contact with the debtors. In particular, as specified in point 5 of the document describing the corporate procedures, the "Commodity Check" process takes place monthly, on significant samples of debtor positions managed in the previous calendar month and consists of telephone interviews with the relevant debtors. Lastly, the training phase for the agents involved in recovery activities on behalf of Creditech S.p.A. has also been intensified in light of the training plans provided by UNIREC and/or EBITEC and/or companies specialized in compliance with the Codes: Deontological, Ethical, Privacy, as well as Consumer Credit, Legislative Decree 231/01, Legislative Decree 231/07, and others. Commitments no. 1 and 2 have been implemented by Creditech S.p.A. effective from November 30, 2013, and have an indefinite duration.</w:t>
      </w:r>
    </w:p>
    <w:p>
      <w:r>
        <w:t>BULLETIN NO. 11 OF MARCH 17, 2014 241</w:t>
      </w:r>
    </w:p>
    <w:p>
      <w:r>
        <w:t>Appendix A.1</w:t>
      </w:r>
    </w:p>
    <w:p>
      <w:r>
        <w:t>New version of the letter sent to the debtor with whom no telephone contact has been possible, or in relation to which Compass has complained of a lack of interaction during the internal management phase</w:t>
      </w:r>
    </w:p>
    <w:p>
      <w:r>
        <w:t>Milan,</w:t>
      </w:r>
    </w:p>
    <w:p>
      <w:r>
        <w:t>SUBJECT: Compass S.p.A. Contract No. xxxxxxxxxxxx</w:t>
      </w:r>
    </w:p>
    <w:p>
      <w:r>
        <w:t>Dear Sir/Madam,</w:t>
      </w:r>
    </w:p>
    <w:p>
      <w:r>
        <w:t>with reference to the contract in question, we inform you that our principal Compass S.p.A. has instructed us to manage the extrajudicial recovery of the credit owed to it by you. To this end, we have attempted to contact you by telephone, however, without success. Therefore, we hereby inform you that the credit claimed by Compass S.p.A. against you currently amounts, subject to errors and/or omissions, to a total of euro ............ of which euro ............ is due as overdue credit (including also the installment due in the period) plus euro ............ as recovery costs contractually owed to Compass due to your payment delays, as provided for by the contractual clauses you signed. We therefore invite you to immediately regularize your position by means of a postal money order made out to Compass S.p.A. (as per the attached format), sending a copy of the payment by fax to the number ............ For any further clarification, we are at your disposal, from Monday to Friday from 09:00 to 17:30 at the following numbers ............ If you have already made the requested payment, we invite you not to take this into account, and, solely for the purpose of aligning your accounting position and avoiding further records of insolvency, we kindly ask you to send us a copy of the payments by fax to the number .... We also remind you that if you do not make the payment of your debt, Compass S.p.A. may proceed to protect its rights, resorting to all permitted venues with the burden of additional costs that Compass will incur as a result of the continued delays in payments of what is owed, as provided for by the contractual clauses you signed.</w:t>
      </w:r>
    </w:p>
    <w:p>
      <w:r>
        <w:t>Best regards.</w:t>
      </w:r>
    </w:p>
    <w:p>
      <w:r>
        <w:t>CREDITECH S.p.A.</w:t>
      </w:r>
    </w:p>
    <w:p>
      <w:r>
        <w:t>This document is drafted in accordance with the provisions of the Memorandum of Understanding signed by UNIREC and ADICONSUM. Pursuant to Legislative Decree 196/03, we inform you that our company manages personal data concerning you transmitted to us for the exclusive purpose of recovering the credit of our principal Compass S.p.A., in relation to which the rights provided for by Article 7 of the cited law may be exercised. Such data will be processed with the aid of electronic tools, stored according to the prescribed security standards, and used by the undersigned also through appointed subjects.</w:t>
      </w:r>
    </w:p>
    <w:p>
      <w:r>
        <w:t>242 BULLETIN NO. 11 OF MARCH 17, 2014</w:t>
      </w:r>
    </w:p>
    <w:p>
      <w:r>
        <w:t>Appendix A.2</w:t>
      </w:r>
    </w:p>
    <w:p>
      <w:r>
        <w:t>New version of the reminder letter sent to the debtor to whom Creditech has already communicated the amount related to the credit and its specifications following an initial telephone contact</w:t>
      </w:r>
    </w:p>
    <w:p>
      <w:r>
        <w:t>Milan,</w:t>
      </w:r>
    </w:p>
    <w:p>
      <w:r>
        <w:t>SUBJECT: Compass S.p.A. Contract No. xxxxxxxxxxxxxx</w:t>
      </w:r>
    </w:p>
    <w:p>
      <w:r>
        <w:t>Dear Sir/Madam,</w:t>
      </w:r>
    </w:p>
    <w:p>
      <w:r>
        <w:t>with reference to the contract in question, we inform you that our principal Compass S.p.A. has instructed us to manage the extrajudicial recovery of the credit owed to it by you. To this end, we refer to the telephone contacts that have taken place to inform you again that the credit currently claimed by Compass S.p.A. against you amounts, subject to errors and/or omissions, to a total of euro ............ of which euro .......... is due as overdue credit (including also the installment due in the period) plus euro ........... as recovery costs contractually owed to Compass due to your payment delays, as provided for by the contractual clauses you signed. Therefore, we hereby invite you to immediately regularize your position by means of a postal money order made out to Compass S.p.A. (as per the attached format), sending a copy of the payment by fax to the number ............. For any further clarification, we are at your disposal, from Monday to Friday from 09:00 to 17:30 at the numbers ............... If you have already made the requested payment, we invite you not to take this into account, and, solely for the purpose of aligning your accounting position and avoiding further records of insolvency, we kindly ask you to send us a copy of the payments by fax to the number .... We also remind you that if you do not make the payment of your debt, Compass S.p.A. may proceed to protect its rights, resorting to all permitted venues with the burden of additional costs that Compass will incur as a result of the continued delays in payments of what is owed, as provided for by the contractual clauses you signed.</w:t>
      </w:r>
    </w:p>
    <w:p>
      <w:r>
        <w:t>Best regards.</w:t>
      </w:r>
    </w:p>
    <w:p>
      <w:r>
        <w:t>CREDITECH S.p.A.</w:t>
      </w:r>
    </w:p>
    <w:p>
      <w:r>
        <w:t>This document is drafted in accordance with the provisions of the Memorandum of Understanding signed by UNIREC and ADICONSUM. Pursuant to Legislative Decree 196/03, we inform you that our company manages personal data concerning you transmitted to us for the exclusive purpose of recovering the credit of our principal Compass S.p.A., in relation to which the rights provided for by Article 7 of the cited law may be exercised. Such data will be processed with the aid of electronic tools, stored according to the prescribed security standards, and used by the undersigned also through appointed subjects.</w:t>
      </w:r>
    </w:p>
    <w:p>
      <w:r>
        <w:rPr>
          <w:b/>
        </w:rPr>
        <w:t>[Pages 241–243]</w:t>
      </w:r>
    </w:p>
    <w:p>
      <w:r>
        <w:t>BULLETIN NO. 11 OF MARCH 17, 2014 243</w:t>
      </w:r>
    </w:p>
    <w:p>
      <w:r>
        <w:t>Appendix A.3</w:t>
      </w:r>
    </w:p>
    <w:p>
      <w:r>
        <w:t>New version of the letter of formal notice and warning sent to the debtor to whom Compass has already notified the DBT and formalized the amount of the entire debt due and its composition</w:t>
      </w:r>
    </w:p>
    <w:p>
      <w:r>
        <w:t>Milan,</w:t>
      </w:r>
    </w:p>
    <w:p>
      <w:r>
        <w:t>SUBJECT: LOAN N……. granted to…..</w:t>
      </w:r>
    </w:p>
    <w:p>
      <w:r>
        <w:t>DEFAULT NOTICE</w:t>
      </w:r>
    </w:p>
    <w:p>
      <w:r>
        <w:t>Dear Sir/Madam,</w:t>
      </w:r>
    </w:p>
    <w:p>
      <w:r>
        <w:t>With reference to the relationship in question, by virtue of the mandate received from COMPASS S.p.A. for the management, protection, and recovery of overdue debts, we inform you that, despite previous reminders that went unanswered, there remains a debt owed by you, related to the loan in question for a total of euro ......... of which euro ......... is the outstanding balance resulting from the communication previously sent by Compass regarding the Expiration of the Benefit of Term, in addition to euro …….. for recovery costs contractually due to Compass as a result of your delays in payments, as provided for by the contractual clauses you signed.</w:t>
      </w:r>
    </w:p>
    <w:p>
      <w:r>
        <w:t>In light of the above, by virtue of the mandate conferred to us, we hereby issue a formal</w:t>
      </w:r>
    </w:p>
    <w:p>
      <w:r>
        <w:t>NOTICE AND WARNING</w:t>
      </w:r>
    </w:p>
    <w:p>
      <w:r>
        <w:t>pursuant to and for the effects of Articles 1219 and 2943 of the Civil Code to provide for the payment of the entire debt, in favor of COMPASS S.p.A., within and no later than eight days from the date of receipt of this letter, using the methods indicated below, warning you that in the absence of payment, all legal actions will be initiated against you with the burden of additional costs that Compass will incur as a result of the continued delays in payments of the amounts due, as provided for by the contractual clauses you signed.</w:t>
      </w:r>
    </w:p>
    <w:p>
      <w:r>
        <w:t>If you have already made the requested payment, please disregard this notice, and solely for the purpose of aligning your accounting position and avoiding further insolvency records, we kindly ask you to send us a copy of the payments by fax to the number………..</w:t>
      </w:r>
    </w:p>
    <w:p>
      <w:r>
        <w:t>244 BULLETIN NO. 11 OF MARCH 17, 2014</w:t>
      </w:r>
    </w:p>
    <w:p>
      <w:r>
        <w:t>Make payments by:</w:t>
      </w:r>
    </w:p>
    <w:p>
      <w:r>
        <w:t>Postal order made out to: Compass S.p.A. - POST OFFICE BOX N. 10935 - 20110 MILAN</w:t>
      </w:r>
    </w:p>
    <w:p>
      <w:r>
        <w:t>SPECIFY IN THE REASON: LOAN CONTRACT NUMBER</w:t>
      </w:r>
    </w:p>
    <w:p>
      <w:r>
        <w:t>For any further clarification, we are at your disposal, from Monday to Friday from 09:00 to 17:30 at the numbers ........</w:t>
      </w:r>
    </w:p>
    <w:p>
      <w:r>
        <w:t>Best regards.</w:t>
      </w:r>
    </w:p>
    <w:p>
      <w:r>
        <w:t>CREDITECH S.p.A.</w:t>
      </w:r>
    </w:p>
    <w:p>
      <w:r>
        <w:t>This document is prepared in accordance with the provisions of the Memorandum of Understanding signed by UNIREC and ADICONSUM.</w:t>
      </w:r>
    </w:p>
    <w:p>
      <w:r>
        <w:t>Pursuant to Legislative Decree No. 196/03, we inform you that our company manages personal data concerning you transmitted to us for the exclusive purpose of recovering the debt of our principal Compass S.p.A., in relation to which the rights provided for by Article 7 of the cited law may be exercised. Such data will be processed with the aid of electronic tools, stored according to the prescribed security standards, and used by the undersigned also through appointed subjects.</w:t>
      </w:r>
    </w:p>
    <w:p>
      <w:r>
        <w:t>BULLETIN NO. 11 OF MARCH 17, 2014 245</w:t>
      </w:r>
    </w:p>
    <w:p>
      <w:r>
        <w:t>PS9052 - TRIPSTA - FLIGHT BOOKING AND CCS</w:t>
      </w:r>
    </w:p>
    <w:p>
      <w:r>
        <w:t>Provision No. 24826</w:t>
      </w:r>
    </w:p>
    <w:p>
      <w:r>
        <w:t>THE ANTITRUST AUTHORITY</w:t>
      </w:r>
    </w:p>
    <w:p>
      <w:r>
        <w:t>IN ITS MEETING of February 27, 2014;</w:t>
      </w:r>
    </w:p>
    <w:p>
      <w:r>
        <w:t>HEARD the Rapporteur Dr. Salvatore Rebecchini;</w:t>
      </w:r>
    </w:p>
    <w:p>
      <w:r>
        <w:t>VIEWED Part II, Title III, of Legislative Decree No. 206 of September 6, 2005, containing the "Consumer Code" and subsequent amendments (hereinafter, Consumer Code);</w:t>
      </w:r>
    </w:p>
    <w:p>
      <w:r>
        <w:t>VIEWED Article 23, paragraph 12-quinquiesdecies, of Decree Law No. 95 of July 6, 2012, as amended by Law No. 135 of August 7, 2012, which increased the maximum administrative fine to 5,000,000 euros;</w:t>
      </w:r>
    </w:p>
    <w:p>
      <w:r>
        <w:t>VIEWED the "Regulation on investigative procedures regarding misleading and comparative advertising, unfair commercial practices, and unfair clauses" (hereinafter, Regulation), adopted by the Authority with resolution of August 8, 2012;</w:t>
      </w:r>
    </w:p>
    <w:p>
      <w:r>
        <w:t>VIEWED the documents of the proceedings;</w:t>
      </w:r>
    </w:p>
    <w:p>
      <w:r>
        <w:t>I. THE PARTY</w:t>
      </w:r>
    </w:p>
    <w:p>
      <w:r>
        <w:t>1. Travelplanet24 S.A., as a professional, pursuant to Article 18, letter b), of the Consumer Code. The company, based in Athens, is an online agency that promotes travel and leisure activities and manages the website www.tripsta.it. The company, based on the financial data available as of December 31, 2012, generated a turnover of approximately 98 million euros and recorded a loss of approximately 489 thousand euros.</w:t>
      </w:r>
    </w:p>
    <w:p>
      <w:r>
        <w:t>II. THE COMMERCIAL PRACTICES</w:t>
      </w:r>
    </w:p>
    <w:p>
      <w:r>
        <w:t>2. The proceedings concern the unfairness of the commercial communications disseminated on the professional's website www.tripsta.it regarding airline offers and, more specifically:</w:t>
      </w:r>
    </w:p>
    <w:p>
      <w:r>
        <w:t>a) the misleading nature of the commercial communications regarding the promotion of flights that falsely suggested the availability of offers at particularly advantageous prices, as well as the application, at an advanced stage of the booking process, of surcharges such as that for payment by credit card (hereinafter also "credit card surcharge");</w:t>
      </w:r>
    </w:p>
    <w:p>
      <w:r>
        <w:t>b) the misleading nature of the mechanism for pre-selecting optional ancillary services, called "Travel Insurance" and "Premium Service Package," during the flight booking process, unless opting out in case of disinterest from the consumer.</w:t>
      </w:r>
    </w:p>
    <w:p>
      <w:r>
        <w:t>III. THE OUTCOMES OF THE PROCEEDINGS</w:t>
      </w:r>
    </w:p>
    <w:p>
      <w:r>
        <w:t>1) The course of the proceedings</w:t>
      </w:r>
    </w:p>
    <w:p>
      <w:r>
        <w:t>3. According to information acquired for the application of the Consumer Code, in particular the surveys of the professional's website www.tripsta.it conducted ex officio on the 24th, 25th, and 29th</w:t>
      </w:r>
    </w:p>
    <w:p>
      <w:r>
        <w:rPr>
          <w:b/>
        </w:rPr>
        <w:t>[Pages 244–246]</w:t>
      </w:r>
    </w:p>
    <w:p>
      <w:r>
        <w:t>246 BULLETIN NO. 11 OF MARCH 17, 2014</w:t>
      </w:r>
    </w:p>
    <w:p>
      <w:r>
        <w:t>July 2013 and following reports received starting from June 2013, the Party was notified, on August 2, 2013, of the initiation of investigative procedure No. PS9052 for possible violation of Articles 20, 21, and 22 of the Consumer Code.</w:t>
      </w:r>
    </w:p>
    <w:p>
      <w:r>
        <w:t>4. In this context, the unfairness of the commercial practice was hypothesized, consisting of the presentation, at the time of the invitation to purchase airline tickets, of misleading information concerning certain cost components unsuitable for making the consumer understand, from the initial phase of the process, the methods of price calculation. Similarly, the unfairness of the commercial practice was hypothesized consisting of the establishment of an automatic pre-selection system for optional services integrating a tacit consent mechanism likely to mislead consumers regarding the absence of a conscious purchasing choice.</w:t>
      </w:r>
    </w:p>
    <w:p>
      <w:r>
        <w:t>5. On October 3, 2013, a memorandum was received from the professional containing the response to the request for information included in the communication initiating the procedure.</w:t>
      </w:r>
    </w:p>
    <w:p>
      <w:r>
        <w:t>6. On January 10, 2014, the Party was informed of the conclusion date of the investigative phase pursuant to Article 16, paragraph 1, of the Regulation.</w:t>
      </w:r>
    </w:p>
    <w:p>
      <w:r>
        <w:t>2) The evidence acquired</w:t>
      </w:r>
    </w:p>
    <w:p>
      <w:r>
        <w:t>7. The complainants alleged that the final price of the flights offered by the professional would be significantly higher than that initially proposed at the beginning of the booking due to additional components, continuing in the booking procedure, such as the cost of the insurance policy and the service package - although not selected and, therefore, not requested by the consumer - as well as the surcharge for payment by credit card, which is the only payment method.</w:t>
      </w:r>
    </w:p>
    <w:p>
      <w:r>
        <w:t>Practice a)</w:t>
      </w:r>
    </w:p>
    <w:p>
      <w:r>
        <w:t>8. In particular, on the homepage of the site, there appears, at the top left, the box in which to enter the departure and destination locations and the chosen dates; after querying the system, the page appears that lists the proposed flight solutions, along with the respective costs, indicated with the wording "total price."</w:t>
      </w:r>
    </w:p>
    <w:p>
      <w:r>
        <w:t>9. By selecting the "book this flight" button, one accesses a page where the travel information is accompanied, on the right, by a box labeled "Payment in detail," which shows the amounts of the components of the above-mentioned price: the price, taxes, service costs, any discounts, as well as the item "other costs," broken down into the sub-items "voucher discounts" and "payment costs," with the mention of the amount equal to €0.</w:t>
      </w:r>
    </w:p>
    <w:p>
      <w:r>
        <w:t>10. However, continuing through the various stages of the booking procedure, the consumer is informed, within the aforementioned "Payment in detail" box, of the presence and extent of additional cost items: indeed, the amount of the "other costs" item is no longer equal to €0, but equivalent to the fees due for the insurance policy and for the service package (as per practice sub b), automatically pre-selected, which is added, at the end of the booking process, at the time of entering the credit card details, the credit card surcharge.</w:t>
      </w:r>
    </w:p>
    <w:p>
      <w:r>
        <w:t>11. By way of example, from a simulation carried out ex officio for the flights "Rome - Paris" round trip (from July 31 to August 2, 2013), the originally proposed price of €234.98 - resulting from the sum of the amounts indicated as price + taxes + service costs - during the booking undergoes a series of increases: first, due to the pre-selected travel insurance, to €257.38 and then, due to the inclusion of the premium service package also pre-selected, to €266.37 and finally, due to the application of the credit card surcharge (ranging from €5.33 to €9.99), to €271.70 or €276.36.</w:t>
      </w:r>
    </w:p>
    <w:p>
      <w:r>
        <w:t>12. The professional activated the site www.tripsta.it on October 19, 2011, and since that date has always applied the payment surcharge for the use of the credit card. The number of transactions carried out on the platform www.tripsta.it in 2012 was [omitted] for a value of approximately [omitted] euros, while in the period January-August 2013, against [omitted] operations, a revenue of nearly [omitted] euros was recorded. The practice does not appear to have ceased.</w:t>
      </w:r>
    </w:p>
    <w:p>
      <w:r>
        <w:t>Practice b)</w:t>
      </w:r>
    </w:p>
    <w:p>
      <w:r>
        <w:t>13. Regarding the mechanism of automatic pre-selection of certain optional ancillary services, such as "Travel Insurance" (travel insurance and cancellation insurance) and the "Premium Service Package" (which guarantees free change of itinerary or passenger names; insurance against airline insolvency; free cancellation of any travel booking), it is worth noting that the consumer sees - after selecting the flight of interest and proceeding with the booking - in the box on the right "payment in detail" the cost of the insurance policy (of variable amount, in the simulations carried out ex officio for European destinations included in the range between €22.40 and €26.46) and of the service package (equal to €8.99) without having consciously requested these services and, therefore, in the absence of an explicit choice in this regard. Indeed, the option choice appears to be already set although it is subject to modification in the event that the consumer notices the pre-selection.</w:t>
      </w:r>
    </w:p>
    <w:p>
      <w:r>
        <w:t>14. The professional stated that it introduced the automatic pre-selection mode for the two ancillary services from June 2013. The data provided in response to the request for information highlight that in the period January - August 2013, the percentage of travel insurance policies taken out in relation to the number of tickets sold was [omitted] and that the revenues resulting from the conclusion of [omitted] contracts amounted to [omitted] €. In the same period, the professional sold to [omitted] buyers the "Premium Service Package" equal to [omitted] of the tickets sold. The corresponding sales in 2012, when the two coverages were not pre-selected, were [omitted] and [omitted] contracts.</w:t>
      </w:r>
    </w:p>
    <w:p>
      <w:r>
        <w:t>15. Following the communication of the initiation provision of August 2, 2013, the professional proceeded to eliminate the "pre-selection" of the aforementioned optional services from the purchase procedure of its services.</w:t>
      </w:r>
    </w:p>
    <w:p>
      <w:r>
        <w:t>3) The defensive arguments of the Party</w:t>
      </w:r>
    </w:p>
    <w:p>
      <w:r>
        <w:t>16. The professional, with communication received on October 3, 2013, reported that it applies the credit card surcharge for transactions made with credit card (excluding Diners Club for non-low-cost carriers). The Party then clarified that this surcharge - for which a maximum cap of €9.99 is set in any case - is calculated as a percentage of the total value of the transaction and corresponds to the cost of the service that is charged by the bank that issued the card. This payment is required for the booking, regardless of the number of passengers and whether the ticket is round trip or one way.</w:t>
      </w:r>
    </w:p>
    <w:p>
      <w:r>
        <w:t>17. travelplanet24 S.A. also represented the difficulty of presenting the price of airline tickets inclusive of the credit card surcharge due to the circumstance that it does not apply if the consumer uses the Diners Club card to purchase flights from scheduled airlines.</w:t>
      </w:r>
    </w:p>
    <w:p>
      <w:r>
        <w:t>18. Regarding the automatic pre-selection system of certain optional ancillary services, the Party stated that it has ceased this practice following the communication of the initiation of the procedure in question.</w:t>
      </w:r>
    </w:p>
    <w:p>
      <w:r>
        <w:t>IV. OPINION OF THE AUTHORITY FOR GUARANTEES IN COMMUNICATIONS</w:t>
      </w:r>
    </w:p>
    <w:p>
      <w:r>
        <w:t>19. Since the commercial practice subject to this provision was disseminated through telecommunications means, on January 22, 2014, the opinion was requested from the Authority for Guarantees in Communications, pursuant to Article 27, paragraph 6, of the Consumer Code.</w:t>
      </w:r>
    </w:p>
    <w:p>
      <w:r>
        <w:t>20. With an opinion received on February 21, 2014, the aforementioned Authority deemed that the commercial practice in question is unfair pursuant to Articles 20, 21, and 22 of the Consumer Code, considering that the communication made by the professional provides misleading and unsuitable information regarding the actual characteristics of the product and the real value of the purchased tickets due to the identified criticalities regarding the composition of the price of the tickets sold; furthermore, the inclusion, in the process of booking airline tickets, of additional services by default on the final price, unless opting out, generates in the consumer a false belief regarding the nature (optional and not mandatory) of the service itself.</w:t>
      </w:r>
    </w:p>
    <w:p>
      <w:r>
        <w:t>V. CONCLUDING EVALUATIONS</w:t>
      </w:r>
    </w:p>
    <w:p>
      <w:r>
        <w:t>21. The procedure in question is aimed at verifying the correctness of the methods of presenting the offers of airline tickets by travelplanet24 S.A. through its Italian language website www.tripsta.it.</w:t>
      </w:r>
    </w:p>
    <w:p>
      <w:r>
        <w:t>Plurality of commercial practices</w:t>
      </w:r>
    </w:p>
    <w:p>
      <w:r>
        <w:t>22. The behaviors described in the previous point II of this provision constitute two distinct commercial practices, as they relate to different phases of the contractual relationship with the consumer and have peculiar structural characteristics that justify their individual and autonomous evaluation.</w:t>
      </w:r>
    </w:p>
    <w:p>
      <w:r>
        <w:rPr>
          <w:b/>
        </w:rPr>
        <w:t>[Pages 247–249]</w:t>
      </w:r>
    </w:p>
    <w:p>
      <w:r>
        <w:t>BULLETIN NO. 11 OF MARCH 17, 2014 249</w:t>
      </w:r>
    </w:p>
    <w:p>
      <w:r>
        <w:t>23. The first practice concerns the promotional phase of various types of offers in the online intermediation activity carried out by travelplanet24 S.A. and, in particular, the imposition of an additional economic charge on the advertised price for payment by credit card.</w:t>
      </w:r>
    </w:p>
    <w:p>
      <w:r>
        <w:t>24. The second practice, characterized by structural and functional autonomy, concerns the mechanism of automatic pre-selection of optional supplementary services related to "Travel Insurance" and the "Premium Services Package," that is, services different from the intermediation of tourist services which constitutes the main activity of the professional. In this regard, it is noteworthy that the user, in the electronic booking process, is automatically directed (unless opting out) to purchase a distinct and additional product compared to the tourist service.</w:t>
      </w:r>
    </w:p>
    <w:p>
      <w:r>
        <w:t>The violations</w:t>
      </w:r>
    </w:p>
    <w:p>
      <w:r>
        <w:t>Practice a)</w:t>
      </w:r>
    </w:p>
    <w:p>
      <w:r>
        <w:t>25. During the proceedings, it was established that the professional, starting from October 2011, promoted its flight offers via the internet by providing incomplete information about the price of airline tickets on the page displaying possible combinations of flights of interest to the consumer, relegating complete information about the total cost of the intermediated services to the final stage of the booking process. In fact, it was found that the omission of the indication from the very beginning of the contact (i.e., on the initial page of the booking process) of all charges applied to the consumer compared to the initially illustrated price was present. The consumer, in fact, becomes aware of the credit card surcharge and its amount only at the final stage of the booking procedure, when entering the credit card details.</w:t>
      </w:r>
    </w:p>
    <w:p>
      <w:r>
        <w:t>26. Such methods of presenting the offer to the public, as they do not allow the consumer to understand from the beginning of the booking process the actual total cost of the transaction, do not appear to meet the standards of clarity, completeness, and perceptibility of the relevant elements of the offer that are essential for an informed choice.</w:t>
      </w:r>
    </w:p>
    <w:p>
      <w:r>
        <w:t>27. As emerged from the official simulations, the final price requested from the consumer for a flight related to the "Rome - Paris" route is, at the end of the booking process when entering the credit card details, increased by the credit card surcharge, which amounts to between €5.33 and €9.99, without the consumer being made aware of this in the previous stages. In this way, the originally proposed price of €234.98, due to additional cost items charged subsequently, including the credit card surcharge, rises to €276.36.</w:t>
      </w:r>
    </w:p>
    <w:p>
      <w:r>
        <w:t>28. In this regard, it is worth noting that, according to the constant orientation of the Authority, confirmed by administrative jurisprudence, the indication of the price must include, from the outset, any economic burden on the consumer, the amount of which can be determined ex ante. Moreover, in order to ensure consumers transparent information regarding the overall final cost of the product, pursuant to Article 3, paragraph 1, of Decree Law No. 7 of January 31, 2007 (converted into Law No. 40 of April 2, 2007), "offers and advertising messages for airline flights that indicate the price net of expenses, taxes, and other additional charges, or refer to a single round trip, a limited number of travel tickets, or to limited time periods or booking methods, are prohibited unless clearly indicated in the offer." Paragraph 2 of the same article provides that "to present methods of display that allow for an immediate and clear perception by the consumer of the relevant information. This is because the advertising message must provide essential information, so that it is capable of misleading the consumer 'when the final and actual price of the service is not the one emphasized in the main claim, but to that price must be added - based on non-contextual indications and lacking the same emphasis - additional charges, the impact of which on the overall expenditure is not indicated, not even approximately.'"</w:t>
      </w:r>
    </w:p>
    <w:p>
      <w:r>
        <w:t>29. In this case, the initially indicated price does not include all possible certain cost items such as the amount of the surcharge required for payment by credit card. Moreover, the argument of the Party that not all credit cards impose the surcharge - as in the case of using Diners Club for purchasing flights from scheduled airlines - appears irrelevant. In fact, the credit card surcharge constitutes an inevitable and predictable cost element, as well as an additional charge that does not correspond to a different and additional service, but is instead inextricably linked to the passenger air transport service. It is worth recalling - to confirm the opposition of such practice to the regulations on unfair commercial practices - the existence of the prohibition on applying charges for the use of payment services, while it is permitted to apply a discount in the case of using a particular payment instrument. In this case, the price display policy adopted by the professional, as it does not include, in the first price presented, the inevitable cost associated with the use of payment instruments, contravenes the aforementioned prohibition.</w:t>
      </w:r>
    </w:p>
    <w:p>
      <w:r>
        <w:t>30. In other words, the presentation of the service rates offered by the professional through the separation of the amount of the credit card surcharge from the ticket price does not meet the criteria of transparency and completeness of information that the company should have adhered to, as it does not allow the consumer, from the first contact, to know the actual price of the ticket, inclusive of the set of unavoidable cost items that compose it.</w:t>
      </w:r>
    </w:p>
    <w:p>
      <w:r>
        <w:t>31. On this point, as the administrative judge has not failed to note, the professional is imposed a particular burden of clarity in the communication strategy from the initial presentation of the product: this is to safeguard the consumer's freedom of self-determination and allow them to perceive the actual cost of the purchased services; moreover, the credit card surcharge constitutes a supplement, in purely probabilistic terms, predictable in good faith, as well as substantially inevitable since one cannot disregard this surcharge for the online ticket purchase in most cases concerning, for example, the over [omitted] transactions recorded in 2012.</w:t>
      </w:r>
    </w:p>
    <w:p>
      <w:r>
        <w:t>32. Having said that, the conduct carried out by the professional does not comply with the level of professional diligence reasonably expected from an operator in the specific sector of online travel agencies in order for consumers to understand the scope of the travel offers intermediated by it. Compliance with the general principle of fairness indeed imposes on operators to ensure, in their commercial communications, tariff transparency and clarity of the information provided to consumers in order to allow them a correct perception of the essential elements of the advertised product and its convenience.</w:t>
      </w:r>
    </w:p>
    <w:p>
      <w:r>
        <w:t>33. The practice is therefore deemed unfair with respect to the price of the offer, thus constituting a violation of Articles 20, 21, and 22 of the Consumer Code as the professional does not provide an immediate, clear, and complete indication of the presence, amount, and nature of additional charges (credit card surcharge), economically appreciable compared to the price of the ticket initially proposed to the consumer, which accumulate, during the online booking process, to the price of the tickets offered by the professional to Italian consumers for the served routes.</w:t>
      </w:r>
    </w:p>
    <w:p>
      <w:r>
        <w:t>Practice b)</w:t>
      </w:r>
    </w:p>
    <w:p>
      <w:r>
        <w:t>34. The automatic pre-selection, during the booking process, of optional insurance coverage services, the amounts of which are displayed under "other costs" in the "Payment in detail" box - forcing the uninterested consumer to deselect the option in order to avoid purchasing the policy - is misleading due to its ability to generate in the consumer a false belief regarding the nature (optional and not mandatory) of the services and, consequently, to induce them to a choice they would not have otherwise made.</w:t>
      </w:r>
    </w:p>
    <w:p>
      <w:r>
        <w:t>35. As emerged from the simulation in the records related to European routes, the increase for the "Travel Insurance" service is found to be between €22.40 and €26.46. Moreover, in the period from January to August 2013, [omitted] contracts were signed, amounting to about [omitted] of sales. It is worth considering the relevance of the pre-selection on the consumer's decision to purchase insurance, when comparing the 2013 data - partial, as it does not refer to the entire year and is influenced by the adoption of pre-selection only from mid-June - with the corresponding sales in 2012, when the signed contracts amounted to [omitted], or half.</w:t>
      </w:r>
    </w:p>
    <w:p>
      <w:r>
        <w:t>36. Regarding the "Premium Services Package," the price increase requested, resulting from the simulation, was €8.99. It is also recorded that in the period from January to August 2013, [omitted] policies were signed, amounting to [omitted] of the tickets sold, compared to [omitted] contracts in 2012. Again, in this case, the pre-selection on the consumer's decision to purchase insurance is relevant, as the 2013 data is partial, for the reasons outlined in the previous paragraph.</w:t>
      </w:r>
    </w:p>
    <w:p>
      <w:r>
        <w:t>37. The subsequent elimination, communicated on October 3, 2013, of the automatic pre-selection mechanism with the "opt-in" mode (whereby the consumer is required to make an explicit choice in order to purchase optional services) removes the aforementioned critical issues. However, it should be noted that the pre-selection of optional services misleads the consumer about the real nature of such services and, therefore, constitutes an unfair conduct; thus, its occurrence.</w:t>
      </w:r>
    </w:p>
    <w:p>
      <w:r>
        <w:rPr>
          <w:b/>
        </w:rPr>
        <w:t>[Pages 250–252]</w:t>
      </w:r>
    </w:p>
    <w:p>
      <w:r>
        <w:t>252 BULLETIN NO. 11 OF MARCH 17, 2014</w:t>
      </w:r>
    </w:p>
    <w:p>
      <w:r>
        <w:t>The removal from the online purchasing procedure does not eliminate the deceptive effects already produced during the dissemination of the practice.</w:t>
      </w:r>
    </w:p>
    <w:p>
      <w:r>
        <w:t>38. All of this considered, the second conduct carried out by the professional also does not comply with the level of professional diligence reasonably required, taking into account the quality of the professional itself and the characteristics of the activity performed.</w:t>
      </w:r>
    </w:p>
    <w:p>
      <w:r>
        <w:t>39. The practice is therefore deemed unfair, from the perspective of its misleading nature, as the use of a non-transparent mechanism of silence-consent is likely to mislead the average consumer regarding optional services not consciously requested, thus constituting a violation of Articles 20 and 21, paragraph 1, letters b) and d), of the Consumer Code.</w:t>
      </w:r>
    </w:p>
    <w:p>
      <w:r>
        <w:t>VI. QUANTIFICATION OF THE SANCTION</w:t>
      </w:r>
    </w:p>
    <w:p>
      <w:r>
        <w:t>40. Pursuant to the combined provisions of Article 27, paragraph 9, of the Consumer Code and Article 23, paragraph 12-quinquiesdecies, of Decree-Law No. 95 of July 6, 2012, as amended by Law No. 135 of August 7, 2012, with the provision that prohibits the unfair commercial practice, the Authority orders the application of an administrative pecuniary sanction from €5,000 to €5,000,000, taking into account the severity and duration of the violation.</w:t>
      </w:r>
    </w:p>
    <w:p>
      <w:r>
        <w:t>41. In the case of proceedings concerning multiple established administrative offenses, the jurisprudence has clarified that in the presence of multiple conducts with structural and functional autonomy, attributed to the responsibility of the professionals, the criterion of material cumulation of sanctions applies, instead of legal cumulation (see ex multis: Council of State, Section VI, January 19, 2012, No. 209).</w:t>
      </w:r>
    </w:p>
    <w:p>
      <w:r>
        <w:t>42. Regarding the quantification of the sanction, account must be taken, as applicable, of the criteria identified by Article 11 of Law No. 689 of November 24, 1981,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43. With reference to the commercial practice subject to contestation under a), the economic dimension of the professional is relevant, who based on the balance sheet data available as of December 31, 2013, generated revenues of approximately €98 million.</w:t>
      </w:r>
    </w:p>
    <w:p>
      <w:r>
        <w:t>44. Secondly, the severity of the violation must be assessed in consideration of the high degree of dissemination of the practice, capable of reaching a considerable number of consumers, particularly since the sale of the services offered by travelplanet24 S.A. occurs through the booking system on its website.</w:t>
      </w:r>
    </w:p>
    <w:p>
      <w:r>
        <w:t>45. As for the duration of the violation, the available evidence indicates that the commercial practice has been in place since at least October 2011 and is still ongoing.</w:t>
      </w:r>
    </w:p>
    <w:p>
      <w:r>
        <w:t>46. Based on these elements, it is deemed appropriate to determine the base amount of the administrative pecuniary sanction applicable to travelplanet24 S.A. at €120,000 (one hundred twenty thousand euros).</w:t>
      </w:r>
    </w:p>
    <w:p>
      <w:r>
        <w:t>47. Considering the economic situation of the professional, which presents negative economic conditions with a loss-making balance sheet, it is deemed appropriate to set the amount of the administrative pecuniary sanction to be applied to travelplanet24 S.A. for the practice under a) at €90,000 (ninety thousand euros).</w:t>
      </w:r>
    </w:p>
    <w:p>
      <w:r>
        <w:t>48. Regarding the second commercial practice subject to contestation, described under b), the severity of the violation must be assessed in consideration of its ability to reach a large number of consumers and the importance of the professional, for the reasons expressed in the previous paragraphs.</w:t>
      </w:r>
    </w:p>
    <w:p>
      <w:r>
        <w:t>49. As for the duration of the violation, it should be noted that the conduct lasted for approximately two months, from mid-June 2013 until August 2013.</w:t>
      </w:r>
    </w:p>
    <w:p>
      <w:r>
        <w:t>50. Considering these elements, it is deemed appropriate to determine the amount of the administrative pecuniary sanction applicable to travelplanet24 S.A. for the practice under b) at €20,000 (twenty thousand euros).</w:t>
      </w:r>
    </w:p>
    <w:p>
      <w:r>
        <w:t>51. In consideration of the economic situation of the professional, which shows balance sheet losses, it is deemed appropriate to apply a sanction against travelplanet24 S.A. for the violation related to the practice under b) at €15,000 (fifteen thousand euros).</w:t>
      </w:r>
    </w:p>
    <w:p>
      <w:r>
        <w:t>THEREFORE, it is deemed, in accordance with the opinion of the Authority for Guarantees in Communications, that the commercial practice described in Title II of this provision, based on the considerations set forth, is unfair pursuant to Articles 20, 21, and 22 of the Consumer Code, as it is contrary to professional diligence and capable of appreciably distorting the economic behavior of the average consumer in relation to the services advertised by the professional;</w:t>
      </w:r>
    </w:p>
    <w:p>
      <w:r>
        <w:t>RESOLVES</w:t>
      </w:r>
    </w:p>
    <w:p>
      <w:r>
        <w:t>a) that the commercial practice described in Title II, letter a), of this provision, carried out by travelplanet24 S.A., constitutes, for the reasons and within the limits set forth in the motivation, an unfair commercial practice pursuant to Articles 20, 21, and 22 of the Consumer Code, and prohibits its dissemination or continuation;</w:t>
      </w:r>
    </w:p>
    <w:p>
      <w:r>
        <w:t>b) that the commercial practice described in Title II, letter b), of this provision, carried out by travelplanet24 S.A., constitutes, for the reasons and within the limits set forth in the motivation, an unfair commercial practice pursuant to Articles 20, 21, and 22 of the Consumer Code, and prohibits its dissemination or continuation;</w:t>
      </w:r>
    </w:p>
    <w:p>
      <w:r>
        <w:t>c) to impose on travelplanet24 S.A. for the violations referred to in the previous letters a) and b) two administrative pecuniary sanctions equal, respectively, to €90,000 (ninety thousand euros) and €15,000 (fifteen thousand euros);</w:t>
      </w:r>
    </w:p>
    <w:p>
      <w:r>
        <w:t>d) that the professional communicates to the Authority, within ninety days from the notification of this provision, the initiatives taken in compliance with the injunction referred to in point a).</w:t>
      </w:r>
    </w:p>
    <w:p>
      <w:r>
        <w:t>The administrative sanctions referred to in the previous letter c) must be paid within thirty days from the notification of this provision, using the attached model F24 with identifying elements, pursuant to Legislative Decree No. 241/1997.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w:t>
      </w:r>
    </w:p>
    <w:p>
      <w:r>
        <w:t>Pursuant to Article 37, paragraph 49, of Decree-Law No. 223/2006, subjects holding a VAT number are required to submit the F24 model electronically.</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during the same period.</w:t>
      </w:r>
    </w:p>
    <w:p>
      <w:r>
        <w:t>Immediate communication of the payment must be given to the Authority by sending a copy of the model certifying the payment made.</w:t>
      </w:r>
    </w:p>
    <w:p>
      <w:r>
        <w:t>This provision will be notified to the interested parties and published in the Bulletin of the Authority for Competition and the Market.</w:t>
      </w:r>
    </w:p>
    <w:p>
      <w:r>
        <w:t>Pursuant to the combined provisions of Article 27, paragraph 12, of the Consumer Code and Article 23, paragraph 12-quinquiesdecies, of Decree-Law No. 95 of July 6, 2012, as amended by Law No. 135 of August 7, 2012,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for Lazio, pursuant to Article 135, paragraph 1, letter b), of the Administrative Procedure Code (Legislative Decree No. 104 of July 2, 2010),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one hundred twenty days from the date of notification of the provision itself.</w:t>
      </w:r>
    </w:p>
    <w:p>
      <w:r>
        <w:t>THE SECRETARY GENERAL THE PRESIDENT</w:t>
      </w:r>
    </w:p>
    <w:p>
      <w:r>
        <w:t>Roberto Chieppa Giovanni Pitruzzella</w:t>
      </w:r>
    </w:p>
    <w:p>
      <w:r>
        <w:rPr>
          <w:b/>
        </w:rPr>
        <w:t>[Pages 253–253]</w:t>
      </w:r>
    </w:p>
    <w:p>
      <w:r>
        <w:t>Antitrust Authority Weekly Bulletin</w:t>
        <w:br/>
        <w:t>of Competition and Market Year XXIV - No. 11 - 2014</w:t>
        <w:br/>
        <w:t>Editorial Coordination Giulia Antenucci</w:t>
        <w:br/>
        <w:t>Editorial Staff Elisabetta Allegra, Sandro Cini, Francesca Melchiorri,</w:t>
        <w:br/>
        <w:t>Valerio Ruocco, Simonetta Schettini</w:t>
        <w:br/>
        <w:t>Antitrust Authority for Competition and Market</w:t>
        <w:br/>
        <w:t>Statistical Office and IT Inspections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