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https://agcm.it/dotcmsdoc/bollettini/2021/11-21.pdf</w:t>
      </w:r>
    </w:p>
    <w:p>
      <w:r>
        <w:t>Pages translated : 54</w:t>
      </w:r>
    </w:p>
    <w:p/>
    <w:p>
      <w:r>
        <w:rPr>
          <w:b/>
        </w:rPr>
        <w:t>[Pages 1–3]</w:t>
      </w:r>
    </w:p>
    <w:p>
      <w:r>
        <w:t>Bulletin</w:t>
        <w:br/>
        <w:t>Weekly</w:t>
        <w:br/>
        <w:t>Year XXXI - No. 11</w:t>
        <w:br/>
        <w:t>Published on the website www.agcm.it</w:t>
        <w:br/>
        <w:t>March 15, 2021</w:t>
      </w:r>
    </w:p>
    <w:p>
      <w:r>
        <w:t>SUMMARY</w:t>
        <w:br/>
        <w:t>AGREEMENTS AND ABUSE OF DOMINANT POSITION 5</w:t>
        <w:br/>
        <w:t>A528 - FBA AMAZON</w:t>
        <w:br/>
        <w:t>Measure No. 28586 5</w:t>
        <w:br/>
        <w:t>A529 - GOOGLE/COMPATIBILITY OF ENEL X ITALIA APP WITH ANDROID AUTO SYSTEM</w:t>
        <w:br/>
        <w:t>Measure No. 28587 7</w:t>
        <w:br/>
        <w:t>I842 - SALE OF APPLE AND BEATS PRODUCTS ON AMAZON MARKETPLACE</w:t>
        <w:br/>
        <w:t>Measure No. 28593 9</w:t>
        <w:br/>
        <w:t>CONCENTRATION OPERATIONS 11</w:t>
        <w:br/>
        <w:t>C12328 - COOP LOMBARDIA/COOP VICINATO LOMBARDIA</w:t>
        <w:br/>
        <w:t>Measure No. 28588 11</w:t>
        <w:br/>
        <w:t>C12348 - INTESA SANPAOLO/AVIVA VITA</w:t>
        <w:br/>
        <w:t>Measure No. 28589 17</w:t>
        <w:br/>
        <w:t>C12349 - INTESA SANPAOLO/LOMBARDA VITA</w:t>
        <w:br/>
        <w:t>Measure No. 28590 22</w:t>
        <w:br/>
        <w:t>REPORTING AND CONSULTATIVE ACTIVITIES 26</w:t>
        <w:br/>
        <w:t>AS1723 - MUNICIPALITY OF CARRARA (MS) - EXTENSION OF MARITIME CONCESSIONS FOR TOURIST-RECREATIONAL PURPOSES 26</w:t>
        <w:br/>
        <w:t>AS1724 - AUTONOMOUS PROVINCE OF TRENTO - CONCESSION FOR THE CONSTRUCTION OF WATER DIVERSION FACILITIES FOR HYDROELECTRIC USE 31</w:t>
        <w:br/>
        <w:t>UNFAIR COMMERCIAL PRACTICES 35</w:t>
        <w:br/>
        <w:t>IP341 - SIXTHCONTINENT-FAILURE TO RECOGNIZE CREDITS</w:t>
        <w:br/>
        <w:t>Measure No. 28594 35</w:t>
        <w:br/>
        <w:t>PS11691 - CALYPSO-WATER PURIFIERS</w:t>
        <w:br/>
        <w:t>Measure No. 28597 40</w:t>
        <w:br/>
        <w:t>PS11758 - UNIPOLSAI-REFUND OF CAR INSURANCE MONTHLY PAYMENTS</w:t>
        <w:br/>
        <w:t>Measure No. 28598 48</w:t>
      </w:r>
    </w:p>
    <w:p>
      <w:r>
        <w:t>BULLETIN NO. 11 OF MARCH 15, 2021 5</w:t>
        <w:br/>
        <w:t>AGREEMENTS AND ABUSE OF DOMINANT POSITION</w:t>
        <w:br/>
        <w:t>A528 - FBA AMAZON</w:t>
        <w:br/>
        <w:t>Measure No. 28586</w:t>
        <w:br/>
        <w:t>THE COMPETITION AND MARKET AUTHORITY</w:t>
        <w:br/>
        <w:t>IN ITS MEETING of February 23, 2021;</w:t>
        <w:br/>
        <w:t>HEARD the Rapporteur Dr. Gabriella Muscolo;</w:t>
        <w:br/>
        <w:t>HAVING REGARD to Article 102 of the Treaty on the Functioning of the European Union (TFEU);</w:t>
        <w:br/>
        <w:t>HAVING REGARD to the law of October 10, 1990, No. 287;</w:t>
        <w:br/>
        <w:t>HAVING REGARD to Regulation No. 1/2003 of the Council of December 16, 2002, concerning the application of the competition rules laid down in Articles 81 and 82 of the EC Treaty (now Articles 101 and 102 TFEU);</w:t>
        <w:br/>
        <w:t>HAVING REGARD to the Presidential Decree of April 30, 1998, No. 217;</w:t>
        <w:br/>
        <w:t>HAVING REGARD to the Commission Communication on cooperation within the network of competition authorities, of April 27, 2004;</w:t>
        <w:br/>
        <w:t>HAVING REGARD to its measure No. 27623 of April 10, 2019, which initiated an investigation pursuant to Article 14 of Law No. 287/90, against the companies Amazon EU S.à r.l., Amazon Services Europe S.à r.l., Amazon Europe Core S.à r.l., Amazon Italia Services S.r.l. and Amazon Italia Logistica S.r.l.;</w:t>
        <w:br/>
        <w:t>HAVING REGARD to its measure No. 28190 of March 17-18, 2020, with which it was decided to extend the deadline for closing the procedure to November 20, 2020;</w:t>
        <w:br/>
        <w:t>HAVING REGARD to its measure No. 28439 of November 10, 2020, with which it was decided to extend the deadline for closing the procedure to April 30, 2021;</w:t>
        <w:br/>
        <w:t>HAVING REGARD to the Communication of Investigative Results, sent to the Parties on December 28, 2020;</w:t>
        <w:br/>
        <w:t>HAVING REGARD to the request of the companies Amazon EU S.à r.l., Amazon Services Europe S.à r.l., Amazon Europe Core S.à r.l., Amazon Italia Services S.r.l. and Amazon Italia Logistica S.r.l., submitted on February 18, 2021, for an extension of the deadline for closing the investigative phase of at least two weeks, in order to allow them to fully exercise their right of defense, to adequately complete their response to the communication of investigative results and to prepare adequately for participation in the final hearing;</w:t>
        <w:br/>
        <w:t>HAVING REGARD to all the acts of the procedure;</w:t>
        <w:br/>
        <w:t>CONSIDERING the complexity of the case subject to the procedure and the necessity to ensure the broadest exercise of the right of defense and the adversarial principle;</w:t>
        <w:br/>
        <w:t>CONSIDERING that the extension of the intra-procedural deadline for closing the investigative phase also necessitates an extension of the deadline for concluding the procedure;</w:t>
      </w:r>
    </w:p>
    <w:p>
      <w:r>
        <w:rPr>
          <w:b/>
        </w:rPr>
        <w:t>[Pages 4–6]</w:t>
      </w:r>
    </w:p>
    <w:p>
      <w:r>
        <w:t>6 BULLETIN NO. 11 OF MARCH 15, 2021</w:t>
      </w:r>
    </w:p>
    <w:p>
      <w:r>
        <w:t>CONSIDERED it necessary to extend the deadline for the conclusion of the procedure currently set for April 30, 2021;</w:t>
      </w:r>
    </w:p>
    <w:p>
      <w:r>
        <w:t>RESOLVES</w:t>
      </w:r>
    </w:p>
    <w:p>
      <w:r>
        <w:t>to extend the deadline for the conclusion of the procedure to May 31, 2021.</w:t>
      </w:r>
    </w:p>
    <w:p>
      <w:r>
        <w:t>This measure will be notified to the interested parties and published in the Bulletin of the Competition and Market Authority.</w:t>
      </w:r>
    </w:p>
    <w:p>
      <w:r>
        <w:t>THE SECRETARY GENERAL for THE PRESIDENT</w:t>
      </w:r>
    </w:p>
    <w:p>
      <w:r>
        <w:t>Filippo Arena the Member</w:t>
      </w:r>
    </w:p>
    <w:p>
      <w:r>
        <w:t>Michele Ainis</w:t>
      </w:r>
    </w:p>
    <w:p>
      <w:r>
        <w:t>BULLETIN NO. 11 OF MARCH 15, 2021 7</w:t>
      </w:r>
    </w:p>
    <w:p>
      <w:r>
        <w:t>A529 - GOOGLE/COMPATIBILITY OF ENEL X ITALIA APP WITH ANDROID AUTO</w:t>
      </w:r>
    </w:p>
    <w:p>
      <w:r>
        <w:t>Measure No. 28587</w:t>
      </w:r>
    </w:p>
    <w:p>
      <w:r>
        <w:t>THE COMPETITION AND MARKET AUTHORITY</w:t>
      </w:r>
    </w:p>
    <w:p>
      <w:r>
        <w:t>IN ITS MEETING of February 23, 2021;</w:t>
      </w:r>
    </w:p>
    <w:p>
      <w:r>
        <w:t>HEARD the Rapporteur Professor Michele Ainis;</w:t>
      </w:r>
    </w:p>
    <w:p>
      <w:r>
        <w:t>HAVING REGARD to Article 102 of the Treaty on the Functioning of the European Union (TFEU);</w:t>
      </w:r>
    </w:p>
    <w:p>
      <w:r>
        <w:t>HAVING REGARD to Council Regulation (EC) No. 1/2003 of December 16, 2002;</w:t>
      </w:r>
    </w:p>
    <w:p>
      <w:r>
        <w:t>HAVING REGARD to the law of October 10, 1990, No. 287;</w:t>
      </w:r>
    </w:p>
    <w:p>
      <w:r>
        <w:t>HAVING REGARD to the Presidential Decree of April 30, 1998, No. 217;</w:t>
      </w:r>
    </w:p>
    <w:p>
      <w:r>
        <w:t>HAVING REGARD to its resolution adopted on May 8, 2019, which initiated an investigation pursuant to Article 14 of Law No. 287/90, against the companies Alphabet Inc., Google LLC, and Google Italy S.r.l. (hereinafter, collectively Google), to ascertain the existence of possible violations of Article 102 TFEU;</w:t>
      </w:r>
    </w:p>
    <w:p>
      <w:r>
        <w:t>HAVING REGARD to its resolution adopted on April 29, 2020, which extended the deadline for the conclusion of the procedure to May 30, 2021;</w:t>
      </w:r>
    </w:p>
    <w:p>
      <w:r>
        <w:t>HAVING REGARD to its resolution adopted on July 1, 2020, which advanced the deadline for the conclusion of the procedure to March 31, 2021;</w:t>
      </w:r>
    </w:p>
    <w:p>
      <w:r>
        <w:t>HAVING REGARD to its communications of February 11, 2021, which informed Google and Enel X Italia S.r.l. of the deadline for the conclusion of the evidence-gathering phase, pursuant to Article 14, paragraph 2, of the Presidential Decree of April 30, 1998, No. 217, and, consequently, the deadline for submitting written statements and documents pursuant to Article 14, paragraph 2, of the Presidential Decree of April 30, 1998, No. 217;</w:t>
      </w:r>
    </w:p>
    <w:p>
      <w:r>
        <w:t>HAVING REGARD to Google's request of February 12, 2021, for an extension of the deadline for submitting final written statements and documents pursuant to Article 14, paragraph 2, of the Presidential Decree of April 30, 1998, No. 217, and, consequently, the deadline for the conclusion of the evidence-gathering phase;</w:t>
      </w:r>
    </w:p>
    <w:p>
      <w:r>
        <w:t>HAVING REGARD to the documentation on file;</w:t>
      </w:r>
    </w:p>
    <w:p>
      <w:r>
        <w:t>CONSIDERING the necessity to ensure the Parties the broadest exercise of their rights of defense and to guarantee the full unfolding of the adversarial process;</w:t>
      </w:r>
    </w:p>
    <w:p>
      <w:r>
        <w:t>CONSIDERING, furthermore, that the partial acceptance of Google's request makes it necessary to extend the deadline for the conclusion of the procedure;</w:t>
      </w:r>
    </w:p>
    <w:p>
      <w:r>
        <w:t>HAVING REGARD that, in order to ensure the proper conduct of the subsequent procedural phases, it is necessary to order the extension of the deadline for the conclusion of the procedure;</w:t>
      </w:r>
    </w:p>
    <w:p>
      <w:r>
        <w:t>RESOLVES</w:t>
      </w:r>
    </w:p>
    <w:p>
      <w:r>
        <w:t>to extend the deadline for the conclusion of the procedure to April 30, 2021.</w:t>
      </w:r>
    </w:p>
    <w:p>
      <w:r>
        <w:t>8 BULLETIN NO. 11 OF MARCH 15, 2021</w:t>
      </w:r>
    </w:p>
    <w:p>
      <w:r>
        <w:t>This measure will be notified to the interested parties and published in the Bulletin of the Competition and Market Authority.</w:t>
      </w:r>
    </w:p>
    <w:p>
      <w:r>
        <w:t>THE SECRETARY GENERAL for THE PRESIDENT</w:t>
      </w:r>
    </w:p>
    <w:p>
      <w:r>
        <w:t>Filippo Arena the Member</w:t>
      </w:r>
    </w:p>
    <w:p>
      <w:r>
        <w:t>Michele Ainis</w:t>
      </w:r>
    </w:p>
    <w:p>
      <w:r>
        <w:rPr>
          <w:b/>
        </w:rPr>
        <w:t>[Pages 7–9]</w:t>
      </w:r>
    </w:p>
    <w:p>
      <w:r>
        <w:t>BULLETIN NO. 11 OF MARCH 15, 2021 9</w:t>
      </w:r>
    </w:p>
    <w:p>
      <w:r>
        <w:t>I842 - SALE OF APPLE AND BEATS PRODUCTS ON AMAZON MARKETPLACE</w:t>
      </w:r>
    </w:p>
    <w:p>
      <w:r>
        <w:t>Measure No. 28593</w:t>
      </w:r>
    </w:p>
    <w:p>
      <w:r>
        <w:t>THE COMPETITION AND MARKET AUTHORITY</w:t>
      </w:r>
    </w:p>
    <w:p>
      <w:r>
        <w:t>IN ITS MEETING of February 23, 2021;</w:t>
      </w:r>
    </w:p>
    <w:p>
      <w:r>
        <w:t>HEARD the Rapporteur, Professor Michele Ainis;</w:t>
      </w:r>
    </w:p>
    <w:p>
      <w:r>
        <w:t>HAVING REGARD to Article 101 of the Treaty on the Functioning of the European Union (TFEU);</w:t>
      </w:r>
    </w:p>
    <w:p>
      <w:r>
        <w:t>HAVING REGARD to Council Regulation (EC) No. 1/2003 of December 16, 2002;</w:t>
      </w:r>
    </w:p>
    <w:p>
      <w:r>
        <w:t>HAVING REGARD to the law of October 10, 1990, No. 287 and, in particular, Article 14-ter introduced by the law of August 4, 2006, No. 248, which converted with amendments the decree-law of July 4, 2006, No. 223;</w:t>
      </w:r>
    </w:p>
    <w:p>
      <w:r>
        <w:t>HAVING REGARD to the law of February 6, 1996, No. 52, as amended by the law of December 21, 1999, No. 526 and, in particular, Article 54;</w:t>
      </w:r>
    </w:p>
    <w:p>
      <w:r>
        <w:t>HAVING REGARD to the Presidential Decree of April 30, 1998, No. 217;</w:t>
      </w:r>
    </w:p>
    <w:p>
      <w:r>
        <w:t>HAVING REGARD to its resolution of July 14, 2020, No. 28294, with which an investigation was initiated, pursuant to Article 14 of law No. 287/90, to ascertain the existence of any violations of Article 101 of the TFEU against Apple Inc., Apple Distribution International Ltd, Apple Sales International, Apple Italia S.r.l., Apple Retail Italia S.r.l., Amazon.com Inc., Amazon Services Europe S.à r.l., Amazon Europe Core S.à r.l., Amazon EU S.à r.l. and Amazon Italia Services S.r.l.;</w:t>
      </w:r>
    </w:p>
    <w:p>
      <w:r>
        <w:t>HAVING REGARD to the documents of the procedure and, in particular, the documentation acquired from the companies Apple Inc., Apple Distribution International Ltd, Apple Sales International, Apple Italia S.r.l., Apple Retail Italia S.r.l., Amazon.com Inc., Amazon Services Europe S.à r.l., Amazon Europe Core S.à r.l., Amazon EU S.à r.l. and Amazon Italia Services S.r.l.;</w:t>
      </w:r>
    </w:p>
    <w:p>
      <w:r>
        <w:t>CONSIDERING that the present procedure, as deemed in the aforementioned initiation measure, to which full reference is made, concerns a case of restrictive agreement of competition, in violation of Article 101 of the TFEU, consisting of an alleged agreement between the Parties aimed at restricting access to the services of the Amazon.it marketplace by certain retailers of consumer electronics products who legitimately engage in the resale of such Apple and Beats branded products, potentially limiting the incentives to compete effectively on the price of Apple and Beats products, as well as hindering the integration of European markets and limiting parallel trade;</w:t>
      </w:r>
    </w:p>
    <w:p>
      <w:r>
        <w:t>CONSIDERING that the aforementioned restrictions result in the exclusion from the sale of Apple and Beats products on the Amazon.it marketplace of third-party retailers who legitimately engage in such resale activity, both as official retailers and unofficial retailers;</w:t>
      </w:r>
    </w:p>
    <w:p>
      <w:r>
        <w:t>CONSIDERING that, from the elements acquired subsequent to the initiation of the investigation, it seems to emerge an additional anticompetitive behavior, consisting of the restriction of access to ancillary advertising services on certain pages of the Amazon.it marketplace that prevents certain sellers from advertising their competing products to Apple on the pages that show or describe Apple products;</w:t>
      </w:r>
    </w:p>
    <w:p>
      <w:r>
        <w:t>10 BULLETIN NO. 11 OF MARCH 15, 2021</w:t>
      </w:r>
    </w:p>
    <w:p>
      <w:r>
        <w:t>CONSIDERING that such restrictions appear prima facie capable of restricting competition as they limit the possibility for manufacturers and sellers of products competing with Apple and Beats and of products compatible with Apple and Beats devices to acquire customers through access to advertising auctions for certain pages of the Amazon.it marketplace that show or describe Apple products;</w:t>
      </w:r>
    </w:p>
    <w:p>
      <w:r>
        <w:t>CONSIDERING that such conduct appears likely to constitute a violation of Article 101 of the TFEU;</w:t>
      </w:r>
    </w:p>
    <w:p>
      <w:r>
        <w:t>CONSIDERING that the aforementioned restrictions result in the exclusion from the sale of Apple and Beats products on the Amazon.it marketplace of third-party retailers who legitimately engage in such resale activity, both as official retailers and unofficial retailers, and that it is necessary to objectively extend the investigation to the contractual agreements concerning the restrictions on the use of ancillary advertising services on certain pages of the Amazon.it marketplace;</w:t>
      </w:r>
    </w:p>
    <w:p>
      <w:r>
        <w:t>RESOLVES</w:t>
      </w:r>
    </w:p>
    <w:p>
      <w:r>
        <w:t>a) to objectively extend the present procedure, in addition to the restrictions on access to the Amazon.it marketplace by official and unofficial retailers of Apple and Beats products, also to the contractual provisions between Apple Inc., and its subsidiaries, and Amazon.com Inc, and its subsidiaries, concerning the restriction on the use, by third-party retailers or manufacturers, of advertising services on certain pages of the Amazon.it marketplace;</w:t>
      </w:r>
    </w:p>
    <w:p>
      <w:r>
        <w:t>b) that the person responsible for the procedure is Dr. Luigi Di Gaetano;</w:t>
      </w:r>
    </w:p>
    <w:p>
      <w:r>
        <w:t>c) to set a deadline of thirty days, starting from the date of notification of this measure, for the exercise, by the legal representatives of the Party, or by persons delegated by them, of the right to be heard, specifying that the request for a hearing must be received by the Communications Directorate of the Directorate General for Competition of this Authority at least seven days before the expiration of the aforementioned deadline;</w:t>
      </w:r>
    </w:p>
    <w:p>
      <w:r>
        <w:t>d) that the documents of the procedure may be viewed by the companies against whom the investigation is being conducted, or by persons delegated by them, at the Communications Directorate of the Directorate General for Competition of this Authority.</w:t>
      </w:r>
    </w:p>
    <w:p>
      <w:r>
        <w:t>The present measure will be notified to the interested parties and published in the Bulletin of the Competition and Market Authority.</w:t>
      </w:r>
    </w:p>
    <w:p>
      <w:r>
        <w:t>THE SECRETARY GENERAL for THE PRESIDENT</w:t>
      </w:r>
    </w:p>
    <w:p>
      <w:r>
        <w:t>Filippo Arena the Member</w:t>
      </w:r>
    </w:p>
    <w:p>
      <w:r>
        <w:t>Michele Ainis</w:t>
      </w:r>
    </w:p>
    <w:p>
      <w:r>
        <w:t>BULLETIN NO. 11 OF MARCH 15, 2021 11</w:t>
      </w:r>
    </w:p>
    <w:p>
      <w:r>
        <w:t>CONCENTRATION OPERATIONS</w:t>
      </w:r>
    </w:p>
    <w:p>
      <w:r>
        <w:t>C12328 - COOP LOMBARDIA/COOP VICINATO LOMBARDIA</w:t>
      </w:r>
    </w:p>
    <w:p>
      <w:r>
        <w:t>Measure No. 28588</w:t>
      </w:r>
    </w:p>
    <w:p>
      <w:r>
        <w:t>THE COMPETITION AND MARKET AUTHORITY</w:t>
      </w:r>
    </w:p>
    <w:p>
      <w:r>
        <w:t>IN ITS MEETING of February 23, 2021;</w:t>
      </w:r>
    </w:p>
    <w:p>
      <w:r>
        <w:t>HEARD the Rapporteur Professor Michele Ainis;</w:t>
      </w:r>
    </w:p>
    <w:p>
      <w:r>
        <w:t>HAVING REGARD to the law of October 10, 1990, No. 287;</w:t>
      </w:r>
    </w:p>
    <w:p>
      <w:r>
        <w:t>HAVING REGARD to the Presidential Decree of April 30, 1998, No. 217;</w:t>
      </w:r>
    </w:p>
    <w:p>
      <w:r>
        <w:t>HAVING REGARD to the communication made by the company Coop Lombardia s.c., received on October 16, 2020;</w:t>
      </w:r>
    </w:p>
    <w:p>
      <w:r>
        <w:t>HAVING REGARD to its request for information, sent on November 16, 2020, with consequent interruption of the terms pursuant to Article 5, paragraph 3, of the Presidential Decree of April 30, 1998, No. 217;</w:t>
      </w:r>
    </w:p>
    <w:p>
      <w:r>
        <w:t>HAVING REGARD to the additional information sent by the company Coop Lombardia S.c., received on February 9, 2021;</w:t>
      </w:r>
    </w:p>
    <w:p>
      <w:r>
        <w:t>CONSIDERING the following:</w:t>
      </w:r>
    </w:p>
    <w:p>
      <w:r>
        <w:t>I. THE PARTIES</w:t>
      </w:r>
    </w:p>
    <w:p>
      <w:r>
        <w:t>1. Coop Lombardia s.c. (hereinafter Coop Lombardia or CL) is one of the 9 large cooperatives belonging to the Coopitalia S.c. a r.l. consortium. It also belongs to the North West District, which represents the second level of organization of the Coop system, holding 30% of the share capital of the Coop Consorzio Nord Ovest s.c.r.l. CL operates in the GDO sector through a network of sales points located in Lombardy, consisting of hypermarkets and supermarkets. The cooperative is also present in other sectors, directly or through its subsidiaries, including: fuel distribution, where it operates under the Enercoop brand, and the DIY sector, in which it is present through the subsidiary Brico, active with a network of direct and franchised sales points distributed throughout the national territory. The consolidated revenue of the Coop Lombardia group in 2019 was approximately 1.1 billion euros, of which approximately 856 million attributable to the sales in Italy of the parent company.</w:t>
      </w:r>
    </w:p>
    <w:p>
      <w:r>
        <w:t>2. Coop Vicinato Lombardia (hereinafter also CVL) is a medium cooperative of the Coop system, also belonging to the North West District, which operates with 33 small to medium-sized GDO sales points located in Lombardy, whose total revenue in 2019 was approximately 77 million euros.</w:t>
      </w:r>
    </w:p>
    <w:p>
      <w:r>
        <w:t>II. DESCRIPTION OF THE TRANSACTION</w:t>
      </w:r>
    </w:p>
    <w:p>
      <w:r>
        <w:t>3. The notified transaction consists of the merger by incorporation of the company CVL into Coop Lombardia. As a result of the merger, the shares of CVL will be canceled, and its members will be assigned shares of corresponding nominal value in the incorporating company.</w:t>
      </w:r>
    </w:p>
    <w:p>
      <w:r>
        <w:rPr>
          <w:b/>
        </w:rPr>
        <w:t>[Pages 10–12]</w:t>
      </w:r>
    </w:p>
    <w:p>
      <w:r>
        <w:t>12 BULLETIN NO. 11 OF MARCH 15, 2021</w:t>
      </w:r>
    </w:p>
    <w:p>
      <w:r>
        <w:t>4. According to what has been specified by the Parties and highlighted in the preamble of the Merger Project, the transaction has been deemed necessary "to better articulate the social and commercial presence of the consumer cooperatives adhering to Coopitalia scarl and, therefore, users of the Coop brand, in the Lombardy region," as well as "to better qualify and coordinate the social activities of cooperation in the affected Lombard provinces."</w:t>
      </w:r>
    </w:p>
    <w:p>
      <w:r>
        <w:t>III. QUALIFICATION OF THE TRANSACTION</w:t>
      </w:r>
    </w:p>
    <w:p>
      <w:r>
        <w:t>5. The notified transaction, as it involves the merger of two companies, constitutes a concentration pursuant to Article 5, paragraph 1, letter a), of Law No. 287/90. It is subject to the obligation of prior notification provided for by Article 16, paragraph 1, of Law No. 287/90 (as amended by Article 1, paragraph 177, of Law August 4, 2017, No. 124, in force since August 29, 2017), as the total turnover achieved in the last financial year at the national level by the group of companies involved exceeded 504 million euros and as the total turnover achieved individually at the national level by at least two of the companies involved exceeded 31 million euros.</w:t>
      </w:r>
    </w:p>
    <w:p>
      <w:r>
        <w:t>IV. EVALUATION OF THE TRANSACTION</w:t>
      </w:r>
    </w:p>
    <w:p>
      <w:r>
        <w:t>IV.1 The Coop system and the pre-existing collaboration between the Parties</w:t>
      </w:r>
    </w:p>
    <w:p>
      <w:r>
        <w:t>6. As also illustrated in the Management Report contained in the 2019 Financial Statements of Coop Lombardia, "Coop is a reality made up of a group of cooperatives, consortia, and entities that unite their areas of activity to create a common system." The action of the cooperatives at the national level is supported by various organizations that complete and support the system, addressing its commercial, structural, and social needs.</w:t>
      </w:r>
    </w:p>
    <w:p>
      <w:r>
        <w:t>7. In particular, the Coop system is substantially organized on three territorial and organizational levels: i) a national level, represented by ANCC Coop (National Association of Consumer Cooperatives) - which represents the cooperatives adhering to the Coop system before institutions and entities and whose membership grants the individual cooperatives the right to use the Coop signs - and by the Coop Italia Consortium, an organization that acts as a purchasing center, defines the branded products of the chain, and develops unified marketing and communication policies and strategies for all cooperatives that adhere to the system in order to strengthen its unified commercial image; ii) an interregional level, represented by the 3 territorial districts into which the national territory is divided (North West, Adriatic, and Tyrrhenian), within which three area consortia operate: Coop Consorzio Nord Ovest, Centrale Adriatica, and Centrale Acquisti Distretto Tirrenico. These consortia are entrusted with the centralized management of logistical, commercial, informational, and goods administration services for the members; iii) the individual consumer cooperatives, which represent legally independent entities, consisting of: 9 large cooperatives, 12 medium cooperatives, and 88 smaller cooperatives, all adhering to the cooperative consortium Coop Italia, to ANCC-Coop, and to one of the three Districts.</w:t>
      </w:r>
    </w:p>
    <w:p>
      <w:r>
        <w:t>8. CL and CVL adhere to both national consortia and the North West District: in particular, the Coop Consorzio Nord Ovest Soc. cons. a r.l., operational structure of the eponymous district, is jointly owned with equal shares of 30% by the 3 large cooperatives of the district itself (Coop Lombardia, Coop Liguria, and Nova Coop) and with shares of 8.5% and 1.5% respectively from Coop Vicinato Lombardia and Coop Como Consumo.</w:t>
      </w:r>
    </w:p>
    <w:p>
      <w:r>
        <w:t>9. In addition to the connections arising from their common membership in the Coop system, the two companies involved in the transaction have developed a rather intense collaborative relationship in recent years in the territory, also concerning the organization of their respective sales networks. In the 2019 financial report of CVL, in fact, the merger project is indicated as "the logical completion of the path undertaken by our cooperative in recent years, characterized by constant collaboration and synergistic activity with Coop Lombardia."</w:t>
      </w:r>
    </w:p>
    <w:p>
      <w:r>
        <w:t>IV.2 The relevant markets</w:t>
      </w:r>
    </w:p>
    <w:p>
      <w:r>
        <w:t>10. This transaction concerns the markets for the retail sale of food and non-food consumer goods through points of sale of the Large Organized Distribution (GDO). This sector is usually divided into: Large Distribution (GD), which includes large distribution chains organized in the form of a company or group of companies, and Organized Distribution (DO), which includes chains (including Coop itself) made up of entities that, while being legally distinct, operate in the market under the same signs and/or identifying features, by virtue of their common adherence to associative formulas such as consortia, voluntary unions, service companies, consumer cooperatives, or retailers, etc.</w:t>
      </w:r>
    </w:p>
    <w:p>
      <w:r>
        <w:t>11. In the GDO sector, multiple operators operate at the national level, with varied dimensions, characteristics, and organizational formulas. According to the established practice of the Authority, the following types of points of sale are particularly distinguished, differentiated based on a series of characteristics (size, positioning, range of products offered, presence of fresh counters, etc.) that contribute to determining their quality and level of services offered: hypermarkets, supermarkets, convenience stores, and discount stores.</w:t>
      </w:r>
    </w:p>
    <w:p>
      <w:r>
        <w:t>12. As a result of the most recent in-depth investigations carried out in the context of proceedings for the evaluation of concentration transactions in the GDO sector, the Authority has updated the definition of the relevant product markets for hypermarkets, supermarkets, and convenience stores, identifying them as follows: i) the supermarket market (points of sale with a size between 400 and 2,499 square meters), composed of all supermarkets, convenience stores, hypermarkets, and discount stores, or all points of sale with a surface area starting from 100 square meters; ii) the hypermarket market (points of sale with a size equal to or greater than 2,500 square meters), composed, in addition to the hypermarkets themselves, of all supermarkets and discount stores, or all points of sale with a surface area starting from 400 square meters; iii) the convenience store market (points of sale with a size between 100 and 399 square meters), composed of convenience stores, supermarkets, and discount stores, or points of sale with a surface area between 100 and 2,499 square meters.</w:t>
      </w:r>
    </w:p>
    <w:p>
      <w:r>
        <w:t>13. In light of the above, the relevant markets affected by this transaction are: the supermarket market, for the 14 points of sale of CVL that have sizes between 400 and 2,499 square meters, and the convenience store market, for the 19 points of sale with a size between 100 and 399 square meters.</w:t>
      </w:r>
    </w:p>
    <w:p>
      <w:r>
        <w:t>14. From a geographical perspective, the GDO markets have a local dimension, considering the purchasing behaviors of consumers and the importance they attribute to the proximity of points of sale. In the recent investigations conducted for the evaluation of concentration transactions in the GDO sector, the geographical extent of the relevant markets has been identified as follows: for supermarkets, the area defined by 15-minute driving isochrones built around the points of sale involved; for convenience stores, the area defined by 10-minute driving isochrones built around the convenience stores involved.</w:t>
      </w:r>
    </w:p>
    <w:p>
      <w:r>
        <w:t>IV.3 The effects of the transaction</w:t>
      </w:r>
    </w:p>
    <w:p>
      <w:r>
        <w:t>15. The shares of the Parties in the isochrones affected by the transaction where overlaps occur are reported in Table No. 1. It can be noted that, in most cases, the post-merger share of the new operator is well below 25%, compared to a higher share of the first operator, represented by Esselunga. Only in isochrone No. 5, built around the supermarket of the merging company located in Bussero (MI), would the concentration lead to a post-merger share exceeding 25% and equal to [25-30%] *. However, in the same market, other operators are also present with significant shares, including Finiper ([20-25%]), Lidl ([15-20%]), and Eurospin ([15-20%]). It is therefore believed that even in this isochrone the effect of the transaction is not particularly significant.</w:t>
      </w:r>
    </w:p>
    <w:p>
      <w:r>
        <w:rPr>
          <w:b/>
        </w:rPr>
        <w:t>[Pages 13–15]</w:t>
      </w:r>
    </w:p>
    <w:p>
      <w:r>
        <w:t>BULLETIN NO. 11 OF MARCH 15, 2021 15</w:t>
      </w:r>
    </w:p>
    <w:p>
      <w:r>
        <w:t>Tab. 1 – Market Shares of the Parties*</w:t>
      </w:r>
    </w:p>
    <w:p>
      <w:r>
        <w:t>Supermarket Markets</w:t>
      </w:r>
    </w:p>
    <w:p>
      <w:r>
        <w:t>Isocrona CL CVL TOT Qdm 1st conc Name 1st conc.</w:t>
        <w:br/>
        <w:t>2 [10-15]% [1-5]% [10-15]% [40-45]% Esselunga</w:t>
        <w:br/>
        <w:t>6 [10-15]% [1-5]% [15-20]% [15-20]% Esselunga</w:t>
      </w:r>
    </w:p>
    <w:p>
      <w:r>
        <w:t>Supermarket Markets</w:t>
      </w:r>
    </w:p>
    <w:p>
      <w:r>
        <w:t>Isocrona CL CVL TOT Qdm 1st conc Name 1st conc.</w:t>
        <w:br/>
        <w:t>2 [1-5]% [1-5]% [5-10]% [40-45]% Esselunga</w:t>
        <w:br/>
        <w:t>4 [10-15]% [1-5]% [10-15]% [30-35]% Esselunga</w:t>
        <w:br/>
        <w:t>5 [15-20]% [10-15]% [25-30]% [20-25]% Finiper</w:t>
        <w:br/>
        <w:t>9 [5-10]% [&lt;1]% [5-10]% [35-40]% Esselunga</w:t>
        <w:br/>
        <w:t>10 [10-15]% [1-5]% [10-15]% [15-20]% Esselunga</w:t>
        <w:br/>
        <w:t>13 [15-20]% [&lt;1]% [15-20]% [50-55]% Esselunga</w:t>
        <w:br/>
        <w:t>17 [5-10]% [1-5]% [10-15]% [45-50]% Selex</w:t>
        <w:br/>
        <w:t>18 [1-5]% [1-5]% [5-10]% [35-40]% Finiper</w:t>
      </w:r>
    </w:p>
    <w:p>
      <w:r>
        <w:t xml:space="preserve">*Only the isochrones where the joint share is above 5% are indicated.  </w:t>
        <w:br/>
        <w:t>Source: elaborations based on data provided by the Parties</w:t>
      </w:r>
    </w:p>
    <w:p>
      <w:r>
        <w:t>16. It should also be noted that, as a result of the transaction, the retail outlets of the new operator will continue to be identified by the same signs of the Coop system that currently identify them, which entails a wide sharing of the image and commercial policy. The merger in question, therefore, also by virtue of the previous common membership of the Parties in the Coop system, appears unsuitable to bring about significant changes to the pre-existing competitive structure.</w:t>
      </w:r>
    </w:p>
    <w:p>
      <w:r>
        <w:t>17. In conclusion, it is not considered that the transaction is likely to produce effects of restriction of competition in the affected markets.</w:t>
      </w:r>
    </w:p>
    <w:p>
      <w:r>
        <w:t>IT IS THEREFORE CONSIDERED that the transaction in question does not result, pursuant to Article 6, paragraph 1, of Law No. 287/90, in the establishment or strengthening of a dominant position in the affected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16 BULLETIN NO. 11 OF MARCH 15, 2021</w:t>
      </w:r>
    </w:p>
    <w:p>
      <w:r>
        <w:t>This measure will be published in the Bulletin of the Competition and Market Authority.</w:t>
      </w:r>
    </w:p>
    <w:p>
      <w:r>
        <w:t xml:space="preserve">THE SECRETARY GENERAL for THE PRESIDENT  </w:t>
        <w:br/>
        <w:t xml:space="preserve">Filippo Arena the Member  </w:t>
        <w:br/>
        <w:t>Michele Ainis</w:t>
      </w:r>
    </w:p>
    <w:p>
      <w:r>
        <w:t>BULLETIN NO. 11 OF MARCH 15, 2021 17</w:t>
      </w:r>
    </w:p>
    <w:p>
      <w:r>
        <w:t>C12348 - INTESA SANPAOLO/AVIVA VITA</w:t>
      </w:r>
    </w:p>
    <w:p>
      <w:r>
        <w:t>Measure No. 28589</w:t>
      </w:r>
    </w:p>
    <w:p>
      <w:r>
        <w:t>THE COMPETITION AND MARKET AUTHORITY</w:t>
      </w:r>
    </w:p>
    <w:p>
      <w:r>
        <w:t>IN ITS MEETING of February 23, 2021;</w:t>
      </w:r>
    </w:p>
    <w:p>
      <w:r>
        <w:t>HEARD the Rapporteur Dr. Gabriella Muscolo;</w:t>
      </w:r>
    </w:p>
    <w:p>
      <w:r>
        <w:t>HAVING REGARD to the law of October 10, 1990, No. 287;</w:t>
      </w:r>
    </w:p>
    <w:p>
      <w:r>
        <w:t>HAVING REGARD to the Presidential Decree of April 30, 1998, No. 217;</w:t>
      </w:r>
    </w:p>
    <w:p>
      <w:r>
        <w:t>HAVING REGARD to the communication from the company Intesa Sanpaolo S.p.A. dated December 31, 2020, supplemented on January 7, 2021;</w:t>
      </w:r>
    </w:p>
    <w:p>
      <w:r>
        <w:t>HAVING REGARD to the opinion of IVASS, received on February 10, 2021, following the request pursuant to Article 20, paragraph 4, of Law No. 287/90;</w:t>
      </w:r>
    </w:p>
    <w:p>
      <w:r>
        <w:t>HAVING REGARD to the documentation on file;</w:t>
      </w:r>
    </w:p>
    <w:p>
      <w:r>
        <w:t>CONSIDERING the following:</w:t>
      </w:r>
    </w:p>
    <w:p>
      <w:r>
        <w:t>I. THE PARTIES</w:t>
      </w:r>
    </w:p>
    <w:p>
      <w:r>
        <w:t>1. Intesa Sanpaolo S.p.A. is a company listed on the Milan Stock Exchange, at the head of the eponymous banking group active in the provision of banking, financial, and insurance services and products. In particular, the Intesa Sanpaolo Group (hereinafter referred to, together with the parent company, also as “ISP” or “ISP Group”) primarily operates in the traditional banking sector (savings collection and loans), in the distribution of insurance products (life and non-life), in investment banking, in the asset management sector (through mutual funds, management of individual assets, and complementary pension products), in the market of administered savings, in consumer credit, in factoring, in leasing, and in payment services. ISP is present in all Italian regions and provinces with approximately 3,800 branches.</w:t>
      </w:r>
    </w:p>
    <w:p>
      <w:r>
        <w:t>Its share capital is distributed among numerous entities, and only three of them hold a share of the capital exceeding 3%, namely, Compagnia di Sanpaolo, which holds approximately 6.12% of the share capital, BlackRock Inc., which holds approximately 5%, and Fondazione Cariplo, which holds approximately 3.95%. The revenue generated by ISP in 2019, calculated pursuant to Article 16, paragraph 2, of Law No. 287/90, was approximately [80-90]* billion euros, of which approximately [80-90] billion was generated in the European Union and [60-70] billion was generated in Italy.</w:t>
      </w:r>
    </w:p>
    <w:p>
      <w:r>
        <w:t>2. Aviva Vita S.p.A. (hereinafter also “Aviva” or target) is a company active in the insurance sector, particularly in the production of life insurance products of classes I, III, IV, V, and VI. The share capital of Aviva is held 79.5% by Aviva Italia Holding S.p.A., which also holds exclusive control of the target, 0.5% by Aviva Italia S.p.A., and 20% by UBI Banca S.p.A. (which is in turn controlled by ISP).</w:t>
      </w:r>
    </w:p>
    <w:p>
      <w:r>
        <w:t>* In this version, some data are omitted, as elements of confidentiality or secrecy of the information were deemed to exist.</w:t>
      </w:r>
    </w:p>
    <w:p>
      <w:r>
        <w:rPr>
          <w:b/>
        </w:rPr>
        <w:t>[Pages 16–18]</w:t>
      </w:r>
    </w:p>
    <w:p>
      <w:r>
        <w:t>18 BULLETIN NO. 11 OF MARCH 15, 2021</w:t>
      </w:r>
    </w:p>
    <w:p>
      <w:r>
        <w:t>In 2019, Aviva generated a revenue, calculated pursuant to Article 16, paragraph 2, of Law No. 287/90 (referring to the premiums collected), amounting to approximately [2-3] billion euros, entirely realized in Italy.</w:t>
      </w:r>
    </w:p>
    <w:p>
      <w:r>
        <w:t>II. DESCRIPTION OF THE TRANSACTION</w:t>
      </w:r>
    </w:p>
    <w:p>
      <w:r>
        <w:t>3. The transaction consists of the acquisition by ISP, through UBI Banca S.p.A. (hereinafter also "UBI"), of exclusive control of Aviva. Specifically, UBI has entered into a framework agreement with Aviva, Aviva Italia Holding S.p.A., and Aviva Italia S.p.A. through which it has exercised a purchase option for the shares of the target held by Aviva Italia Holding S.p.A. and Aviva Italia S.p.A.; furthermore, subject to the completion of the transaction, it was stipulated that: i) the consensual termination of the framework agreement governing the joint participation of Aviva Italia Holding S.p.A., Aviva Italia S.p.A., and UBI in the share capital of the target and the exclusive distribution of various types of life insurance products of Aviva through the distribution network of UBI and IW Bank; and ii) the future cessation of the effects of the life insurance brokerage agreement signed by UBI and Aviva and the shareholders' agreement signed by the shareholders of Aviva that governs its governance. As a result of the transaction, UBI will acquire the remaining 80% of the capital of Aviva, thus holding the entire share capital.</w:t>
      </w:r>
    </w:p>
    <w:p>
      <w:r>
        <w:t>4. The Parties have also represented that prior to the completion of the transaction, Aviva will enter into a binding agreement to transfer to Aviva Life S.p.A. a business unit consisting of the business, agreements, and collective insurance policies of Branch IV (hereinafter also "Aviva Life Branch"). In this regard, ISP represents that considering the binding nature of this agreement and that it will be executed within a short timeframe, [omitted], it will not acquire lasting control over the assets included in the Aviva Life Branch.</w:t>
      </w:r>
    </w:p>
    <w:p>
      <w:r>
        <w:t>5. In light of all the above, ISP, through UBI, will exercise exclusive control over the target.</w:t>
      </w:r>
    </w:p>
    <w:p>
      <w:r>
        <w:t>III. QUALIFICATION OF THE TRANSACTION</w:t>
      </w:r>
    </w:p>
    <w:p>
      <w:r>
        <w:t>6. The notified transaction,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amended by Article 1, paragraph 177, of Law No. 124 of August 4, 2017, in force since August 29, 2017), since the total revenue, calculated pursuant to Article 16, paragraph 2, of Law No. 287/90, generated in the last financial year at the national level by the group of companies involved was over 504 million euros, and the revenue generated individually, at the national level, by at least two of them exceeds 31 million euros.</w:t>
      </w:r>
    </w:p>
    <w:p>
      <w:r>
        <w:t>7. Regarding the agreement between ISP and Aviva Life S.p.A., although it is legally binding, significant uncertainties remain regarding its actual execution as well as the circumstance that it will take place within a short timeframe, shortly after the acquisition of Aviva Vita. Therefore, based on what is provided in the consolidated Communication of the European Commission, the assessment of the transaction has been conducted including in the scope of the acquisition also the Aviva Life Branch as defined above.</w:t>
      </w:r>
    </w:p>
    <w:p>
      <w:r>
        <w:t>IV. THE OPINION OF IVASS</w:t>
      </w:r>
    </w:p>
    <w:p>
      <w:r>
        <w:t>8. In an opinion received on February 10, 2021, IVASS did not highlight in the transaction the existence of elements capable of altering the competitive balance in the relevant markets.</w:t>
      </w:r>
    </w:p>
    <w:p>
      <w:r>
        <w:t>V. ASSESSMENT</w:t>
      </w:r>
    </w:p>
    <w:p>
      <w:r>
        <w:t>9. Before proceeding with the analysis of the relevant markets, it seems appropriate to emphasize how the impact of the transaction in terms of the establishment and/or strengthening of a dominant position and the analysis of competitive impact will also be evaluated with reference to ISP's acquisition of the company Lombarda Vita S.p.A. (hereinafter also 'Lombarda Vita'), notified to the Authority on December 31, 2020, pursuant to Article 16 of Law No. 287/90.</w:t>
      </w:r>
    </w:p>
    <w:p>
      <w:r>
        <w:t>10. The transaction concerns the insurance sector markets and involves the acquisition by ISP, through UBI, of control of Aviva. Specifically, Aviva is active in the production of life insurance policies of branches I, III, IV, V, and VI; regarding distribution, the company already distributes its policies through the purchasing company's network – specifically the network of UBI and IW Bank – and does not have distribution contracts with third-party banks. As for the production phase of life branches, ISP operates through its subsidiaries, namely Intesa Sanpaolo Vita S.p.A., Fideuram Vita S.p.A., and BancAssurance Popolari S.p.A., in branches I, III, V, and VI; as a result of the acquisition of Lombarda Vita, ISP will also be active, albeit marginally, in branch IV.</w:t>
      </w:r>
    </w:p>
    <w:p>
      <w:r>
        <w:t>11. With reference to the insurance markets, according to the established orientation of the Authority, each branch of the life and non-life insurance sectors represents a distinct market. This distinction regarding the individual insurance branches is primarily based on the object of the service provided, the risks assumed, and the insurance coverage objective expressed by the demand of each individual branch. Furthermore, the individual life and non-life insurance markets are distinguished between the production phase, which has a national geographical dimension, and the distribution phase, which is characterized by its local dimension, primarily at the provincial level, as per the established practice of the Authority.</w:t>
      </w:r>
    </w:p>
    <w:p>
      <w:r>
        <w:t>12. Therefore, considering the operational scope of the Parties, this transaction concerns the distinct markets for the production of life insurance products of branches I, III, IV, V, and VI. Specifically, the post-merger entity, as indicated in Table 1 below, will hold in branch I (human life) a share of approximately [15-20%]; in branch III (investment funds) a share of approximately [20-25%]; in branch IV (sickness) a share of approximately [10-15%]; in branch V (capitalization operations) a share of approximately [10-15%]; and in branch VI (pension funds) a share of approximately [25-30%]. It is noted that Aviva's contribution in each of these branches is always below [5%], except for branch V, where it is slightly above; Lombarda Vita's contribution, active in branches I, III, IV, and V, is always below approximately [5%] (market data provided by the Parties).</w:t>
      </w:r>
    </w:p>
    <w:p>
      <w:r>
        <w:t>Table 1: market shares (values in percentage).</w:t>
      </w:r>
    </w:p>
    <w:p>
      <w:r>
        <w:t>| ISP       | Aviva     | Lombarda | post-merger |</w:t>
        <w:br/>
        <w:t>|-----------|-----------|----------|-------------|</w:t>
        <w:br/>
        <w:t>| Branch I  | [10-15]   | [1-5]    | [15-20]     |</w:t>
        <w:br/>
        <w:t>| Branch III | [15-20]  | [1-5]    | [20-25]     |</w:t>
        <w:br/>
        <w:t>| Branch IV | —         | [10-15]  | [10-15]     |</w:t>
        <w:br/>
        <w:t>| Branch V  | [1-5]     | [5-10]   | [10-15]     |</w:t>
        <w:br/>
        <w:t>| Branch VI | [20-25]   | —        | [25-30]     |</w:t>
      </w:r>
    </w:p>
    <w:p>
      <w:r>
        <w:t>Source: data provided by the Parties.</w:t>
      </w:r>
    </w:p>
    <w:p>
      <w:r>
        <w:t>13. Finally, the transaction does not appear to produce significant vertical competitive effects in any of the relevant markets that would eliminate or substantially and durably reduce competition, considering the low joint share at the production level, as well as the distribution capacity of life insurance products by the ISP Group, which has been recently assessed by the Authority in the proceeding C12287-Intesa Sanpaolo/UBI-Unione di Banche Italiane, thus excluding the occurrence of harmful overlaps for competition. It should also be noted that in all markets there are numerous and qualified competing operators, such as Generali, Unipol Insurance Group, Poste Vita Insurance Group, and Allianz Insurance Group.</w:t>
      </w:r>
    </w:p>
    <w:p>
      <w:r>
        <w:t>14. In light of the above considerations, it is believed that the transaction is not likely to cause significant alterations in the competitive structure of the relevant markets.</w:t>
      </w:r>
    </w:p>
    <w:p>
      <w:r>
        <w:t>THEREFORE, IT IS CONSIDERED that the transaction under examination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w:t>
      </w:r>
    </w:p>
    <w:p>
      <w:r>
        <w:rPr>
          <w:b/>
        </w:rPr>
        <w:t>[Pages 19–21]</w:t>
      </w:r>
    </w:p>
    <w:p>
      <w:r>
        <w:t>BULLETIN NO. 11 OF MARCH 15, 2021 21</w:t>
      </w:r>
    </w:p>
    <w:p>
      <w:r>
        <w:t>This measure will be published in the Bulletin of the Competition and Market Authority.</w:t>
      </w:r>
    </w:p>
    <w:p>
      <w:r>
        <w:t>THE SECRETARY GENERAL for THE PRESIDENT</w:t>
        <w:br/>
        <w:t>Filippo Arena the Member</w:t>
        <w:br/>
        <w:t>Michele Ainis</w:t>
      </w:r>
    </w:p>
    <w:p>
      <w:r>
        <w:t>22 BULLETIN NO. 11 OF MARCH 15, 2021</w:t>
      </w:r>
    </w:p>
    <w:p>
      <w:r>
        <w:t>C12349 - INTESA SANPAOLO/LOMBARDA VITA</w:t>
      </w:r>
    </w:p>
    <w:p>
      <w:r>
        <w:t>Measure No. 28590</w:t>
      </w:r>
    </w:p>
    <w:p>
      <w:r>
        <w:t>THE COMPETITION AND MARKET AUTHORITY</w:t>
      </w:r>
    </w:p>
    <w:p>
      <w:r>
        <w:t>IN ITS MEETING of February 23, 2021;</w:t>
      </w:r>
    </w:p>
    <w:p>
      <w:r>
        <w:t>HEARD the Rapporteur Dr. Gabriella Muscolo;</w:t>
      </w:r>
    </w:p>
    <w:p>
      <w:r>
        <w:t>HAVING REGARD to the law of October 10, 1990, No. 287;</w:t>
      </w:r>
    </w:p>
    <w:p>
      <w:r>
        <w:t>HAVING REGARD to the Presidential Decree of April 30, 1998, No. 217;</w:t>
      </w:r>
    </w:p>
    <w:p>
      <w:r>
        <w:t>HAVING REGARD to the communication from the company Intesa Sanpaolo S.p.A. dated December 31, 2020;</w:t>
      </w:r>
    </w:p>
    <w:p>
      <w:r>
        <w:t>HAVING REGARD to the opinion of IVASS, received on February 10, 2021, following the request pursuant to Article 20, paragraph 4, of law No. 287/90;</w:t>
      </w:r>
    </w:p>
    <w:p>
      <w:r>
        <w:t>HAVING REGARD to the documentation on file;</w:t>
      </w:r>
    </w:p>
    <w:p>
      <w:r>
        <w:t>CONSIDERING the following:</w:t>
      </w:r>
    </w:p>
    <w:p>
      <w:r>
        <w:t>I. THE PARTIES</w:t>
      </w:r>
    </w:p>
    <w:p>
      <w:r>
        <w:t>1. Intesa Sanpaolo S.p.A. is a company listed on the Milan Stock Exchange, at the head of the eponymous banking group active in the provision of banking, financial, and insurance services and products. In particular, the Intesa Sanpaolo Group (hereinafter referred to, together with the parent company, also as "ISP" or "ISP Group") primarily operates in the traditional banking sector (savings collection and loans), in the distribution of insurance products (life and non-life), in investment banking, in the asset management sector (through mutual funds, individual asset management, and complementary pension products), in the managed savings market, in consumer credit, in factoring, in leasing, and in payment services. ISP is present in all Italian Regions and Provinces with approximately 3,800 branches. Its share capital is distributed among numerous entities, with only three of them holding a stake in the capital exceeding 3%, namely, Compagnia di Sanpaolo, which holds approximately 6.12% of the share capital, BlackRock Inc., which holds approximately 5%, and Fondazione Cariplo, which holds approximately 3.95%. The revenue generated by ISP in 2019, calculated pursuant to Article 16, paragraph 2, of law No. 287/90, was approximately [80-90]* billion euros, of which approximately [80-90] billion was generated in the European Union and [60-70] billion was generated in Italy.</w:t>
      </w:r>
    </w:p>
    <w:p>
      <w:r>
        <w:t>2. Lombarda Vita S.p.A. (hereinafter also "Lombarda" or target) is a company active in the insurance sector, particularly in the production of life insurance products of classes I, III, IV, and V. The share capital of Lombarda is held 60% by Società Cattolica di Assicurazione Soc. Coop. (hereinafter also "Cattolica") and 40% by UBI Banca S.p.A. (hereinafter also "UBI"), which is in turn controlled by ISP. The revenue generated in Italy by Lombarda in 2019, calculated pursuant to Article 16, paragraph 2, of law No. 287/90 (referring to premiums collected), amounts to approximately [1-2] billion euros. * In this version, some data are omitted, as there were deemed to be elements of confidentiality or secrecy of the information.</w:t>
      </w:r>
    </w:p>
    <w:p>
      <w:r>
        <w:t>BULLETIN NO. 11 OF MARCH 15, 2021 23</w:t>
      </w:r>
    </w:p>
    <w:p>
      <w:r>
        <w:t>II. DESCRIPTION OF THE TRANSACTION</w:t>
      </w:r>
    </w:p>
    <w:p>
      <w:r>
        <w:t>3. The transaction consists of the acquisition by ISP, through UBI, of exclusive control of Lombarda. Specifically, UBI has entered into a framework agreement with Cattolica and Lombarda, through which it has exercised a purchase option for the shares of the target held by Cattolica. Furthermore, with this framework agreement, it was stipulated that, subject to the completion of the transaction, the following will occur: i) the consensual termination of the framework agreement and the shareholders' agreement that governed the participation of Cattolica and UBI in the share capital of the target and its governance; ii) the termination of the agreement between Cattolica, Lombarda, and UBI, relating to the distribution of life insurance products through the UBI network; iii) the termination of the agreement between UBI and Cattolica concerning the distribution of products from the open pension fund "Fondo Pensione Aperto Risparmio &amp; Previdenza" through the UBI network. As a result of the transaction, UBI will acquire the remaining 60% of Lombarda's capital, thus holding it entirely.</w:t>
      </w:r>
    </w:p>
    <w:p>
      <w:r>
        <w:t>4. In light of all the above, ISP, through UBI, will exercise exclusive control over the target company.</w:t>
      </w:r>
    </w:p>
    <w:p>
      <w:r>
        <w:t>III. QUALIFICATION OF THE TRANSACTION</w:t>
      </w:r>
    </w:p>
    <w:p>
      <w:r>
        <w:t>5. The notified transaction,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amended by Article 1, paragraph 177, of law No. 124 of August 4, 2017, in force since August 29, 2017), as the total revenue, calculated pursuant to Article 16, paragraph 2, of law No. 287/90, generated in the last financial year at the national level by the group of companies involved exceeded 504 million euros, and the revenue generated individually, at the national level, by at least two of them exceeds 31 million euros.</w:t>
      </w:r>
    </w:p>
    <w:p>
      <w:r>
        <w:t>IV. THE OPINION OF IVASS</w:t>
      </w:r>
    </w:p>
    <w:p>
      <w:r>
        <w:t>6. In the opinion received on February 10, 2021, IVASS did not highlight the existence of elements in the transaction that could alter the competitive balance in the relevant markets.</w:t>
      </w:r>
    </w:p>
    <w:p>
      <w:r>
        <w:t>V. EVALUATION</w:t>
      </w:r>
    </w:p>
    <w:p>
      <w:r>
        <w:t>7. Before proceeding with the analysis of the relevant markets, it seems appropriate to emphasize how the impact of the transaction in terms of the establishment and/or strengthening of a dominant position and the analysis of the competitive impact will also be evaluated with reference to ISP's acquisition of the company Aviva Vita S.p.A. (hereinafter also "Aviva"), notified to the Authority on December 31, 2020, pursuant to Article 16 of law No. 287/90.</w:t>
      </w:r>
    </w:p>
    <w:p>
      <w:r>
        <w:rPr>
          <w:b/>
        </w:rPr>
        <w:t>[Pages 22–24]</w:t>
      </w:r>
    </w:p>
    <w:p>
      <w:r>
        <w:t>24 BULLETIN NO. 11 OF MARCH 15, 2021</w:t>
      </w:r>
    </w:p>
    <w:p>
      <w:r>
        <w:t>8. The transaction concerns the markets of the insurance sector and involves the acquisition by ISP, through UBI, of control of Lombarda. Specifically, Lombarda is active in the production of life insurance policies of classes I, III, IV, and V; regarding distribution, the company already distributes its policies through the network of the acquiring company – specifically the network of UBI and IW Bank S.p.A. (a company controlled by UBI), which are obliged to exclusively distribute Lombarda's policies in certain geographical areas – and does not have distribution contracts with third-party banks. As for the production phase of life classes, ISP operates through its subsidiaries, namely Intesa Sanpaolo Vita S.p.A., Fideuram Vita S.p.A., and BancAssurance Popolari S.p.A., in classes I, III, and V.</w:t>
      </w:r>
    </w:p>
    <w:p>
      <w:r>
        <w:t>9. With reference to the insurance markets, according to the established orientation of the Authority, each class of the life and non-life insurance sectors represents a distinct market. This distinction regarding the individual insurance classes is based primarily on the object of the service provided, the risks assumed, and the insurance coverage objective expressed by the demand for each individual class. Furthermore, the individual non-life and life insurance markets are distinguished between the production phase, which has a national geographical dimension, and the distribution phase, which is characterized by its local dimension, primarily at the provincial level, as per the established practice of the Authority.</w:t>
      </w:r>
    </w:p>
    <w:p>
      <w:r>
        <w:t>10. Therefore, taking into account the operational scope of the Parties, this transaction concerns the distinct markets for the production of life insurance products of classes I, III, and V. Specifically, the post-merger entity, as indicated in Table 1 below, will hold in class I (human life) a share of approximately [15-20%], in class III (investment funds) a share of approximately [20-25%], and in class V (capitalization operations) a share of approximately [10-15%]. In this regard, it is also noted that Lombarda's contribution for the calculation of the market share that the post-merger entity will hold in each of the aforementioned classes is always below [5%] (market data provided by the Parties). As for the contribution of Aviva – a company active in classes I, III, IV, V, and VI – for the purposes of this calculation, it is noted that it is always below [5%], except in class V, where it is slightly above this percentage threshold (market data provided by the Parties).</w:t>
      </w:r>
    </w:p>
    <w:p>
      <w:r>
        <w:t>Table 1: market shares (values in percentage).</w:t>
      </w:r>
    </w:p>
    <w:p>
      <w:r>
        <w:t>ISP Aviva Lombarda post-merger</w:t>
        <w:br/>
        <w:t>Class I [10-15] [1-5] [1-5] [15-20]</w:t>
        <w:br/>
        <w:t>Class III [15-20] [1-5] [1-5] [20-25]</w:t>
        <w:br/>
        <w:t>Class V [1-5] [5-10] [1-5] [10-15]</w:t>
      </w:r>
    </w:p>
    <w:p>
      <w:r>
        <w:t>Source: data provided by the Parties.</w:t>
      </w:r>
    </w:p>
    <w:p>
      <w:r>
        <w:t>11. Finally, the transaction does not appear to produce significant competitive effects of a vertical nature in any of the affected markets that would eliminate or substantially and durably reduce competition, considering the not high joint share at the production level, as well as the distribution capacity of life insurance products by the ISP Group, which was recently evaluated by the Authority in the proceeding C12287-Intesa Sanpaolo/UBI-Unione of Italian Banks, such as to exclude the occurrence of detrimental overlaps for competition. It should also be noted that in all markets there are numerous and qualified competing operators, such as Generali, Unipol Insurance Group, Poste Vita Insurance Group, and Allianz Insurance Group.</w:t>
      </w:r>
    </w:p>
    <w:p>
      <w:r>
        <w:t>12. In light of the above considerations, it is believed that the transaction is not likely to cause significant alterations in the competitive structure of the affected markets.</w:t>
      </w:r>
    </w:p>
    <w:p>
      <w:r>
        <w:t>IT IS THEREFORE CONSIDERED that the transaction under examination does not result, pursuant to Article 6, paragraph 1, of Law No. 287/90, in the establishment or strengthening of a dominant position in the affected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for THE PRESIDENT</w:t>
        <w:br/>
        <w:t>Filippo Arena the Member</w:t>
        <w:br/>
        <w:t>Michele Ainis</w:t>
      </w:r>
    </w:p>
    <w:p>
      <w:r>
        <w:t>26 BULLETIN NO. 11 OF MARCH 15, 2021</w:t>
      </w:r>
    </w:p>
    <w:p>
      <w:r>
        <w:t>ACTIVITIES OF REPORTING AND CONSULTATION</w:t>
      </w:r>
    </w:p>
    <w:p>
      <w:r>
        <w:t>AS1723 - MUNICIPALITY OF CARRARA (MS) - EXTENSION OF MARITIME STATE CONCESSIONS FOR TOURIST-RECREATIONAL PURPOSES</w:t>
      </w:r>
    </w:p>
    <w:p>
      <w:r>
        <w:t>Rome, December 9, 2020</w:t>
      </w:r>
    </w:p>
    <w:p>
      <w:r>
        <w:t>Municipality of Carrara</w:t>
      </w:r>
    </w:p>
    <w:p>
      <w:r>
        <w:t>The Competition and Market Authority, in its meeting of December 1, 2020, resolved to express its opinion, pursuant to Article 21 bis of Law of October 10, 1990, No. 287, regarding the resolution of the Municipal Council of September 25, 2020, No. 242, concerning "Maritime state concessions. Council act regarding the application of Law No. 145 of December 30, 2018."</w:t>
      </w:r>
    </w:p>
    <w:p>
      <w:r>
        <w:t>In particular, through the aforementioned resolution, the Municipality of Carrara has initiated the procedure for the extension of the duration of concessions of maritime state assets for tourist-recreational purposes in favor of existing concessionaires, based on the provisions of Article 1, paragraphs 682, 683, and 684 of Law No. 145/2018 (which established a new expiration date for maritime state concessions for tourist-recreational purposes on January 1, 20341), as well as Article 182, paragraph 2, of Decree-Law No. 34 of May 19, 2020, as converted by Law No. 77 of July 17, 2020, and Article 100, paragraph 1, of Decree-Law No. 104 of August 14, 2020, as converted by Law No. 126 of October 13, 2020, in so far as they refer to, confirming it, the mechanism for the ex lege extension of maritime state concessions.</w:t>
      </w:r>
    </w:p>
    <w:p>
      <w:r>
        <w:t>In general, the Authority recalls that in matters concerning the assignment of the use of public assets (falling within the state or local authorities' public domain or unavailable assets), the identification of the private contractor must occur through the conduct, by the Public Administration, of public evidence procedures2.</w:t>
      </w:r>
    </w:p>
    <w:p>
      <w:r>
        <w:t>In this regard, it is highlighted that Articles 49 and 56 of the TFEU impose on Member States the abolition of unjustified restrictions on the freedom of establishment and the free provision of services, that is to say</w:t>
      </w:r>
    </w:p>
    <w:p>
      <w:r>
        <w:t>1 It is also worth noting that the Regional Council of Tuscany, with the resolution of May 27, 2019, No. 711, approved the procedural requirements concerning maritime state concessions for tourist-recreational use resulting from the application of state law No. 145/2018.</w:t>
      </w:r>
    </w:p>
    <w:p>
      <w:r>
        <w:t>2 See, among others, Council of State, ruling of September 25, 2009, No. 5765; Council of State, Section VI, ruling of November 18, 2019, No. 7874. In this sense, ANAC also recently expressed itself with the resolution of January 17, 2019, No. 25.</w:t>
      </w:r>
    </w:p>
    <w:p>
      <w:r>
        <w:rPr>
          <w:b/>
        </w:rPr>
        <w:t>[Pages 25–27]</w:t>
      </w:r>
    </w:p>
    <w:p>
      <w:r>
        <w:t>BULLETIN NO. 11 OF MARCH 15, 2021 27</w:t>
      </w:r>
    </w:p>
    <w:p>
      <w:r>
        <w:t>of all measures that prohibit, hinder, or are otherwise capable of restricting the exercise of such freedoms. According to the Court of Justice, a national regulation that allows for the automatic extension of existing public domain concessions for tourist-recreational activities must be considered in violation of these provisions.</w:t>
      </w:r>
    </w:p>
    <w:p>
      <w:r>
        <w:t>Furthermore, Directive 2006/123/EC (the so-called Services Directive) provides in Article 12 that “where the number of authorizations available for a given activity is limited due to the scarcity of natural resources or the technical capacities available, Member States shall apply a selection procedure among potential candidates, which presents guarantees of impartiality and transparency and provides, in particular, adequate publicity for the initiation of the procedure and its conduct and completion” (paragraph 1) and that, in such cases, “the authorization is granted for a limited duration and may not provide for an automatic renewal procedure nor grant other advantages to the outgoing provider or to persons who have particular ties with that provider” (paragraph 2).</w:t>
      </w:r>
    </w:p>
    <w:p>
      <w:r>
        <w:t>As is well known, Member States are required to comply with the aforementioned EU principles and, where domestic legislation does not respect the provisions of the cited directive, conflicting in turn with the principles of free movement and freedom of establishment, its relative disapplication is imposed.</w:t>
      </w:r>
    </w:p>
    <w:p>
      <w:r>
        <w:t>In this sense, the Authority, in previous advocacy interventions, has repeatedly expressed the need to proceed with the awarding of concessions – including those concerning public maritime domain assets for tourist-recreational purposes – through public evidence procedures.</w:t>
      </w:r>
    </w:p>
    <w:p>
      <w:r>
        <w:t>In particular, it has been observed that, in markets where, due to the specific objective characteristics of technical, economic, and financial activities, there is exclusivity, or a limited number of subjects are allowed to operate, the awarding of concessions must still occur through transparent and competitive tendering procedures, in order to mitigate the distorting effects of competition associated with the privileged position attributed to the concessionaire.</w:t>
      </w:r>
    </w:p>
    <w:p>
      <w:r>
        <w:t>3 See Court of Justice judgment of July 14, 2016, joined cases C-458/14 and C-67/15, Promoimpresa srl and others v. Consortium of the municipalities of the Brescia Shore of Lake Garda and Lake Idro and others.</w:t>
      </w:r>
    </w:p>
    <w:p>
      <w:r>
        <w:t>4 It should be noted that, according to established European jurisprudence, all national administrations, in the exercise of their functions, are required to apply the provisions of European law, disapplying national rules that are not compliant, see, inter alia, the judgments issued by the Court of Justice in case 103/88, Fratelli Costanzo v. Municipality of Milan, as well as in case C-224/97, Ciola and in case C-198/01, Consortium of Matchstick Industries (CIF) v. Competition and Market Authority.</w:t>
      </w:r>
    </w:p>
    <w:p>
      <w:r>
        <w:t>In this sense, the Court of Justice has reiterated, most recently in the judgment of December 4, 2018, case C-378/17, that “the principle of the primacy of Union law imposes not only on judicial bodies but also on all institutions of the Member State to give full effect to the rules of the Union” (paragraph 39), and recalls that the obligation to disapply also concerns “all bodies of the State, including administrative authorities, tasked with applying, within their respective competences, Union law” (paragraph 38). In this regard, see also, inter alia, the judgments issued by the Court of Justice in case 106/77, Administration of State Finances v. Simmenthal SpA, in case C-119/05, Lucchini and in case C-614/14, Ognyanov.</w:t>
      </w:r>
    </w:p>
    <w:p>
      <w:r>
        <w:t>5 See the report made by the Authority on December 12, 2018, pursuant to Articles 21 and 22 of Law No. 287/1990 (AS1550 – Concessions and competitive issues, in AGCM Bulletin No. 48/2018).</w:t>
      </w:r>
    </w:p>
    <w:p>
      <w:r>
        <w:t>6 Administrative jurisprudence has also noted a misalignment between national legislation that provides for the extension of concessions and EU law,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 In this regard, see, inter alia, TAR Veneto, judgment No. 218/2020, TAR Puglia, judgment No. 36/2020, Council of State, Section VI, judgment No. 7874/2019.</w:t>
      </w:r>
    </w:p>
    <w:p>
      <w:r>
        <w:t>28 BULLETIN NO. 11 OF MARCH 15, 2021</w:t>
      </w:r>
    </w:p>
    <w:p>
      <w:r>
        <w:t>With specific reference to the procedures and measures for the extension of existing concessions, the Authority has repeatedly emphasized that it is in the interest of the market to carry out a careful balancing between short-term benefits and the possible costs that may manifest over a longer time horizon.</w:t>
      </w:r>
    </w:p>
    <w:p>
      <w:r>
        <w:t>The granting of extensions in favor of previous concessionaires, in fact, further postpones competitive confrontation for the market, thus preventing the benefits that would arise from periodic competition for the awarding through public evidence procedures. Therefore, any extensions of the awards should not exceed the actual needs of the administrations, in order to allow for the efficient allocation of public resources through competitive procedures as soon as possible.</w:t>
      </w:r>
    </w:p>
    <w:p>
      <w:r>
        <w:t>Consequently, the Authority believes that, for the reasons outlined above, this Municipality should have disapplied the legislation underlying the resolution of the Junta No. 242/2020 due to its contradiction with the principles and EU regulations mentioned above. The provisions regarding the extension of public maritime domain concessions for tourist-recreational purposes contained in the administrative measure constitute, in fact, specific violations of competitive principles to the extent that they prevent the competitive confrontation that should be guaranteed in the awarding of services affecting scarce public domain resources, in a market context where competitive dynamics are already particularly weakened due to the long duration of the currently existing concessions.</w:t>
      </w:r>
    </w:p>
    <w:p>
      <w:r>
        <w:t>In conclusion, the municipal resolution in question is in contrast with Articles 49 and 56 of the TFEU, as it is likely to unjustifiably limit the freedom of establishment and the free movement of services in the internal market, as well as with the EU regulatory provisions regarding public procurement, with particular reference to Article 12 of the so-called Services Directive.</w:t>
      </w:r>
    </w:p>
    <w:p>
      <w:r>
        <w:t>Pursuant to Article 21 bis, paragraph 2, of Law No. 287/1990, the Municipality of Carrara must communicate to the Authority, within 60 days from the receipt of this opinion, the initiatives taken to remove the aforementioned competition violations. If within the aforementioned period such initiatives do not prove to be compliant with the competitive principles expressed above, the Authority may file an appeal within the following thirty days.</w:t>
      </w:r>
    </w:p>
    <w:p>
      <w:r>
        <w:t>THE PRESIDENT</w:t>
      </w:r>
    </w:p>
    <w:p>
      <w:r>
        <w:t>Roberto Rustichelli</w:t>
      </w:r>
    </w:p>
    <w:p>
      <w:r>
        <w:t>______________________________________________________________________</w:t>
      </w:r>
    </w:p>
    <w:p>
      <w:r>
        <w:t>7 It should also be noted that the Court of Justice of the European Union, in establishing that the awarding of public maritime domain concessions for tourist-recreational use, which concern scarce natural resources, must necessarily take place through a selection procedure among potential candidates in compliance with all guarantees of impartiality and transparency, as well as adequate publicity, has highlighted that a national regulation that provides for an automatic extension by law of the expiration date of such concessions amounts to automatic renewal in contrast with the provisions of Article 12, paragraph 2, of Directive 2006/123/EC (see CJEU, Section V, judgment of July 14, 2016, joined cases C-458/14 and C-67/15).</w:t>
      </w:r>
    </w:p>
    <w:p>
      <w:r>
        <w:t>8 See the report made by the Authority on July 1, 2020, pursuant to Article 21 of Law No. 287/1990, AS 1684 – Observations regarding the provisions contained in the Relaunch Decree, in AGCM Bulletin No. 28/2020. See also the reports AS135 – Extensions of highway concessions, in Bulletin No. 19/98; AS491 – Provisions on the granting of public domain concessions and on the direct exercise of administrative functions regarding the maritime domain, in Bulletin No. 46/2008; AS1114 – Concession regime present in the port of Livorno, in Bulletin No. 12/2014; AS1137 – Proposals for competitive reform for the purposes of the annual law for the market and competition year 2014, in Bulletin No. 27/2014.</w:t>
      </w:r>
    </w:p>
    <w:p>
      <w:r>
        <w:t>BULLETIN NO. 11 OF MARCH 15, 2021 29</w:t>
      </w:r>
    </w:p>
    <w:p>
      <w:r>
        <w:t>Communication regarding the failure of the Municipality of Carrara to comply with the reasoned opinion expressed by the Authority, pursuant to Article 21-bis of Law No. 287/1990, against the resolution of the Municipal Council of September 25, 2020, No. 242, concerning the extension of public maritime domain concessions for tourist-recreational purposes, in execution of the legislative provisions for the extension of the expiration date to January 1, 2034, pursuant to Law No. 30/12/2018, No. 145, Article 1, paragraphs 682, 683, 684.</w:t>
      </w:r>
    </w:p>
    <w:p>
      <w:r>
        <w:t>In its meeting of December 1, 2020, the Competition and Market Authority decided to send a reasoned opinion pursuant to Article 21-bis of Law October 10, 1990, No. 287, published at the end of this communication, regarding the content of the resolution of the Municipal Council of September 25, 2020, No. 242 adopted by the Municipality of Carrara and concerning the extension of public maritime domain concessions for tourist-recreational purposes in execution of the legislative provisions contained in Law December 30, 2018, No. 145, Article 1, paragraphs 682, 683, 684, under which the automatic extension of all public domain concessions until January 1, 2034 was ordered.</w:t>
      </w:r>
    </w:p>
    <w:p>
      <w:r>
        <w:t>In particular, with the resolution of the Municipal Council subject to the opinion pursuant to Article 21-bis of Law No. 287/90, the Municipality of Carrara ordered the extension of all public maritime domain concessions for tourist-recreational purposes, applying a national regulation (Law December 30, 2018, No. 145, Article 1, paragraphs 682, 683, 684) that, being in contrast with EU law, particularly with Articles 49 and 56 of the TFEU and with the principles of competition and public evidence in awards, should have been disapplied.</w:t>
      </w:r>
    </w:p>
    <w:p>
      <w:r>
        <w:t>Following the receipt of this reasoned opinion, the Municipality of Carrara, with communication dated February 4, 2021, informed the Competition and Market Authority that it considers its actions legitimate, as the extension of the duration of public maritime domain concessions for tourist-accommodation purposes in favor of existing concessionaires was carried out based on what is provided for in Article 1, paragraphs 682, 683, and 684 of Law No. 145/2018, as well as Article 182, paragraph 2 of Decree-Law No. 34/2020, converted into Law No. 77/2020, and Article 100, paragraph 1, of Decree-Law No. 104/2020, converted into Law No. 126/2020, and what was established by the Tuscany Region, with the resolutions of the Regional Council No. 711 of May 27, 2019, and No. 1587 of December 14, 2020, with which the Region provided guidance to managing entities regarding the obligations to be fulfilled in compliance with the aforementioned provisions of state law. The Municipality of Carrara, therefore, argues that the redefinition of the duration of public domain concessions directly derives from the law and that the granting administrations merely limit themselves, according to what is provided by state legislation and the indications given by the Tuscany Region, to formalize an acquired right by the concessionaire directly based on the law. The stamp affixed by the Municipality, as a delegated entity in the functions concerning the concessions of maritime domain assets, must be understood as a mere act of formalization with respect to what is established by law.</w:t>
      </w:r>
    </w:p>
    <w:p>
      <w:r>
        <w:t>Acknowledging the failure of the Administration to comply with the aforementioned reasoned opinion, the Competition and Market Authority, in its meeting of February 16, 2021, decided to</w:t>
      </w:r>
    </w:p>
    <w:p>
      <w:r>
        <w:rPr>
          <w:b/>
        </w:rPr>
        <w:t>[Pages 28–30]</w:t>
      </w:r>
    </w:p>
    <w:p>
      <w:r>
        <w:t>30 BULLETIN NO. 11 OF MARCH 15, 2021</w:t>
      </w:r>
    </w:p>
    <w:p>
      <w:r>
        <w:t>to appeal before the Regional Administrative Court for Tuscany the resolution of the Municipal Council of September 25, 2020, No. 242 adopted by the Municipality of Carrara concerning the automatic extension of maritime state concessions for tourism and recreational purposes.</w:t>
      </w:r>
    </w:p>
    <w:p>
      <w:r>
        <w:t>BULLETIN NO. 11 OF MARCH 15, 2021 31</w:t>
      </w:r>
    </w:p>
    <w:p>
      <w:r>
        <w:t>AS1724 - AUTONOMOUS PROVINCE OF TRENTO - CONCESSION FOR THE</w:t>
      </w:r>
    </w:p>
    <w:p>
      <w:r>
        <w:t>CONSTRUCTION OF WATER DIVERSION FACILITIES FOR HYDROELECTRIC USE</w:t>
      </w:r>
    </w:p>
    <w:p>
      <w:r>
        <w:t>Rome, March 5, 2021</w:t>
      </w:r>
    </w:p>
    <w:p>
      <w:r>
        <w:t>Autonomous Province of Trento</w:t>
      </w:r>
    </w:p>
    <w:p>
      <w:r>
        <w:t>The Competition and Market Authority, in its meeting of March 3, 2021, deemed it appropriate to make the following observations, pursuant to Article 21, Law No. 287/1990, regarding the competitive criticalities of the procedure provided for by Provincial Law No. 19 of September 17, 2013 "Provincial Regulation on Environmental Impact Assessment" and subsequent amendments, for the authorization procedure for the construction and management of small water diversion facilities for hydroelectric purposes.</w:t>
      </w:r>
    </w:p>
    <w:p>
      <w:r>
        <w:t>In particular, the aforementioned regulation appears to grant a veto power from an urban planning perspective to the local authority potentially responsible for authorizing the construction of the facility, outside the procedure for issuing the provincial single authorization (so-called PAUP). Lastly, with the amendments made by Provincial Law No. 6 of September 19, 2019 ("Implementation of Directive 2014/52/EU of the European Parliament and of the Council, of April 16, 2014, amending Directive 2011/92/EU concerning the assessment of the environmental impact of certain public and private projects, pursuant to Articles 1 and 14 of Law No. 114 of July 9, 2015"), the veto power of the local authority has even been strengthened, considering that the request for urban planning exemption to the Municipality, where necessary for the construction of the facility, must be submitted by the proposing company in advance of the initiation of the PAUP issuance procedure.</w:t>
      </w:r>
    </w:p>
    <w:p>
      <w:r>
        <w:t>On this point, the Authority observes, however, that at the national level, Article 12 of Legislative Decree No. 387/2003 and subsequent amendments, entitled "Implementation of Directive 2001/77/EC on the promotion of electricity produced from renewable energy sources in the internal electricity market," establishes that for the construction and operation of electricity production facilities powered by renewable sources, a single authorization must be issued, which also includes the building permit: "following a single procedure, in which all interested administrations participate, carried out in compliance with the principles of simplification and in the manner established by Law No. 241 of August 7, 1990, and subsequent amendments and integrations. The issuance of the authorization constitutes a title to build and operate the facility in accordance with the approved project and must contain the obligation to restore the state of the places at the expense of the operating subject following the decommissioning of the facility or, for hydroelectric facilities, the obligation to carry out measures for environmental reintegration and recovery [...]" (paragraph 4).</w:t>
      </w:r>
    </w:p>
    <w:p>
      <w:r>
        <w:t>At the national level, therefore, any urban planning exemption is included in the single authorization. Regarding the scope of the aforementioned Article 12, it is also recalled what was stated by the Council of State: "the construction and operation of electricity production facilities powered by renewable sources are subject to a single authorization issued by the Region, which is required to convene the conference of services; all administrations affected by the project, and thus with their own competence in the matter, are required to participate in the conference and to express in that venue also the opinions they are legally required to provide, according to the collaborative dynamics inherent to the procedural simplification tool provided by law. A negative opinion expressed outside the conference is illegitimate due to incompetence, as it is an act adopted by an authority lacking power in the matter."</w:t>
      </w:r>
    </w:p>
    <w:p>
      <w:r>
        <w:t>Article 14 ter of the regulation on administrative procedures (Law No. 241/1990) finally provides that "[...] the administering authority adopts the motivated determination of conclusion of the procedure."</w:t>
      </w:r>
    </w:p>
    <w:p>
      <w:r>
        <w:t>3 Paragraph 3 provides that "The construction and operation of electricity production facilities powered by renewable sources, the modification, enhancement, total or partial reconstruction, and reactivation, as defined by current regulations, as well as the related works and the infrastructures essential for the construction and operation of the facilities themselves, are subject to a single authorization, issued by the region or by the provinces delegated by the region, (...) in compliance with current regulations regarding environmental protection, landscape protection, and the protection of historical and artistic heritage, which constitutes, where necessary, a variation to the urban planning tool."</w:t>
      </w:r>
    </w:p>
    <w:p>
      <w:r>
        <w:t>4 Judgment of November 12, 2018, No. 6342.</w:t>
      </w:r>
    </w:p>
    <w:p>
      <w:r>
        <w:t>5 In a previous ruling, the Council of State had stated that the necessity of dialectical confrontation among the interested administrations and the need to balance the interests at stake mean that the regulation concerning energy production facilities from renewable sources assumes, ratione materiae, a special character, such that the only procedural and regulatory model for issuing the enabling title for the installation of such facilities is that of the single authorization pursuant to Article 12, Legislative Decree No. 387/2003. In this sense, Council of State, Section VI, judgment of November 27, 2012, No. 5994: "In this matter, the legislator, in implementing Community Directive 2001/77/EC of September 27, 2001 (Directive of the European Parliament and of the Council on the promotion of electricity produced from renewable energy sources in the internal electricity market), aimed at uniformly regulating and incentivizing such forms of energy production also through the simplification of authorization procedures, intervened with a specific procedural regulation that culminates in the issuance (or denial) of the so-called regional single authorization. This procedural regulation is defined by Article 12 of Legislative Decree No. 29 of December 29, 2003 (Implementation of Directive 2001/77/EC on the promotion of electricity produced from renewable energy sources in the internal electricity market). The distinctive feature of this provision, resulting from the aforementioned simplification and concentration objectives, is that it has identified the conference of services as the essential ordinary procedural module for the formation of the subsequent enabling title for the construction and operation of electricity production facilities powered by renewable sources. This regulation – centered on procedural concentration due to the confrontation required by energy procurement through technologies that do not emit harmful substances into the atmosphere, and on the intrinsic added value of the dialectical confrontation of the interested administrations – indeed presents, ratione materiae, a special character also regarding the assessment of landscape impact, compared to the ordinary one provided for by Article 151 of Legislative Decree No. 29 of October 29, 1999, and then by Articles 159 and 146 of Legislative Decree No. 42 of January 22, 2004: so that the procedural and regulatory model legitimizing the installation of such facilities is exclusively that of the regional single authorization, expressly typified by this Article 12 of Legislative Decree No. 387 of 2003, which prescribes, for the issuance of the single authorization, the "compliance with current regulations regarding environmental protection, landscape protection, and the protection of historical and artistic heritage."</w:t>
      </w:r>
    </w:p>
    <w:p>
      <w:r>
        <w:rPr>
          <w:b/>
        </w:rPr>
        <w:t>[Pages 31–33]</w:t>
      </w:r>
    </w:p>
    <w:p>
      <w:r>
        <w:t>BULLETIN NO. 11 OF MARCH 15, 2021 33</w:t>
      </w:r>
    </w:p>
    <w:p>
      <w:r>
        <w:t>conference [...] based on the prevailing positions expressed by the participating administrations in the conference through their respective representatives6” (emphasis added). The combined provisions of Articles 14 quater and quinquies7 also allow us to infer which administrations hold the only interests that allow for the suspension of the effectiveness of the positive determination closing the conference, expressing qualified dissent capable of blocking the effectiveness of the decision. This power is specifically reserved for the only administrations responsible for environmental protection, landscape-territorial protection, cultural heritage, or the protection of health and public safety of citizens, while it does not include oversight of construction and urban planning, which falls under the competence of the municipalities where the plants must be built. Therefore, the municipalities are consulted, just like the other administrations participating in the conference of services, and the vote they express follows the rule of the “prevailing positions” mentioned above.</w:t>
      </w:r>
    </w:p>
    <w:p>
      <w:r>
        <w:t>Regarding the applicability of the single authorization institution also at the Provincial level, the Authority recalls conclusively what was established by the Constitutional Court with ruling No. 275/20128 according to which: “the regime of the single authorization, configured by Article 12 of Legislative Decree No. 387 of 2003, further defined in the guidelines approved by Ministerial Decree of September 10, 2010, and modified by Article 5 of Legislative Decree No. 28 of 2011, has national validity, without exceptions, as it is functional to the creation of a system of certain, transparent, and uniform rules for the entry of economic operators into the relevant sector” and again “as for the procedural profiles of the single authorization, the regulations introduced by the guidelines constitute the necessary integration of the provisions contained in Article 12 of Legislative Decree No. 387 of 2003, achieved according to the mechanism of agreement with the Regions and Autonomous Provinces, and therefore binding throughout the national territory” (emphasis added).</w:t>
      </w:r>
    </w:p>
    <w:p>
      <w:r>
        <w:t>6 “The assent without conditions of the administrations whose representative did not participate in the meetings or, while participating, did not express their position pursuant to paragraph 3, or expressed an unmotivated dissent or referred to issues that do not constitute the subject of the conference, is considered acquired.”</w:t>
      </w:r>
    </w:p>
    <w:p>
      <w:r>
        <w:t>7 Article 14 quater, first paragraph, provides: “The motivated determination of the conclusion of the conference, adopted by the proceeding administration at the outcome of the same, replaces for all effects all acts of assent, however named, of competence of the administrations and managers of public goods or services concerned” and the third paragraph: “In case of unanimous approval, the determination referred to in paragraph 1 is immediately effective. In case of approval based on the prevailing positions, the effectiveness of the determination is suspended if qualified dissent has been expressed pursuant to Article 14-quinquies and for the period necessary for the exercise of the remedies provided therein.” Article 14 quinquies, paragraph 1, grants a veto power to dissenting administrations for the protection of only certain specific public interests, among which construction and urban planning are NOT included: “Against the motivated determination of the conclusion of the conference, within 10 days from its communication, the administrations responsible for environmental protection, landscape-territorial protection, cultural heritage, or the protection of health and public safety of citizens may propose opposition to the President of the Council of Ministers provided that they have unequivocally expressed their motivated dissent before the conclusion of the works of the conference. For state administrations, the opposition is proposed by the competent Minister.”</w:t>
      </w:r>
    </w:p>
    <w:p>
      <w:r>
        <w:t>8 The ruling of December 6, 2012 declared the questions of constitutional legitimacy of Articles 5, paragraph 1, 6, paragraphs 9 and 11, as well as Articles 5 and 6 as a whole, and Article 15, paragraphs 3 and 4, first period, of Legislative Decree March 3, 2011, No. 28 (Implementation of Directive 2009/28/EC on the promotion of the use of energy from renewable sources, amending and subsequently repealing Directives 2001/77/EC and 2003/30/EC) raised by the Autonomous Province of Trento to be unfounded. It is worth recalling the ruling also in the part where it stated that: “In the national context, the provisions contained in Articles 5 and 6 of Legislative Decree No. 28 of 2011 integrate, with some variants, the authorization discipline already introduced with Article 12 of the aforementioned Legislative Decree No. 387 of 2003 and with the guidelines, approved by Ministerial Decree of September 10, 2010. This is evidently legislation attributable to the matter of concurrent legislative power of ‘production, transport, and national distribution of energy’, in coherence with the now considerable jurisprudence of this Court on renewable energies (among others, rulings No. 224 and No. 99 of 2012, No. 192 of 2011, No. 194, No. 168 and No. 119 of 2010, No. 282 of 2009, No. 364 of 2006), based on the functional criterion of identifying the public interests underlying the regulation.”</w:t>
      </w:r>
    </w:p>
    <w:p>
      <w:r>
        <w:t>34 BULLETIN NO. 11 OF MARCH 15, 2021</w:t>
      </w:r>
    </w:p>
    <w:p>
      <w:r>
        <w:t>Having stated this, the Authority observes that the procedure provided by the regulations of the Province of Trento, in attributing to the local entity the power to oppose the project for the construction of a renewable energy production plant on its territory, which is capable of outright precluding the obtaining of the provincial single provision, appears to introduce a requirement not provided at the national level and not justified, which hinders the realization and management of such plants in the Province of Trento, creating from a competitive perspective an unjustified disparity of treatment regarding the requirements requested in that geographical area for the performance of the same economic activity compared to the rest of the country.</w:t>
      </w:r>
    </w:p>
    <w:p>
      <w:r>
        <w:t>The Authority therefore hopes that the Province of Trento will intervene to bring the provincial regulatory discipline back within the framework of principles applicable uniformly throughout the national territory, eliminating the necessity for the proposing economic operator to request from the Municipality, in whose territory the renewable energy production plant must be built, a specific positive opinion, anticipated and, in any case, outside the conference of services aimed at the PAUP.</w:t>
      </w:r>
    </w:p>
    <w:p>
      <w:r>
        <w:t>Indeed, the principles derived from the community aimed at promoting and increasing the diffusion of renewable energy production plants, as received by the Italian legal system9, as well as the principles regarding competition, a matter of exclusive state competence, represent the best framework for a regulatory action correctly aimed at a full and uniform development of the economic sector in question, the violation of which is also capable of jeopardizing the constitutional legitimacy of conflicting provincial norms.</w:t>
      </w:r>
    </w:p>
    <w:p>
      <w:r>
        <w:t>This opinion will be published in the Bulletin referred to in Article 26 of Law No. 287/1990.</w:t>
      </w:r>
    </w:p>
    <w:p>
      <w:r>
        <w:t>for THE PRESIDENT</w:t>
      </w:r>
    </w:p>
    <w:p>
      <w:r>
        <w:t>the Member</w:t>
      </w:r>
    </w:p>
    <w:p>
      <w:r>
        <w:t>Michele Ainis</w:t>
      </w:r>
    </w:p>
    <w:p>
      <w:r>
        <w:t>9 See Directive of the European Parliament and of the Council of April 23, 2009 No. 28 “Directive of the European Parliament and of April 23, 2009 on the promotion of the use of energy from renewable sources, amending and subsequently repealing Directives 2001/77/EC and 2003/30/EC” and Legislative Decree No. 387/03 “Implementation of Directive 2001/77/EC on the promotion of electricity produced from renewable energy sources in the internal electricity market” and subsequent amendments. In particular, see Article 13 of the directive (“Administrative procedures, regulations, and codes”) in terms of simplification of administrative procedures, but also Article 12 of Legislative Decree No. 387/03 regarding the importance of the construction of electricity production plants from renewable sources: “The works for the construction of plants powered by renewable sources, as well as the related works and the infrastructures essential for the construction and operation of the same plants, authorized pursuant to paragraph 3, are of public utility and are urgent and indispensable.”</w:t>
      </w:r>
    </w:p>
    <w:p>
      <w:r>
        <w:t>BULLETIN NO. 11 OF MARCH 15, 2021 35</w:t>
      </w:r>
    </w:p>
    <w:p>
      <w:r>
        <w:t>UNFAIR COMMERCIAL PRACTICES</w:t>
      </w:r>
    </w:p>
    <w:p>
      <w:r>
        <w:t>IP341 - SIXTHCONTINENT-FAILURE TO RECOGNIZE CREDITS</w:t>
      </w:r>
    </w:p>
    <w:p>
      <w:r>
        <w:t>Measure No. 28594</w:t>
      </w:r>
    </w:p>
    <w:p>
      <w:r>
        <w:t>THE COMPETITION AND MARKET AUTHORITY</w:t>
      </w:r>
    </w:p>
    <w:p>
      <w:r>
        <w:t>IN ITS MEETING of February 23, 2021;</w:t>
      </w:r>
    </w:p>
    <w:p>
      <w:r>
        <w:t>HEARD the Rapporteur Dr. Gabriella Muscolo;</w:t>
      </w:r>
    </w:p>
    <w:p>
      <w:r>
        <w:t>HAVING REGARD TO Part II, Title III, of Legislative Decree September 6, 2005, No. 206, and subsequent amendments (hereinafter, Consumer Code);</w:t>
      </w:r>
    </w:p>
    <w:p>
      <w:r>
        <w:t>HAVING REGARD, in particular, to Article 27, paragraph 12, of the Consumer Code, according to which in case of non-compliance with urgent measures or prohibitory or remedial measures, the Authority imposes an administrative monetary penalty from 10,000 to 5,000,000 euros and, in cases of repeated non-compliance, the Authority may order the suspension of the business activity for a period not exceeding thirty days;</w:t>
      </w:r>
    </w:p>
    <w:p>
      <w:r>
        <w:t>HAVING REGARD TO Law No. 689 of November 24, 1981;</w:t>
      </w:r>
    </w:p>
    <w:p>
      <w: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No. 25411;</w:t>
      </w:r>
    </w:p>
    <w:p>
      <w:r>
        <w:t>HAVING REGARD TO its resolution No. 28314 of August 4, 2020, with which the Authority established the unfairness of the commercial practice carried out by the company Sixthcontinent Europe S.r.l. concerning, on the one hand, the misleading representation of the alleged economic convenience of joining the community and the various offers proposed on the platform www.sixthcontinent.com, and on the other hand, the unjustified blocking of consumer accounts, as well as the delay/prevention/limitation of users' enjoyment of the Shopping Cards and SXC Cards and other utilities (i.e. Balance, Wallet, Credits) accrued through participation in the community, omitting the reimbursement of the amounts paid for the purchase of Shopping Cards and/or accrued on the Platform;</w:t>
      </w:r>
    </w:p>
    <w:p>
      <w:r>
        <w:t>HAVING REGARD TO the acts of the proceeding;</w:t>
      </w:r>
    </w:p>
    <w:p>
      <w:r>
        <w:t>CONSIDERING the following:</w:t>
      </w:r>
    </w:p>
    <w:p>
      <w:r>
        <w:t>1. With measure No. 28314 of August 4, 2020 (hereinafter also “Measure” or “Resolution”), closing the proceeding PS11332, the Authority established an unfair commercial practice, pursuant to Articles 21, 22, 24, and 25 of the Consumer Code, carried out by the company Sixthcontinent Europe S.r.l. (hereinafter also “SixthCo.” or “Professional” or “Company”) and articulated in the following conducts: a) misleadingly representing the alleged economic convenience of joining the community and the various offers proposed on the Platform; b) unilaterally proceeding to the unjustified blocking of consumer accounts, delaying/limiting/preventing the</w:t>
      </w:r>
    </w:p>
    <w:p>
      <w:r>
        <w:rPr>
          <w:b/>
        </w:rPr>
        <w:t>[Pages 34–36]</w:t>
      </w:r>
    </w:p>
    <w:p>
      <w:r>
        <w:t>36 BULLETIN NO. 11 OF MARCH 15, 2021</w:t>
      </w:r>
    </w:p>
    <w:p>
      <w:r>
        <w:t>the release or enjoyment of the Shopping Cards1 (both branded and those issued directly by SixthCo., so-called SXC Card) and other utilities (i.e. Balance/wallet and Credits) accrued through the purchase of such Shopping Cards and participation in the SixtCo community, as well as failing to refund the amounts paid for the purchase of the aforementioned Shopping Cards and other services.</w:t>
      </w:r>
    </w:p>
    <w:p>
      <w:r>
        <w:t>2. Specifically, the behaviors implemented by SixthCo. since the end of 2019, in the context of promoting its "profit-sharing" Platform, in the marketing of Shopping Cards (SC) through its website sixthcontinent.com (hereinafter, also just Site) and in managing the contractual rights of users, have been deemed to constitute a unified strategy aimed at attracting as many consumers as possible, getting them to join the community, and persuading them to invest significant sums of money in the purchase of branded Shopping Cards and the numerous SXC Cards offered for sale online, generating in them – through the deceptive presentation of alleged economic advantages – the erroneous belief that such Cards could increase their value and significantly enhance users' purchasing power. After having misleadingly induced consumers to join the Platform and to invest even substantial sums in the offers made available there, SixthCo. began to carry out a series of initiatives that first made it substantially impossible for users to enjoy the significant amounts invested in the community and, subsequently, the failure to refund the same, implementing the following measures: the blocking/suspension of accounts, the delayed or non-activation of the Shopping Cards compared to what was provided at the time of purchase, obstacles to the use of the SXC Cards through the unilateral conversion of the SXC cards into Credits (instead of Balance), the significant reduction in the value of Credits usable for the purchase of SC and other utilities, the decrease in the number of Shopping Cards available for purchase, the obstacle to the use of Credits for the enjoyment of Services on the Platform (Pagomeno and RicaricaCell) and, finally, the reconversion of the SXC Cards.</w:t>
      </w:r>
    </w:p>
    <w:p>
      <w:r>
        <w:t>3. In summary, the set of behaviors described above has been deemed to constitute a misleading and aggressive commercial practice as it is capable of deceptively attracting consumers to join the community and then, based on continuous and arbitrary unilateral changes to the contractual sales conditions, unduly limit users' freedom of choice regarding their activities within the Platform as well as – due to the immobilization of the Shopping Cards and other utilities purchased on the Site – likely preventing the use of the resources injected into the Platform in such a way as to retain the significant amounts paid by numerous users, who have been denied the exercise of their legitimate contractual rights of withdrawal and refund, and have been induced to continue making purchases to remain active and not lose what has been accrued and blocked on the Platform2.</w:t>
      </w:r>
    </w:p>
    <w:p>
      <w:r>
        <w:t>4. In light of the above, the Authority has sanctioned the Professional and prohibited the further dissemination and continuation of the unfair commercial practice. Furthermore, it has also been ordered that the Company communicate, within sixty days from the notification of the Measure – which took place on August 7, 2020 – the initiatives taken in compliance with the aforementioned warning.</w:t>
      </w:r>
    </w:p>
    <w:p>
      <w:r>
        <w:t>5. Considering the failure to transmit the required compliance report within the indicated deadline, on November 11, 2020, the Professional was requested to communicate, within an additional ten days, the initiatives adopted in order to comply with what was established in the Measure.</w:t>
      </w:r>
    </w:p>
    <w:p>
      <w:r>
        <w:t>The communications of the Professional</w:t>
      </w:r>
    </w:p>
    <w:p>
      <w:r>
        <w:t>6. In a communication dated November 23, 2020, SixthCo. requested a fourteen-day extension from the deadline granted for the submission of the communication regarding compliance with the Measure.</w:t>
      </w:r>
    </w:p>
    <w:p>
      <w:r>
        <w:t>7. On December 7, 2020, SixthCo. transmitted a document titled "Compliance with the AGCM measure No. 28314 of August 4, 2020 (ps/11332) – Chronology of events causing the decline in sales and the increase in chargebacks – response to the note of November 11, 2020," in which it limited itself to describing the events that, after the publication of the Measure, would have "led to a total block of sales in Italy by Sixthcontinent Europe S.r.l.," without providing any information regarding any initiatives taken to comply with the warning issued in the Measure. [Omitted]*.</w:t>
      </w:r>
    </w:p>
    <w:p>
      <w:r>
        <w:t>The elements acquired after the notification of the Measure and the persistent critical issues</w:t>
      </w:r>
    </w:p>
    <w:p>
      <w:r>
        <w:t>8. Following the closure of the PS11332 procedure (August 4, 2020) – and after the deadline for the transmission of the compliance report (October 6, 2020) – numerous reports have been received from consumers, from which it emerges that the Professional continues to engage in the commercial practice subject to verification and warning in the Measure, particularly with reference to: the persistent impediment to the download of the Cards purchased and paid for by users; the obstacle to the enjoyment of the Shopping Cards, SXC Cards, Credits/Balance/Wallet, and any other utility accrued on the Platform; the failure to restore the contractual conditions for activation and enjoyment according to the terms in force at the time of purchase by consumers; the failure to refund the amounts paid by users for the purchase of Shopping Cards and the various and numerous offers proposed on the Platform; the persistent obligation for users to make at least one purchase each month to avoid losing the "money" present in the virtual wallet, without, however, following through with the actual delivery/activation of the purchased and paid cards3.</w:t>
      </w:r>
    </w:p>
    <w:p>
      <w:r>
        <w:t>9. Regarding the alleged blocking of SixthCo.'s activities in Italian territory, contrary to what was stated by the Professional, the elements acquired in the records have allowed to ascertain that the site sixthcontinent.com is fully active and operational and that the Company has continued to carry out the activity of promoting and selling online, on its Platform, numerous and different Shopping Cards4, as unequivocally attested by the documentation produced along with the reports, from which it emerges that the marketing of Shopping Cards/SXC Cards has continued towards consumers in the months following the notification of the Measure, without, however, the delivery and/or activation of the sold cards following it5.</w:t>
      </w:r>
    </w:p>
    <w:p>
      <w:r>
        <w:t>10. In light of the above and based on the numerous reports that continue to be received by the Authority, it emerges that the Professional, on the one hand, has not complied with the order to communicate the initiatives taken in compliance with the Measure, and on the other hand, has reiterated a series of behaviors that seem to present, in essence, the same profiles of unfairness already ascertained with the Measure concerning the methods of activation and enjoyment of the Shopping Cards/SXC Cards and any other utility accrued by users (Credits/Balance/Wallet) and the obstacle to the exercise of the rights of withdrawal and refund due to purchasing consumers.</w:t>
      </w:r>
    </w:p>
    <w:p>
      <w:r>
        <w:t>11. From the documentary evidence in the records, it appears that the unfair commercial practice has continued after the expiration of the sixty-day deadline, starting from the date of notification of the Measure (August 7, 2020), granted to the Professional to comply with the warning contained therein, as well as after December 7, 2020, the date of submission by SixthCo. of the document titled "Compliance with the AGCM measure No. 28314 of August 4, 2020 (ps/11332) – Chronology of events causing the decline in sales and the increase in chargebacks – response to the note of November 11, 2020."</w:t>
      </w:r>
    </w:p>
    <w:p>
      <w:r>
        <w:t>12. In conclusion, the prerequisites for initiating the procedure provided for by Article 27, paragraph 12, of the Consumer Code, aimed at imposing an administrative monetary penalty from 10,000 to 5,000,000 euros, are present.</w:t>
      </w:r>
    </w:p>
    <w:p>
      <w:r>
        <w:t>THEREFORE, CONSIDERING that the established facts constitute a case of non-compliance with the Authority's resolution No. 28314 of August 4, 2020, pursuant to Article 27, paragraph 12, of the Consumer Code;</w:t>
      </w:r>
    </w:p>
    <w:p>
      <w:r>
        <w:t>RESOLVES</w:t>
      </w:r>
    </w:p>
    <w:p>
      <w:r>
        <w:t>a) to contest to the company Sixthcontinent Europe S.r.l. the violation referred to in Article 27, paragraph 12, of the Consumer Code, for failing to comply with the Authority's resolution No. 28314 of August 4, 2020;</w:t>
      </w:r>
    </w:p>
    <w:p>
      <w:r>
        <w:t>b) the initiation of the procedure for the possible imposition of the monetary penalty provided for by Article 27, paragraph 12, of the Consumer Code;</w:t>
      </w:r>
    </w:p>
    <w:p>
      <w:r>
        <w:t>c) that the person responsible for the procedure is Dr. Antonino D’Ambrosio;</w:t>
      </w:r>
    </w:p>
    <w:p>
      <w:r>
        <w:t>4 See Minutes of acquisition in the records of February 19, 2021.</w:t>
      </w:r>
    </w:p>
    <w:p>
      <w:r>
        <w:t>5 See in this regard, by way of example and in addition to the already mentioned report prot. 20140 of February 11, 2021, report prot. 79801 of October 28, 2020, in which a consumer complains about the failure to deliver a gift card H&amp;M purchased on October 1, 2020, on the SixthContinent platform; report prot. 14035 of January 19, 2021, in which a consumer reports the failure to activate a "Netflix" card and a "Q8" card, which were purchased on September 25, 2020, and October 30, 2020, respectively.</w:t>
      </w:r>
    </w:p>
    <w:p>
      <w:r>
        <w:rPr>
          <w:b/>
        </w:rPr>
        <w:t>[Pages 37–39]</w:t>
      </w:r>
    </w:p>
    <w:p>
      <w:r>
        <w:t>BULLETIN NO. 11 OF MARCH 15, 2021 39</w:t>
      </w:r>
    </w:p>
    <w:p>
      <w:r>
        <w:t>d) that the legal representatives of Sixthcontinent Europe S.r.l. may view the documents of the procedure at the Directorate A, of the General Directorate for Consumer Protection of the Authority, or by persons delegated by it;</w:t>
      </w:r>
    </w:p>
    <w:p>
      <w:r>
        <w:t>e) that, within thirty days from the communication of this measure, the interested parties may submit defensive writings and documents to the Authority, as well as request to be heard;</w:t>
      </w:r>
    </w:p>
    <w:p>
      <w:r>
        <w:t>f) that the procedure must be concluded within one hundred and twenty days from the date of communication of this measure.</w:t>
      </w:r>
    </w:p>
    <w:p>
      <w:r>
        <w:t>For the purpose of quantifying any monetary penalty provided for by Article 27, paragraph 12, of the Consumer Code, the company Sixthcontinent Europe S.r.l. is requested to provide a copy of the latest financial statements or suitable accounting documentation certifying the economic conditions in the last year.</w:t>
      </w:r>
    </w:p>
    <w:p>
      <w:r>
        <w:t>This measure will be communicated to the interested parties and published in the Bulletin of the Competition and Market Authority.</w:t>
      </w:r>
    </w:p>
    <w:p>
      <w:r>
        <w:t>THE SECRETARY GENERAL for THE PRESIDENT</w:t>
      </w:r>
    </w:p>
    <w:p>
      <w:r>
        <w:t>Filippo Arena</w:t>
      </w:r>
    </w:p>
    <w:p>
      <w:r>
        <w:t>the Member</w:t>
      </w:r>
    </w:p>
    <w:p>
      <w:r>
        <w:t>Michele Ainis</w:t>
      </w:r>
    </w:p>
    <w:p>
      <w:r>
        <w:t>40 BULLETIN NO. 11 OF MARCH 15, 2021</w:t>
      </w:r>
    </w:p>
    <w:p>
      <w:r>
        <w:t>PS11691 - CALYPSO-WATER PURIFIERS</w:t>
      </w:r>
    </w:p>
    <w:p>
      <w:r>
        <w:t>Measure No. 28597</w:t>
      </w:r>
    </w:p>
    <w:p>
      <w:r>
        <w:t>THE COMPETITION AND MARKET AUTHORITY</w:t>
      </w:r>
    </w:p>
    <w:p>
      <w:r>
        <w:t>IN ITS MEETING of February 23, 2021;</w:t>
      </w:r>
    </w:p>
    <w:p>
      <w:r>
        <w:t>HEARD the Rapporteur, Dr. Gabriella Muscolo;</w:t>
      </w:r>
    </w:p>
    <w:p>
      <w:r>
        <w:t>HAVING REGARD TO Part II, Title III, of Legislative Decree September 6, 2005, No. 206, and subsequent amendments (hereinafter, Consumer Code);</w:t>
      </w:r>
    </w:p>
    <w:p>
      <w: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HAVING REGARD TO the communication of the initiation of procedure PS11691 of October 13, 2020;</w:t>
      </w:r>
    </w:p>
    <w:p>
      <w:r>
        <w:t>HAVING REGARD TO its measure of October 13, 2020, which ordered the inspection pursuant to Article 27, paragraphs 2 and 3, of the Consumer Code, at the headquarters of Calypso S.r.l.s.;</w:t>
      </w:r>
    </w:p>
    <w:p>
      <w:r>
        <w:t>HAVING REGARD TO the documents of the procedure;</w:t>
      </w:r>
    </w:p>
    <w:p>
      <w:r>
        <w:t>I. THE PARTIES</w:t>
      </w:r>
    </w:p>
    <w:p>
      <w:r>
        <w:t>1. The company Calypso S.r.l.s. as a professional, pursuant to Article 18, paragraph 1, letter b), of the Consumer Code, active in the distribution and maintenance of water purifiers for drinking water treatment. The company reported revenues of €1,588,262 as of December 31, 2019, and generated revenues of €18,615 and losses of €106,380 during 2020, based on the provisional interim situation (from January 1 to November 30, 2020).</w:t>
      </w:r>
    </w:p>
    <w:p>
      <w:r>
        <w:t>2. A.E.C.I., as the reporting consumer association.</w:t>
      </w:r>
    </w:p>
    <w:p>
      <w:r>
        <w:t>II. THE COMMERCIAL PRACTICE</w:t>
      </w:r>
    </w:p>
    <w:p>
      <w:r>
        <w:t>3. The procedure concerns a commercial practice carried out by Calypso S.r.l.s. consisting of the promotion, in misleading and aggressive ways, of a filtration and purification kit for drinking water (for domestic use) and the related twelve-year maintenance service, also through the dissemination, on the professional's website, at the page https://www.calypsosrls.it/perche-depurare-lacqua, of information likely to generate excessive alarm regarding the poor quality of drinking water.</w:t>
      </w:r>
    </w:p>
    <w:p>
      <w:r>
        <w:t>4. The aforementioned conduct has been the subject of consumer reports, also received through the consumer association A.E.C.I., starting from June 20, 2019.</w:t>
      </w:r>
    </w:p>
    <w:p>
      <w:r>
        <w:t>1 Doc. No. 35 of the index of the investigation file.</w:t>
      </w:r>
    </w:p>
    <w:p>
      <w:r>
        <w:t>BULLETIN NO. 11 OF MARCH 15, 2021 41</w:t>
      </w:r>
    </w:p>
    <w:p>
      <w:r>
        <w:t>III. THE FINDINGS OF THE PROCEDURE</w:t>
      </w:r>
    </w:p>
    <w:p>
      <w:r>
        <w:t>1) The procedure process</w:t>
      </w:r>
    </w:p>
    <w:p>
      <w:r>
        <w:t>5. In relation to the conduct described above, on October 23, 2020, the initiation of the investigation procedure PS11691 for the alleged violation of Articles 21, paragraph 1, letters b) and d), 22, paragraph 1, 23 paragraph 1, letters g) and n), and 24 of the Consumer Code was notified to Calypso S.r.l.s. In this context, the misleading and aggressive nature of the methods by which the professional's agents proposed to consumers, at their homes, the signing of a contract for the installation of a filtration and purification kit for drinking water and for its twelve-year maintenance was particularly hypothesized, as well as the misleading nature of the statements made on the webpage https://www.calypsosrls.it/perche-depurare-lacqua.</w:t>
      </w:r>
    </w:p>
    <w:p>
      <w:r>
        <w:t>6. Concurrently with the notification of the initiation of the procedure, on October 23, 2020, an inspection was carried out at the headquarters of Calypso.</w:t>
      </w:r>
    </w:p>
    <w:p>
      <w:r>
        <w:t>7. Calypso S.r.l.s. submitted memoranda on November 11 and December 28, 2020.</w:t>
      </w:r>
    </w:p>
    <w:p>
      <w:r>
        <w:t>8. On December 21, 2020, the date of conclusion of the investigative phase was communicated to the Parties, pursuant to Article 16, paragraph 1, of the Regulation.</w:t>
      </w:r>
    </w:p>
    <w:p>
      <w:r>
        <w:t>9. On January 11, 2021, the opinion of the Authority for Communications Guarantees was requested, pursuant to Article 27, paragraph 6, of the Consumer Code.</w:t>
      </w:r>
    </w:p>
    <w:p>
      <w:r>
        <w:t>2) The evidence acquired</w:t>
      </w:r>
    </w:p>
    <w:p>
      <w:r>
        <w:t>10. From the elements collected during the investigation, it emerged that the professional's sales policy consisted of contacting potential customers by phone - through agents - to offer them a free water analysis consultation at their home, to talk about water and health, and to offer the opportunity to install a drinking water purification system.</w:t>
      </w:r>
    </w:p>
    <w:p>
      <w:r>
        <w:t>11. During the home visit, the agents, after illustrating the risks associated with the presence of nitrates in tap water and emphasizing the qualities that the water would assume as a result of the purification treatment, proposed to consumers the signing of a standard contract, called "order form," for the installation and maintenance of a domestic purification system ("kit"). This form presents the types of systems that the consumer can select (smooth ultrafiltration, smooth microfiltration, smooth frigogassatore microfiltration, smooth osmosis, frigogassatore osmosis), each accompanied by the indication of the monthly installment and the total amount of the expense (see figure below).</w:t>
      </w:r>
    </w:p>
    <w:p>
      <w:r>
        <w:rPr>
          <w:b/>
        </w:rPr>
        <w:t>[Pages 40–42]</w:t>
      </w:r>
    </w:p>
    <w:p>
      <w:r>
        <w:t>42 BULLETIN NO. 11 OF MARCH 15, 2021</w:t>
      </w:r>
    </w:p>
    <w:p>
      <w:r>
        <w:t>12. From the order form, which also contains the General Terms and Conditions of Sale (“GTC”), it emerges that the contract concerns the installation of the kit (system for filtration and purification) along with the provision of a twelve-year maintenance service (one filter per year); that the consumer is granted the right of withdrawal and that, in the event of early termination of the contract, a penalty is imposed on the consumer (equal to 30% of the contractual amount) and the costs of removing the system (€225 + VAT).</w:t>
      </w:r>
    </w:p>
    <w:p>
      <w:r>
        <w:t>13. The GTC also provide that payment “is understood to be in cash” and, in the event that the consumer intends to use a consumer credit institution to obtain the necessary funds, the related expenses are borne by the consumer. The contractual form also contains a pre-printed note stating: “Payment to be agreed with our sales representative.” In some copies acquired during the inspection activity, there are also equivalent handwritten statements: “Payment to be defined with the sales representative” or “Payment via bank or post to be agreed with our representative.”</w:t>
      </w:r>
    </w:p>
    <w:p>
      <w:r>
        <w:t>14. After the installation of the system, during an appointment with the sales representative, scheduled more than 14 days after the signing of the order form, the payment methods for the fee are defined. More specifically, according to the complaints acquired during the inspection activity, Calypso did not recognize the possibility of paying in cash the monthly expense indicated in the contract.</w:t>
      </w:r>
    </w:p>
    <w:p>
      <w:r>
        <w:t>15. In fact, payment was made conditional upon the signing of a specific financing indicated by the professional, the monthly installments of which turned out to be almost triple the base price (“starting from”) provided in the contract; the extinguishment of the payment was also requested within a shorter time frame than that provided in the order form (5 instead of 12 years). Alternatively, consumers who did not wish to avail themselves of the financing proposed by the professional were asked to pay the fee in a single solution.</w:t>
      </w:r>
    </w:p>
    <w:p>
      <w:r>
        <w:t>16. Numerous consumers also complained about the hindrance to exercising the right of withdrawal without costs.</w:t>
      </w:r>
    </w:p>
    <w:p>
      <w:r>
        <w:t>17. The reports from consumers and the complaints acquired during the inspection indicate that many consumers were induced to sign the contract based on misleading and omissive information communicated by the agents, particularly the verbal reassurances provided by the agents regarding the possibility of benefiting from tax deductions, such as those provided by the 2019 renovation bonus. In reality, the law recognizes the tax benefit only in the case of carrying out renovation work, a circumstance that consumers learned only during the 2020 income declaration.</w:t>
      </w:r>
    </w:p>
    <w:p>
      <w:r>
        <w:t>18. Similarly, the agents provided a vague and unclear information regarding the amount of the service fee as they failed to communicate that additional costs, such as those for calling the technician or for replacing the cylinders, were incurred by the consumer.</w:t>
      </w:r>
    </w:p>
    <w:p>
      <w:r>
        <w:t>19. Finally, the professional provided pre-contractual information about the poor quality of tap water, which is also disseminated on the webpage https://www.calypsosrls.it/perche-depurare-lacqua/. Specifically, in the section “What is the quality of drinking water?” it states: “The water we draw daily from our taps meets the potability parameters set by law, but potability is often not synonymous with high quality... the increasing presence of nitrates in the water... has led aqueducts to set the permissible limit at 50 mg per liter, which means that up to a concentration of 50 mg/l of this substance, the water is considered potable. But the World Health Organization suggests a maximum limit of 10 mg/l, especially in the diet for children! That is five times less! This is due to the fact that nitrates within the human body can transform into Nitrites (NO2), which, when encountering other chemical substances (such as amino acids contained in food), react to form Nitrosamines, some of which are universally recognized as carcinogenic substances.”</w:t>
      </w:r>
    </w:p>
    <w:p>
      <w:r>
        <w:t>20. Such statements appear to be in contrast with what is reported on the website of the Ministry of Health, according to which “Italian waters, for more than 85% of underground origin, even when subjected to potabilization treatments, contribute to providing appreciable amounts of certain minerals as a result of natural phenomena of release from rocks and soils in contact with the aquifer, such as calcium, magnesium, fluoride, iron, manganese, zinc, iodine, selenium, sulfur, phosphorus, potassium.” The same WHO, due to the important role of water in providing mineral elements, including calcium and magnesium, has highlighted the need for users of water purification devices to be informed of the reduction in the concentration of essential minerals in treated water. Finally, in the WHO Guidelines for drinking-water quality, the limit of 50 mg/l of nitrates is considered safe even for infants fed with formula.</w:t>
      </w:r>
    </w:p>
    <w:p>
      <w:r>
        <w:t>3) The Professional's Defense Arguments</w:t>
      </w:r>
    </w:p>
    <w:p>
      <w:r>
        <w:t>21. Prior to the opening of the present proceeding, on October 15 and November 6, 2019, the professional, in response to a request for information, contested what was reported by a small number of consumers, stating, without providing any documentation to support his statements, that he had dismissed some agents and canceled five contracts, upon the return of the deposit paid.</w:t>
      </w:r>
    </w:p>
    <w:p>
      <w:r>
        <w:t>22. On November 11, 2020, the professional confirmed that the home visit was aimed at illustrating the purifying potential of the drinking water purification system in order to invite consumers to sign the contract, and that only subsequently was the installation of the kit and the definition of payment methods carried out.</w:t>
      </w:r>
    </w:p>
    <w:p>
      <w:r>
        <w:t>23. The professional also stated that he recognized, from January 1, 2019, to November 11, 2020, 338 withdrawals and limited his activity, from January 1, 2020, to the maintenance of water purification devices only.</w:t>
      </w:r>
    </w:p>
    <w:p>
      <w:r>
        <w:t>IV. OPINION OF THE AUTHORITY FOR GUARANTEES IN COMMUNICATIONS</w:t>
      </w:r>
    </w:p>
    <w:p>
      <w:r>
        <w:t>24. Since the commercial practice subject to this measure was also disseminated via the internet, on January 11, 2021, an opinion was requested from the Authority for Guarantees in Communications, pursuant to Article 27, paragraph 6, of the Consumer Code.</w:t>
      </w:r>
    </w:p>
    <w:p>
      <w:r>
        <w:t>25. In an opinion received on February 2, 2021, the aforementioned Authority supported the realization of the full promotional potential of online communication as the internet is a suitable tool to impact and amplify the unfairness of the commercial practice subject to the proceeding.</w:t>
      </w:r>
    </w:p>
    <w:p>
      <w:r>
        <w:t>V. CONCLUDING EVALUATIONS</w:t>
      </w:r>
    </w:p>
    <w:p>
      <w:r>
        <w:t>26. The practice contested against Calypso S.r.l.s. in the context of this proceeding consists of the promotion, through misleading and aggressive methods, of a filtration and purification kit for drinking water (for domestic use) and the related twelve-year maintenance service, also through the dissemination, on the professional's website, on the page https://www.calypsosrls.it/perche-depurare-lacqua, of information likely to generate excessive alarmism regarding the poor quality of drinking water.</w:t>
      </w:r>
    </w:p>
    <w:p>
      <w:r>
        <w:t>27. In particular, the inducement to sign the contract occurred based on omissive and misleading information both regarding the healthiness of tap water and the related risks to personal safety, as well as in relation to the main characteristics of the offer: the payment methods for the fee, the possibility of reducing the cost incurred through tax deductions, and the actual characteristics of the maintenance service. The same documentation used by the professional, acquired in the records, appears inadequate to clearly and immediately represent the actual sales conditions.</w:t>
      </w:r>
    </w:p>
    <w:p>
      <w:r>
        <w:t>28. From this perspective, therefore, the conduct of the professional in the “hooking” phase of the consumer, through an initial phone contact and at the time of the first home visit, is misleading and omissive pursuant to Articles 21, paragraph 1, letters b) and d), and 22, paragraph 1, of the Consumer Code regarding the main characteristics of the product, the price, the way in which it is calculated, and the existence of a specific tax benefit.</w:t>
      </w:r>
    </w:p>
    <w:p>
      <w:r>
        <w:t>29. The inducement to error was also realized through the information provided on the webpage https://www.calypsosrls.it/perche-depurare-lacqua, which is misleading pursuant to Articles 22 and 23, paragraph 1, letter n), of the Consumer Code as, in that context, the professional fails to mention that the consumption of tap water allows for a significant intake of minerals.</w:t>
      </w:r>
    </w:p>
    <w:p>
      <w:r>
        <w:rPr>
          <w:b/>
        </w:rPr>
        <w:t>[Pages 43–45]</w:t>
      </w:r>
    </w:p>
    <w:p>
      <w:r>
        <w:t>BULLETIN NO. 11 OF MARCH 15, 2021 45</w:t>
      </w:r>
    </w:p>
    <w:p>
      <w:r>
        <w:t>suggesting, rather, a non-existent conflict between the WHO's recommendations and the regulations on the quality of drinking water regarding maximum permissible concentrations of nitrates and potential carcinogenic risks.</w:t>
      </w:r>
    </w:p>
    <w:p>
      <w:r>
        <w:t>30. Furthermore, in numerous contractual situations, Calypso has hindered the exercise of the right of withdrawal: in fact, the sales representative scheduled the appointment to discuss payment methods after 14 days from the conclusion of the contract, when the term for exercising the right of withdrawal had already expired. In this way, the agents of the professional were able to propose to consumers, who were now unable to free themselves from the contractual obligation without costs, payment methods and timings that were different and more burdensome than those indicated in the order form. The conduct of the professional has thus proven to unduly condition the freedom of choice of consumers, in violation of Article 24 of the Consumer Code.</w:t>
      </w:r>
    </w:p>
    <w:p>
      <w:r>
        <w:t>31. In conclusion, the behavior described in point II of this measure appears to constitute an unfair commercial practice in violation of Articles 21, paragraph 1, letters b) and d), 22, paragraph 1, 23, paragraph 1, letter n), and 24 of the Consumer Code, as it is capable of inducing the average consumer to make a commercial decision that they would not have otherwise made and to unduly condition their freedom of choice due to obstacles to the exercise of contractual rights, including the right of withdrawal.</w:t>
      </w:r>
    </w:p>
    <w:p>
      <w:r>
        <w:t>VI. QUANTIFICATION OF THE SANCTION</w:t>
      </w:r>
    </w:p>
    <w:p>
      <w:r>
        <w:t>32. Pursuant to Article 27, paragraph 9, of the Consumer Code, with the measure that prohibits the unfair commercial practice, the Authority orders the application of an administrative monetary penalty from 5,000 to 5,000,000 euros, taking into account the severity and duration of the violation.</w:t>
      </w:r>
    </w:p>
    <w:p>
      <w:r>
        <w:t>33. Regarding the quantification of the sanction, account must be taken, where applicable, of the criteria identified by Article 11 of Law No. 689 of November 24, 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34. With reference to the economic conditions of the professional, the latest balance sheet of Calypso S.r.l.s. indicates that the company achieved revenues, as of December 31, 2019, amounting to €1,588,262 and a profit of over €90,000. However, the accounting documentation produced by the professional relating to the period from January 1 to November 30, 2020, shows revenues of €18,615 and losses of €106,380.</w:t>
      </w:r>
    </w:p>
    <w:p>
      <w:r>
        <w:t>35. Regarding the severity of the violation, the prejudice caused to consumers misled about the relevant characteristics of the service offered and unable to withdraw from the contractual obligation without costs must be considered. The aggressive conduct of the professional has thus resulted in actual economic damage for consumers, as they were forced to endure payment methods and timings different from those identified in the order form, as well as to pay amounts nearly tripled compared to the agreed base price.</w:t>
      </w:r>
    </w:p>
    <w:p>
      <w:r>
        <w:t>36. As for the duration of the violation, the evidence obtained indicates that the commercial practice has been carried out by Calypso S.r.l.s. at least since June 2019 (date of the first evidence collected) and is still ongoing with respect to the dissemination of information on the webpage https://www.calypsosrls.it/perche-depurare-lacqua, as the professional has restricted its business activity since 2020 to the maintenance service of water purification devices.</w:t>
      </w:r>
    </w:p>
    <w:p>
      <w:r>
        <w:t>37. Based on these elements, it is deemed appropriate to determine the amount of the administrative monetary penalty applicable to Calypso S.r.l.s. at €40,000 (forty thousand euros).</w:t>
      </w:r>
    </w:p>
    <w:p>
      <w:r>
        <w:t>38. Furthermore, considering the limitation of the business to the maintenance service and the economic situation in which the professional finds itself, which shows negative economic conditions in 2020 as evidenced by the accounting documentation produced, it is deemed appropriate to reduce the amount of the administrative monetary penalty applicable to Calypso S.r.l.s. to €30,000 (thirty thousand euros).</w:t>
      </w:r>
    </w:p>
    <w:p>
      <w:r>
        <w:t>THEREFORE, based on the above considerations, it is found that the commercial practice in question is aggressive pursuant to Articles 21, paragraph 1, letters b) and d), 22, paragraph 1, 23, paragraph 1, letter n), and 24 of the Consumer Code, as it is capable of inducing the average consumer to make a commercial decision that they would not have otherwise made and to unduly condition their freedom of choice.</w:t>
      </w:r>
    </w:p>
    <w:p>
      <w:r>
        <w:t>RESOLVES</w:t>
      </w:r>
    </w:p>
    <w:p>
      <w:r>
        <w:t>a) that the commercial practice described in point II of this measure, carried out by Calypso S.r.l.s., constitutes, for the reasons and within the limits set out in the reasoning, an unfair commercial practice pursuant to Articles 21, paragraph 1, letters b) and d), 22, paragraph 1, 23, paragraph 1, letter n), and 24 of the Consumer Code, and prohibits its dissemination or continuation;</w:t>
      </w:r>
    </w:p>
    <w:p>
      <w:r>
        <w:t>b) to impose on Calypso S.r.l.s. an administrative monetary penalty of €30,000 (thirty thousand euros).</w:t>
      </w:r>
    </w:p>
    <w:p>
      <w:r>
        <w:t>The imposed administrative penalty must be paid within thirty days from the notification of this measure, using the tax codes indicated in the attached F24 model with identifying elements, pursuant to Legislative Decree No. 241 of July 9, 1997. 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penalty is increased by one-tenth for each semester starting from the day following the expiration of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 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monetary penalty from €10,000 to €5,000,000. In cases of repeated non-compliance, the Authority may order the suspension of business activity for a period not exceeding thirty days.</w:t>
      </w:r>
    </w:p>
    <w:p>
      <w:r>
        <w:t>Against this measure, an appeal may be filed with the TAR for Lazio, pursuant to Article 135, paragraph 1, letter b), of the Administrative Procedure Code (Legislative Decree No. 104 of July 2, 2010), within sixty days from the date of notification of the measure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measure itself.</w:t>
      </w:r>
    </w:p>
    <w:p>
      <w:r>
        <w:t>THE SECRETARY GENERAL THE PRESIDENT</w:t>
      </w:r>
    </w:p>
    <w:p>
      <w:r>
        <w:t>Filippo Arena Roberto Rustichelli</w:t>
      </w:r>
    </w:p>
    <w:p>
      <w:r>
        <w:rPr>
          <w:b/>
        </w:rPr>
        <w:t>[Pages 46–48]</w:t>
      </w:r>
    </w:p>
    <w:p>
      <w:r>
        <w:t>48 BULLETIN NO. 11 OF MARCH 15, 2021</w:t>
      </w:r>
    </w:p>
    <w:p>
      <w:r>
        <w:t>PS11758 - UNIPOLSAI-REFUND OF MONTHLY CAR INSURANCE PREMIUM</w:t>
      </w:r>
    </w:p>
    <w:p>
      <w:r>
        <w:t>Measure No. 28598</w:t>
      </w:r>
    </w:p>
    <w:p>
      <w:r>
        <w:t>THE COMPETITION AND MARKET AUTHORITY</w:t>
      </w:r>
    </w:p>
    <w:p>
      <w:r>
        <w:t>IN ITS MEETING of February 23, 2021;</w:t>
      </w:r>
    </w:p>
    <w:p>
      <w:r>
        <w:t>HEARD the Rapporteur Professor Michele Ainis;</w:t>
      </w:r>
    </w:p>
    <w:p>
      <w:r>
        <w:t>HAVING REGARD TO Part II, Title III of Legislative Decree September 6, 2005, No. 206,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measure of September 30, 2020, with which, pursuant to Article 7, paragraph 3, of the Regulation, the deadline for concluding the procedure was extended in consideration of the needs related to the evaluation of the commitments presented by the Professional;</w:t>
      </w:r>
    </w:p>
    <w:p>
      <w:r>
        <w:t>HAVING REGARD TO its measure of December 1, 2020, with which, pursuant to Article 7, paragraph 3, of the Regulation, a further extension of the deadline for concluding the procedure was ordered in consideration of the need to examine the findings in the records for the purpose of evaluating the cases subject to the procedure;</w:t>
      </w:r>
    </w:p>
    <w:p>
      <w:r>
        <w:t>HAVING REGARD TO the documents of the procedure;</w:t>
      </w:r>
    </w:p>
    <w:p>
      <w:r>
        <w:t>I. THE PARTIES</w:t>
      </w:r>
    </w:p>
    <w:p>
      <w:r>
        <w:t>1. UnipolSai Assicurazioni S.p.A. (hereinafter UnipolSai, the Professional or the Company) as a professional, pursuant to Article 18, letter b), of the Consumer Code. The Company is active in the insurance sector. The consolidated financial statements of the Unipol group, as of December 31, 2019, amounted to 14 billion euros.</w:t>
      </w:r>
    </w:p>
    <w:p>
      <w:r>
        <w:t>2. U.Di.Con.-Unione Difesa Consumatori and Unione Nazionale Consumatori, as reporting associations; Codacons, as an intervening association.</w:t>
      </w:r>
    </w:p>
    <w:p>
      <w:r>
        <w:t>II. THE COMMERCIAL PRACTICES</w:t>
      </w:r>
    </w:p>
    <w:p>
      <w:r>
        <w:t>3. The procedure against UnipolSai concerns two distinct commercial practices consisting of:</w:t>
        <w:br/>
        <w:t>a) promoting, through the advertising messages related to the "#unmeseperte" campaign, the possibility of obtaining the "refund" of one month of car insurance, implying that a partial refund of the insurance premium already paid could be obtained, while it would actually be a discount voucher to be applied to the future premium in case of renewal of the car insurance policy with the same UnipolSai;</w:t>
        <w:br/>
        <w:t>b) having pre-set the fields related to the granting of consent to the processing, also for commercial purposes, of the personal data provided by the customer at the time of joining the aforementioned promotion.</w:t>
      </w:r>
    </w:p>
    <w:p>
      <w:r>
        <w:t>BULLETIN NO. 11 OF MARCH 15, 2021 49</w:t>
      </w:r>
    </w:p>
    <w:p>
      <w:r>
        <w:t>III. THE FINDINGS OF THE PROCEDURE</w:t>
      </w:r>
    </w:p>
    <w:p>
      <w:r>
        <w:t>1) The procedure process</w:t>
      </w:r>
    </w:p>
    <w:p>
      <w:r>
        <w:t>4. In relation to the aforementioned conduct, on May 8, 2020, the investigative procedure PS11758 was initiated against the company UnipolSai for alleged violation of Articles 20, paragraph 2, 21, 24, and 25 of the Consumer Code1.</w:t>
      </w:r>
    </w:p>
    <w:p>
      <w:r>
        <w:t>5. On May 12, 2020, a request for access to the documents was received from the company. Access took place on May 25, 20202.</w:t>
      </w:r>
    </w:p>
    <w:p>
      <w:r>
        <w:t>6. A new request for access to the documents was resubmitted on August 5, 2020, and access took place on September 4, 2020.3</w:t>
      </w:r>
    </w:p>
    <w:p>
      <w:r>
        <w:t>7. On June 1, 20204 UnipolSai responded to the request for information made at the start of the procedure and presented its defensive arguments, subsequently supplemented on July 31, 20205.</w:t>
      </w:r>
    </w:p>
    <w:p>
      <w:r>
        <w:t>8. On June 25, 2020, Codacons submitted a request to participate in the procedure6 which was accepted on July 30, 20207.</w:t>
      </w:r>
    </w:p>
    <w:p>
      <w:r>
        <w:t>9. On June 26, 2020, pursuant to Article 27, paragraph 7, of the Consumer Code, UnipolSai presented commitments aimed at removing the unfairness profiles of the contested conduct and requested a hearing, which took place on July 23, 20208. In the meeting of October 20, 2020, the Authority deemed such commitments only partially suitable to remove the unfairness profiles of the contested practices; in the related communication to the company, made on October 22, 2020, a deadline of 15 days was set to allow the submission of an integration of the commitments9.</w:t>
      </w:r>
    </w:p>
    <w:p>
      <w:r>
        <w:t>10. On November 6, 2020, UnipolSai submitted a new version of the commitment proposal, which took into account the observations made by the Authority in the communication of October 22, 202010.</w:t>
      </w:r>
    </w:p>
    <w:p>
      <w:r>
        <w:t>11. In consideration of the needs related to the evaluation of the commitments presented by the Professional, in the Authority's meeting of September 30, 2020, the deadline for concluding the procedure, already postponed to October 12, 2020, pursuant to Article 103 of Law Decree March 17, 2020, No. 18, and Article 37 of Law Decree April 8, 2020, No. 23, was extended by sixty days, pursuant to Article 7, paragraph 3, of the Regulation; the related communication to the Parties was made on October 1, 202011.</w:t>
      </w:r>
    </w:p>
    <w:p>
      <w:r>
        <w:t>1 See Doc. No. 13</w:t>
        <w:br/>
        <w:t>2 See Doc. Nos. 17 and 19</w:t>
        <w:br/>
        <w:t>3 See Doc. Nos. 34 and 35.</w:t>
        <w:br/>
        <w:t>4 See Doc. No. 20</w:t>
        <w:br/>
        <w:t>5 See Doc. No. 33</w:t>
        <w:br/>
        <w:t>6 See Doc. No. 22</w:t>
        <w:br/>
        <w:t>7 See Doc. No. 29</w:t>
        <w:br/>
        <w:t>8 See Doc. Nos. 24 and 28</w:t>
        <w:br/>
        <w:t>9 See Doc. No. 41</w:t>
        <w:br/>
        <w:t>10 See Doc. No. 42</w:t>
        <w:br/>
        <w:t>11 See Doc. Nos. 37, 38, 39, 40.</w:t>
      </w:r>
    </w:p>
    <w:p>
      <w:r>
        <w:t>50 BULLETIN NO. 11 OF MARCH 15, 2021</w:t>
      </w:r>
    </w:p>
    <w:p>
      <w:r>
        <w:t>12. In consideration of the need to examine the findings in the records for the purpose of evaluating the cases subject to the procedure, in the Authority's meeting of December 1, 2020, the deadline for concluding the procedure, already postponed to December 11, 2020, was further extended by sixty days pursuant to Article 7, paragraph 3, of the Regulation; the related communication to the Parties was made on December 2, 202012.</w:t>
      </w:r>
    </w:p>
    <w:p>
      <w:r>
        <w:t>13. On December 3, 2020, the communication of the conclusion of the investigative phase was transmitted to the Parties13.</w:t>
      </w:r>
    </w:p>
    <w:p>
      <w:r>
        <w:t>14. On December 7, 2020, Codacons made a request for access to the documents which took place on December 9, 202014.</w:t>
      </w:r>
    </w:p>
    <w:p>
      <w:r>
        <w:t>15. On December 18, 2020, a request for an opinion was sent to the Insurance Supervisory Institute - IVASS, pursuant to Article 27, paragraph 1-bis, of the Consumer Code15 and to the Authority for Communications Guarantees (hereinafter also AGCOM), on December 28, 2020, pursuant to Article 27, paragraph 6, of the Consumer Code16. The opinions were received on January 19 and 26, 2021, respectively.</w:t>
      </w:r>
    </w:p>
    <w:p>
      <w:r>
        <w:t>16. On January 13, 2021, the parties were informed of the extension of 15 days pursuant to Article 16, paragraph 5, of the Regulation.</w:t>
      </w:r>
    </w:p>
    <w:p>
      <w:r>
        <w:t>2) The evidence acquired</w:t>
      </w:r>
    </w:p>
    <w:p>
      <w:r>
        <w:t>17. In relation to practice sub a), from the information and documentation acquired during the investigative activity, it emerged that the advertising campaign "#unmeseperte", conducted between April 11, 2020, and April 25, had as its subject the offer of a voucher to be used at the time of renewal of the car insurance policy. In detail, the advertising message disseminated through print media stated, in large characters, the following phrase: "We refund one month of car insurance to our 10 million customers." In smaller characters, the following text was reported: "We had to stop. Everyone. For a month, work, sports, and our everyday life came to a halt. Engines off and cars that are used little or not at all. That’s why UnipolSai has decided to refund you one month of car insurance. A small contribution: because the desire to lend a hand, that, no one can stop." The print advertising message also included, on one side of the image and in very small characters, some conditions of the promotion (written vertically, requiring the page to be rotated to read them). In particular, it was specified that the initiative "is reserved for customers with a car insurance policy in force as of April 10, 2020, who register on the site unmeseperteunipolsai.it and use the benefit through a discount voucher to be used at the renewal of the car insurance policy. Before signing, read the information set published on unipolsai.it."</w:t>
      </w:r>
    </w:p>
    <w:p>
      <w:r>
        <w:rPr>
          <w:b/>
        </w:rPr>
        <w:t>[Pages 49–51]</w:t>
      </w:r>
    </w:p>
    <w:p>
      <w:r>
        <w:t>BULLETIN NO. 11 OF MARCH 15, 2021 51</w:t>
      </w:r>
    </w:p>
    <w:p>
      <w:r>
        <w:t>With reference to the television spot, the images were accompanied by both a voiceover, which communicated the "refund" of one month of RC Auto insurance to UnipolSai customers, without any further specification, and by some texts that appeared on the screen while the images were scrolling. During the spot, the following indication appeared first: "We refund one month of RC Auto insurance to 10 million customers"; subsequently, the clarification appeared: "Through a voucher to be used at the renewal of the policy."</w:t>
      </w:r>
    </w:p>
    <w:p>
      <w:r>
        <w:t>18. The investigative activity highlighted that the vouchers could be requested by holders of RC Auto policies in force as of April 10, 2020, and used for the renewal of the insurance policy until May 31, 2021. For this purpose, no limitations or expirations were provided, nor were there any further conditions or the possession of particular technological devices required for participation in the promotion. UnipolSai has provided, in fact, in addition to the digital procedure for participation, also the channel of territorial agencies and a telephone channel. Regarding the use, it appears that the amount of the voucher is deducted, at the renewal of the policy, from the amount of the premium, which is previously quantified by the professional in accordance with the usual and consolidated criteria for determining the RC Auto rate.</w:t>
      </w:r>
    </w:p>
    <w:p>
      <w:r>
        <w:t>19. UnipolSai broadcast a new TV spot between May 31, 2020, and June 14, 2020, and included information about the commercial initiative in question in the notifications of policy expiration sent via email to all customers, modifying the promotional material. In particular, in the new TV spot, the voiceover also notes that the refund of the monthly premium occurs via voucher, while in the notifications of policy expiration, the text of the email and the banner included therein was modified to clarify the method of refund via voucher.</w:t>
      </w:r>
    </w:p>
    <w:p>
      <w:r>
        <w:t>20. In relation to practice sub b), from the information and documentation acquired during the investigative activity, it emerged that the personal data requested by UnipolSai from its customers for participation in the promotion in question are those necessary for managing the voucher generation procedure. Such data are: the license plate number, the consumer's date of birth, the mobile phone number, and optionally, the email address. On the web page dedicated to participation in the promotional initiative in question, there were four boxes: one for acknowledging the privacy notice (mandatory acceptance) and those for optional acceptance of consent for data processing for commercial purposes, for profiling, and for communications to Unipol group companies. These boxes were not pre-checked. Furthermore, there is a scroll-down mechanism that requires the customer to scroll through the entire text of the privacy notice, which includes processing for commercial purposes, in order to provide all or part of the required consents. It should be noted that UnipolSai decided to remove from the web pages dedicated to the promotion in question, starting from May 30, 2020, the possibility of providing the three optional commercial consents. Therefore, only the (mandatory) consent for the processing of data necessary for the identification of the customer for the issuance of the voucher is required.</w:t>
      </w:r>
    </w:p>
    <w:p>
      <w:r>
        <w:t>52 BULLETIN NO. 11 OF MARCH 15, 2021</w:t>
      </w:r>
    </w:p>
    <w:p>
      <w:r>
        <w:t>3) The commitments presented</w:t>
      </w:r>
    </w:p>
    <w:p>
      <w:r>
        <w:t>21. On June 26, 2020, UnipolSai presented a first version of commitments, which were then supplemented following the Authority's observations of October 20, 2020, on November 6, 2020.</w:t>
      </w:r>
    </w:p>
    <w:p>
      <w:r>
        <w:t xml:space="preserve">22. In particular, the commitments, attached to this measure and constituting an integral part thereof, provide as follows: </w:t>
        <w:br/>
        <w:t xml:space="preserve">Commitment No. 1: UnipolSai commits to extend the duration of the initiative for a period of 12 months, starting from January 1, 2021. Therefore, all holders of RC Auto policies of UnipolSai in force as of April 10, 2020, may request at any time and use once, until December 31, 2021, the voucher at the time of renewal of the RC Auto policy; </w:t>
        <w:br/>
        <w:t xml:space="preserve">Commitment No. 2: UnipolSai commits to further strengthen the measures aimed at informing customers about the initiative, particularly at the time of policy renewal. Thirty days before the expiration of the policy, UnipolSai will send to its insured customers, who, although entitled, have not yet used the voucher in question, a communication that will draw the insured's attention to the possibility of benefiting from the initiative by describing its content and methods of participation. Subsequently, UnipolSai will send to its insured customers, who, although entitled, have not yet used the voucher in question, further communications similar to the previous ones, via email and/or SMS according to the following timings: fifteen days before the expiration of the policy; five days before the expiration of the policy. In the 5 days following the expiration of the policy, UnipolSai will send to its insured customers, who are entitled to benefit from the initiative but have not yet renewed the policy, a notice via email or SMS, reminding them of the possibility to request and use the voucher at the time of renewal of the policy. At least 30 days before the expiration of the policy, UnipolSai will send to its insured customers who, although entitled, have not yet used the voucher, an SMS containing a link through which it will be possible to view a video illustrating the content of the initiative and the methods to benefit from it. The company will send a circular to its network of agents regarding the extension of the duration of the initiative, inviting them to remind insured customers of the initiative at the time of policy renewal and to assist them in requesting and activating the voucher. UnipolSai commits to make the voucher available to all those entitled within their reserved area on the website and their App to allow them to benefit from the voucher directly at the time of renewal through these channels. </w:t>
        <w:br/>
        <w:t xml:space="preserve">Commitment No. 3: The company, during future promotional campaigns of the initiative, commits to make it even clearer that the refund of one month of premium occurs with a voucher to be used at the renewal of the RC Auto policy. </w:t>
        <w:br/>
        <w:t>Commitment No. 4: UnipolSai commits to maintain, for the entire duration of the initiative, the elimination, already implemented, from the dedicated website, of requests for consent to the processing of personal data for commercial purposes. Until December 31, 2021, UnipolSai will not include on the website the possibility of providing the three optional commercial consents; it will make visible through a window, which opens automatically during the process to participate in the initiative, the text of the privacy notice that concerns exclusively the processing of data necessary for the issuance of the voucher; it will maintain unchanged the requirement for complete scroll-down of the text of the notice, only after which a "close" button is activated, clicking which takes the user to the homepage of the site with confirmation of acknowledgment of the notice.</w:t>
      </w:r>
    </w:p>
    <w:p>
      <w:r>
        <w:t>BULLETIN NO. 11 OF MARCH 15, 2021 53</w:t>
      </w:r>
    </w:p>
    <w:p>
      <w:r>
        <w:t>Commitment No. 5: UnipolSai commits to send to all customers who, during a request for a voucher sent between April 11, 2020, and May 29, 2020 (the date of the elimination of the possibility of providing consents), provided all three privacy consents and who, according to Unipol's database, have not previously revoked them in whole or in part, an individual communication reminding them that they have provided the aforementioned privacy consents and that they can freely and at any time revoke such consents in their personal area of the UnipolSai website, including in the communication the link to access it.</w:t>
      </w:r>
    </w:p>
    <w:p>
      <w:r>
        <w:t>23. The commitments will come into effect from the date of notification of this measure and will remain in force for the entire duration of the initiative, that is, until December 31, 2021. Commitments 1, 2, 3, and 4 have already been implemented. Commitment 5 will be implemented within 60 days from the date of notification of the measure.</w:t>
      </w:r>
    </w:p>
    <w:p>
      <w:r>
        <w:t>IV. OPINION OF THE INSURANCE SUPERVISORY AUTHORITY</w:t>
      </w:r>
    </w:p>
    <w:p>
      <w:r>
        <w:t>24. Since the commercial practices subject to this proceeding concern the insurance sector, on December 18, 2020, the opinion was requested from the Insurance Supervisory Authority, pursuant to and for the effects of Article 27, paragraph 1-bis, of the Consumer Code.</w:t>
      </w:r>
    </w:p>
    <w:p>
      <w:r>
        <w:t>25. In the opinion received on January 19, 2021, IVASS specified that it had no observations to make regarding the commitments proposed by UnipolSai.</w:t>
      </w:r>
    </w:p>
    <w:p>
      <w:r>
        <w:t>V. OPINION OF THE AUTHORITY FOR COMMUNICATIONS GUARANTEES</w:t>
      </w:r>
    </w:p>
    <w:p>
      <w:r>
        <w:t>26. Since the commercial practices subject to this proceeding have been disseminated through newspapers and television channels, on December 28, 2020, the opinion was requested from the Authority for Communications Guarantees, pursuant to and for the effects of Article 27, paragraph 6, of the Consumer Code.</w:t>
      </w:r>
    </w:p>
    <w:p>
      <w:r>
        <w:t>27. In the opinion received on January 26, 2021, the aforementioned Authority, after specifying that it limited its evaluations to the suitability of the specific means of communication for disseminating the commercial practices, considered that in this case the means used, such as print, television, and the internet, represent suitable tools to significantly influence the realization of the commercial practices.</w:t>
      </w:r>
    </w:p>
    <w:p>
      <w:r>
        <w:t>VI. CONCLUDING EVALUATIONS</w:t>
      </w:r>
    </w:p>
    <w:p>
      <w:r>
        <w:t>28. The Authority believes that the measures presented eliminate the profiles of illegitimacy contested with the communication of the initiation of the proceeding. In particular, the provision, for each of the possible channels for renewing the policy with UnipolSai (web, agencies, call center), of mechanisms and/or procedures (in addition to the ordinary email notification of the policy expiration) capable of notifying each customer, at various times and up to the renewal of their policy, of the presence of the commercial initiative in question is suitable to overcome the alleged criticalities of conduct sub a). In fact, articulated methods are provided, in terms of timing and tools used for customer information, to inform insured customers who, although entitled, have not yet requested and used the voucher. In addition, the extension to December 31, 2021, of the period during which the voucher can be requested and used is added.</w:t>
      </w:r>
    </w:p>
    <w:p>
      <w:r>
        <w:rPr>
          <w:b/>
        </w:rPr>
        <w:t>[Pages 52–54]</w:t>
      </w:r>
    </w:p>
    <w:p>
      <w:r>
        <w:t>54 BULLETIN NO. 11 OF MARCH 15, 2021</w:t>
      </w:r>
    </w:p>
    <w:p>
      <w:r>
        <w:t>29. In relation to the suitability of the commitments made concerning the conduct referred to in b), it is highlighted that the elimination of consent for the processing of personal data for commercial purposes, already implemented since May 30, 2020, is a measure that fundamentally resolves the issue raised. In this regard, the automatic opening of a window containing information on the processing of data strictly necessary for the initiative will continue to be provided at the moment when the customer must check the box confirming that they have read the information. Furthermore, the sending of an email communication aimed at reminding participants in the initiative who have given consent for commercial purposes of the possibility to revoke it will allow for certainty regarding the provision of such consents and the possibility of revoking them.</w:t>
      </w:r>
    </w:p>
    <w:p>
      <w:r>
        <w:t>30. The commitments presented, therefore, ensure that all customers, including those who have already renewed the RC Auto policy before the implementation of the same and without using the voucher, are aware of the initiative and thus can benefit from it.</w:t>
      </w:r>
    </w:p>
    <w:p>
      <w:r>
        <w:t>CONSIDERING, therefore, that the commitments presented by the company UnipolSai Assicurazioni S.p.A., in the terms outlined above, are suitable to eliminate any possible profiles of unfairness in the commercial practices under investigation;</w:t>
      </w:r>
    </w:p>
    <w:p>
      <w:r>
        <w:t>CONSIDERING it appropriate to make the aforementioned commitments mandatory for the company UnipolSai Assicurazioni S.p.A.;</w:t>
      </w:r>
    </w:p>
    <w:p>
      <w:r>
        <w:t>CONSIDERING, therefore, that it is possible to close the proceedings without establishing the infringement;</w:t>
      </w:r>
    </w:p>
    <w:p>
      <w:r>
        <w:t>RESOLVES</w:t>
      </w:r>
    </w:p>
    <w:p>
      <w:r>
        <w:t>a) to make mandatory, for the company UnipolSai Assicurazioni S.p.A., pursuant to Article 27, paragraph 7, of the Consumer Code and Article 9, paragraph 2, letter a), of the Regulation, the commitments proposed by the company definitively on November 6, 2020, as described in the form attached to the measure;</w:t>
      </w:r>
    </w:p>
    <w:p>
      <w:r>
        <w:t>b) to close the proceedings without establishing the infringement, pursuant to Article 27, paragraph 7, of the Consumer Code and Article 9, paragraph 2, letter a), of the Regulation;</w:t>
      </w:r>
    </w:p>
    <w:p>
      <w:r>
        <w:t>c) that the company UnipolSai Assicurazioni S.p.A., within sixty days from the date of notification of this resolution, informs the Authority of the implementation of the commitments.</w:t>
      </w:r>
    </w:p>
    <w:p>
      <w:r>
        <w:t>Pursuant to Article 9, paragraph 3, of the Regulation, the proceedings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imposes an administrative monetary penalty from 10,000 to 5,000,000 euros. In cases of repeated non-compliance, the Authority may order the suspension of business activity for a period not exceeding thirty days.</w:t>
      </w:r>
    </w:p>
    <w:p>
      <w:r>
        <w:t>This measure will be notified to the interested party and published in the Bulletin of the Competition and Market Authority.</w:t>
      </w:r>
    </w:p>
    <w:p>
      <w:r>
        <w:t>THE SECRETARY GENERAL for THE PRESIDENT</w:t>
      </w:r>
    </w:p>
    <w:p>
      <w:r>
        <w:t>Filippo Arena the Senior Member</w:t>
      </w:r>
    </w:p>
    <w:p>
      <w:r>
        <w:t>Gabriella Muscolo</w:t>
      </w:r>
    </w:p>
    <w:p>
      <w:r>
        <w:t>Competition and Market Authority Weekly Bulletin</w:t>
      </w:r>
    </w:p>
    <w:p>
      <w:r>
        <w:t>Year XXXI - No. 11 - 2021</w:t>
      </w:r>
    </w:p>
    <w:p>
      <w:r>
        <w:t>Editorial Coordination Giulia Antenucci</w:t>
      </w:r>
    </w:p>
    <w:p>
      <w:r>
        <w:t>Editorial Team Valerio Ruocco, Simonetta Schettini, Manuela Villani</w:t>
      </w:r>
    </w:p>
    <w:p>
      <w:r>
        <w:t>Competition and Market Authority</w:t>
      </w:r>
    </w:p>
    <w:p>
      <w:r>
        <w:t>Statistics and IT Applications Office</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