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https://www.agcm.it/dotcmsdoc/bollettini/2024/11-24.pdf</w:t>
      </w:r>
    </w:p>
    <w:p>
      <w:r>
        <w:t>Pages translated : 180</w:t>
      </w:r>
    </w:p>
    <w:p/>
    <w:p>
      <w:r>
        <w:rPr>
          <w:b/>
        </w:rPr>
        <w:t>[Pages 1–3]</w:t>
      </w:r>
    </w:p>
    <w:p>
      <w:r>
        <w:t>Bulletin</w:t>
        <w:br/>
        <w:t>Weekly</w:t>
        <w:br/>
        <w:t>Year XXXIV - No. 11</w:t>
        <w:br/>
        <w:t>Published on the website www.agcm.it</w:t>
        <w:br/>
        <w:t>March 18, 2024</w:t>
      </w:r>
    </w:p>
    <w:p>
      <w:r>
        <w:t>SUMMARY</w:t>
        <w:br/>
        <w:t>AGREEMENTS AND ABUSE OF DOMINANT POSITION 5</w:t>
        <w:br/>
        <w:t>I867 - INCREASES IN THE PRICES OF HOLLOW GLASS</w:t>
        <w:br/>
        <w:t>Decision No. 31108 5</w:t>
        <w:br/>
        <w:t>CONCENTRATION OPERATIONS 6</w:t>
        <w:br/>
        <w:t>C12604 - CVC CAPITAL PARTNERS SICAV-FIS/LA PIADINERIA GROUP</w:t>
        <w:br/>
        <w:t>Decision No. 31095 6</w:t>
        <w:br/>
        <w:t>C12606 - ENILIVE/BRANCHES OF SIRTAM-NEW GREEN FUEL</w:t>
        <w:br/>
        <w:t>Decision No. 31096 10</w:t>
        <w:br/>
        <w:t>C12608 - SAGE/DEL CURTO</w:t>
        <w:br/>
        <w:t>Decision No. 31097 14</w:t>
        <w:br/>
        <w:t>C12609 - SAGE/MORANDI-BORTOT</w:t>
        <w:br/>
        <w:t>Decision No. 31098 23</w:t>
        <w:br/>
        <w:t>C12610 - SAGE/RE SERGIO RECYCLING</w:t>
        <w:br/>
        <w:t>Decision No. 31099 32</w:t>
        <w:br/>
        <w:t>ACTIVITIES OF REPORTING AND CONSULTATION 40</w:t>
        <w:br/>
        <w:t>AS1951 - EVALUATION OF PROPORTIONALITY OF THE PROFESSION OF LIFEGUARDS 40</w:t>
        <w:br/>
        <w:t>AS1952 – ATO 2 PIEMONTE - SPL SURVEY 2023 42</w:t>
        <w:br/>
        <w:t>AS1953 – GOVERNING BODY OF THE SARDINIA AREA - SPL SURVEY 2023 45</w:t>
        <w:br/>
        <w:t>AS1954 – ATO OF THE PROVINCE OF VARESE - SPL SURVEY 2023 48</w:t>
        <w:br/>
        <w:t>AS1955 – ERSI ABRUZZO - SPL SURVEY 2023 50</w:t>
        <w:br/>
        <w:t>AS1956 - MUNICIPALITY OF PAVIA - SPL SURVEY 2023 53</w:t>
        <w:br/>
        <w:t>AS1957 – AGCOM/COORDINATED ANALYSIS OF THE MARKETS OF FIXED NETWORK ACCESS SERVICES 56</w:t>
        <w:br/>
        <w:t>UNFAIR TRADE PRACTICES 62</w:t>
        <w:br/>
        <w:t>IP367 – MULPOR-INTERNATIONAL FAIRS DIRECTORY</w:t>
        <w:br/>
        <w:t>Notice of adoption of the initiation of proceedings 62</w:t>
        <w:br/>
        <w:t>IP367 - MULPOR-INTERNATIONAL FAIRS DIRECTORY</w:t>
        <w:br/>
        <w:t>Decision No. 30995 63</w:t>
        <w:br/>
        <w:t>PS12543 - TIKTOK FRENCH SCAR</w:t>
        <w:br/>
        <w:t>Decision No. 31124 67</w:t>
        <w:br/>
        <w:t>UNFAIR CLAUSES 100</w:t>
        <w:br/>
        <w:t>CV235 - TOSCANO MORTGAGES - EXCLUSIVITY CLAUSES</w:t>
        <w:br/>
        <w:t>Decision No. 31100 100</w:t>
        <w:br/>
        <w:t>CV236 - 24MAX - EXCLUSIVITY CLAUSES</w:t>
        <w:br/>
        <w:t>Decision No. 31101 124</w:t>
        <w:br/>
        <w:t>CV237 - LINK SOLUTIONS - EXCLUSIVITY CLAUSES</w:t>
        <w:br/>
        <w:t>Decision No. 31102 140</w:t>
        <w:br/>
        <w:t>CV238 – MONETY - EXCLUSIVITY CLAUSES</w:t>
        <w:br/>
        <w:t>Decision No. 31103 158</w:t>
        <w:br/>
        <w:t>MISCELLANEOUS 180</w:t>
        <w:br/>
        <w:t>CONTRIBUTION TO THE BURDEN ARISING FROM THE OPERATION OF THE ANTITRUST AUTHORITY FOR THE YEAR 2024</w:t>
        <w:br/>
        <w:t>Decision No. 31092 180</w:t>
      </w:r>
    </w:p>
    <w:p>
      <w:r>
        <w:t>BULLETIN NO. 11 OF MARCH 18, 2024 5</w:t>
        <w:br/>
        <w:t>AGREEMENTS AND ABUSE OF DOMINANT POSITION</w:t>
        <w:br/>
        <w:t>I867 - INCREASES IN THE PRICES OF HOLLOW GLASS</w:t>
        <w:br/>
        <w:t>Decision No. 31108</w:t>
        <w:br/>
        <w:t>THE ANTITRUST AUTHORITY</w:t>
        <w:br/>
        <w:t>IN ITS MEETING of February 27, 2024;</w:t>
        <w:br/>
        <w:t>HEARD the Rapporteur, Professor Elisabetta Iossa;</w:t>
        <w:br/>
        <w:t>HAVING REGARD to Article 101 of the Treaty on the Functioning of the European Union (TFEU);</w:t>
        <w:br/>
        <w:t>HAVING REGARD to Council Regulation No. 1/2003 of December 16, 2002;</w:t>
        <w:br/>
        <w:t>HAVING REGARD to Law No. 287 of October 10, 1990 and subsequent amendments;</w:t>
        <w:br/>
        <w:t>HAVING REGARD to Presidential Decree No. 217 of April 30, 1998;</w:t>
        <w:br/>
        <w:t>HAVING REGARD to its decision of October 31, 2023, No. 30847, which initiated an investigation, pursuant to Article 14 of Law No. 287/1990, against the companies Berlin Packaging Italy S.p.A., Bormioli Luigi S.p.A., O-I Italy S.p.A., Verallia Italia S.p.A., Vetreria Cooperativa Piegarese Società Cooperativa, Vetreria Etrusca S.p.A., Vetri Speciali S.p.A., Vetropack Italia S.r.l. and Zignago Vetro S.p.A., to ascertain the existence of violations of Article 101, paragraph 1, TFEU;</w:t>
        <w:br/>
        <w:t>HAVING REGARD to the documents of the proceedings;</w:t>
        <w:br/>
        <w:t>CONSIDERING it necessary to replace the person responsible for the proceedings due to unforeseen organizational needs:</w:t>
        <w:br/>
        <w:t>RESOLVES</w:t>
        <w:br/>
        <w:t>to replace Dr. Giulia Cipolla with Dr. Giuseppe Stuppia as the person responsible for the proceedings.</w:t>
        <w:br/>
        <w:t>This decision will be notified to the interested parties and published in the Bulletin of the Antitrust Authority.</w:t>
        <w:br/>
        <w:t>THE SECRETARY GENERAL THE PRESIDENT</w:t>
        <w:br/>
        <w:t>Guido Stazi Roberto Rustichelli</w:t>
      </w:r>
    </w:p>
    <w:p>
      <w:r>
        <w:rPr>
          <w:b/>
        </w:rPr>
        <w:t>[Pages 4–6]</w:t>
      </w:r>
    </w:p>
    <w:p>
      <w:r>
        <w:t>6 BULLETIN NO. 11 OF MARCH 18, 2024</w:t>
        <w:br/>
        <w:t>CONCENTRATION OPERATIONS</w:t>
        <w:br/>
        <w:t>C12604 - CVC CAPITAL PARTNERS SICAV-FIS/GRUPPO LA PIADINERIA</w:t>
        <w:br/>
        <w:t>Decision No. 31095</w:t>
        <w:br/>
        <w:t>THE ANTITRUST AUTHORITY</w:t>
        <w:br/>
        <w:t>IN ITS MEETING of February 27, 2024;</w:t>
        <w:br/>
        <w:t>HEARD the Rapporteur Professor Elisabetta Iossa;</w:t>
        <w:br/>
        <w:t>HAVING REGARD TO Regulation (EC) No. 139/2004;</w:t>
        <w:br/>
        <w:t>HAVING REGARD TO Law No. 287 of October 10, 1990;</w:t>
        <w:br/>
        <w:t>HAVING REGARD TO Presidential Decree No. 217 of April 30, 1998;</w:t>
        <w:br/>
        <w:t>HAVING REGARD TO the communication from CVC Capital Partners SICAV-FIS S.A., received on January 30, 2024;</w:t>
        <w:br/>
        <w:t>CONSIDERING the following:</w:t>
        <w:br/>
        <w:t>I. THE PARTIES</w:t>
        <w:br/>
        <w:t>1. CVC Capital Partners SICAV-FIS S.A. (hereinafter CVC) is a company under Luxembourg law classified as a specialized investment fund that, together with CVC Capital Partners Advisory Group Holding Foundation and the companies controlled by both, is part of the CVC Network, active in private equity and investment consulting; it offers, in particular, consultancy and investment management services on behalf of platforms and investment funds of the group (the CVC Funds). The CVC Funds, including the one involved in this operation (CVC Capital Partners Fund VIII), hold global stakes in companies active in various sectors (chemical, manufacturing, services, retail, etc.).</w:t>
        <w:br/>
        <w:t>The total revenue achieved in 2022 by the companies in the portfolio of the CVC Funds was estimated at [60-70]* billion euros, of which [20-30] billion euros and [1-2] billion euros were generated from sales made respectively in the European Union and in Italy.</w:t>
        <w:br/>
        <w:t>2. Gruppo La Piadineria S.p.A. (hereinafter La Piadineria) is a company under Italian law at the head of a group of companies engaged in the creation, promotion, development, setup, and management (direct and indirect, including franchising) of commercial establishments for the public provision of food and beverages1.</w:t>
        <w:br/>
        <w:t>* In this version, some data are omitted, as elements of confidentiality or secrecy of the information were deemed to exist.</w:t>
        <w:br/>
        <w:t>1 In detail, La Piadineria - active in the wholesale marketing of food and non-food products related to the production and sale of piadine - wholly controls Gruppo Negozi S.r.l. and GN France S.a.s.u., active, respectively, in Italy and France, in the management of establishments for the public provision of food (particularly piadine) and beverages under the brand 'La Piadineria', while another wholly-owned company (1994 Immobiliare S.r.l.) mainly deals with the setup, promotion, and development of such establishments.</w:t>
      </w:r>
    </w:p>
    <w:p>
      <w:r>
        <w:t>BULLETIN NO. 11 OF MARCH 18, 2024 7</w:t>
        <w:br/>
        <w:t>The entire share capital of La Piadineria is held by Demetra 2 S.p.A., whose control is in turn attributable to Permira Holdings Limited.</w:t>
        <w:br/>
        <w:t>During 2022, La Piadineria generated, almost entirely in Italy, total revenue of [100-532] million euros.</w:t>
        <w:br/>
        <w:t>II. DESCRIPTION OF THE OPERATION</w:t>
        <w:br/>
        <w:t>3. The communication under examination concerns the acquisition by CVC of exclusive control of La Piadineria, through the purchase of the entire share capital of Demetra 2 S.p.A. via the vehicle company Pergolesi BidCo S.r.l. The implementation of the concentration involves, among other things, the transfer of commercial goodwill and know-how to the buyer.</w:t>
        <w:br/>
        <w:t>4. The operation also includes certain non-compete and non-solicitation clauses concerning an individual, a minority shareholder of Demetra 2 S.p.A. In particular, this individual commits, for a period of three years and limited to the territories of Italy and France, not to engage in activities in competition with La Piadineria, not to make investments (except of a financial nature) in competing companies, and not to solicit the management of La Piadineria.</w:t>
        <w:br/>
        <w:t>III. QUALIFICATION OF THE OPERATION</w:t>
        <w:br/>
        <w:t>5. The communicated operation, as it involves the acquisition of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provided for by article 16, paragraph 1, of the same law, as the total revenue achieved, in the last financial year at the national level, by all the companies involved was over 532 million euros and the total revenue achieved, in the last financial year at the national level, individually by at least two of the companies involved was over 32 million euros.</w:t>
        <w:br/>
        <w:t>6. The non-compete and non-solicitation agreements described above can be qualified as ancillary to the communicated concentration to the extent that they contain restrictions directly related to the implementation of the operation and necessary for it2. In particular, in this case, the commitments made by a seller benefit the buyer and respond to the need to ensure the transfer of the actual value of the acquisition to the latter. However, in order not to exceed the limits of what is reasonably required for this purpose, it is necessary that the geographical scope does not exceed the current operational territory of the acquired company and its subsidiaries.</w:t>
        <w:br/>
        <w:t>IV. ASSESSMENT OF THE CONCENTRATION</w:t>
        <w:br/>
        <w:t>Product and geographical markets</w:t>
        <w:br/>
        <w:t>7. From a product perspective, the sector concerned by the operation under examination is that in which the company La Piadineria operates, namely the public provision of food and beverages (commercial catering).</w:t>
        <w:br/>
        <w:t>2 See, in this regard, the Commission Communication on restrictions directly related and necessary to concentrations (O.J. EU 2005/C-56/03 of March 5, 2005).</w:t>
      </w:r>
    </w:p>
    <w:p>
      <w:r>
        <w:t>8 BULLETIN NO. 11 OF MARCH 18, 2024</w:t>
        <w:br/>
        <w:t>8. According to the Authority's precedents3, commercial catering indeed consists of the activity of providing food and beverages to the public and includes various types of commercial establishments: from a simple bar, capable of serving only drinks and sweets, to establishments - such as those of La Piadineria - capable of also offering fast food service (snack bars, fast food, pizza by the slice, self-service, take-away, etc.), up to more traditional restaurants with table service. The commercial catering sector is generally characterized by a high fragmentation of supply and a wide variety of organizational solutions, made possible, among other things, by a large presence of family-owned businesses.</w:t>
        <w:br/>
        <w:t>In any case, given the lack of overlaps between the activities of the Parties, in this case, it does not seem necessary to arrive at a precise product market definition, particularly establishing whether bars and establishments dedicated to fast food service identify a distinct area compared to traditional catering, or whether - as claimed by the Parties - both are part of the broader area of commercial catering.</w:t>
        <w:br/>
        <w:t>9. From a geographical relevance perspective, considering consumer purchasing behaviors and, in particular, the importance they attribute to the proximity of dining points, the relevant geographical scope has a local dimension, typically provincial.</w:t>
        <w:br/>
        <w:t>Also in this case, for the same aforementioned reasons, no further investigations regarding the geographical dimension of the market are necessary.</w:t>
        <w:br/>
        <w:t>Effects of the operation</w:t>
        <w:br/>
        <w:t>10. As mentioned, none of the companies in the portfolio of the CVC funds operates in the same area of activity as La Piadineria nor in upstream or downstream sectors; in each of the local territories where La Piadineria's sales points are present, therefore, the operation under examination will effectively result in the replacement of one operator with another, without substantial competitive effects.</w:t>
        <w:br/>
        <w:t>11. The above occurs in a context where, considering the broader national context, La Piadineria is attributed an estimated market share of less than 1% and various chains specialized in fast food are present (among the main ones McDonald's, Burger King, RoadHouse, and Old Wild West).</w:t>
        <w:br/>
        <w:t>12. In light of the considerations above, therefore, the concentration under examination does not appear to significantly impede effective competition in the relevant markets and does not lead to the establishment or strengthening of a dominant position.</w:t>
        <w:br/>
        <w:t>CONSIDERING, therefore, that the operation under examination does not significantly impede effective competition in the relevant markets pursuant to article 6, paragraph 1, of Law No. 287/1990 and does not lead to the establishment or strengthening of a dominant position;</w:t>
        <w:br/>
        <w:t>CONSIDERING, furthermore, that the non-compete and non-solicitation clauses agreed upon are ancillary to this operation only to the limits specified above, and that the Authority reserves the right to assess, where the conditions exist, such clauses to the extent that they are realized beyond the geographical scope indicated therein.</w:t>
        <w:br/>
        <w:t>3 See, lastly, C12492 - FOOD EXPERIENCE INVESTMENTS/EATALY in Bulletin No. 40/2022.</w:t>
      </w:r>
    </w:p>
    <w:p>
      <w:r>
        <w:rPr>
          <w:b/>
        </w:rPr>
        <w:t>[Pages 7–9]</w:t>
      </w:r>
    </w:p>
    <w:p>
      <w:r>
        <w:t>BULLETIN NO. 11 OF MARCH 18, 2024 9</w:t>
        <w:br/>
        <w:t>RESOLUTION</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Antitrust Authority.</w:t>
      </w:r>
    </w:p>
    <w:p>
      <w:r>
        <w:t>THE SECRETARY GENERAL THE PRESIDENT</w:t>
        <w:br/>
        <w:t>Guido Stazi Roberto Rustichelli</w:t>
      </w:r>
    </w:p>
    <w:p>
      <w:r>
        <w:t>10 BULLETIN NO. 11 OF MARCH 18, 2024</w:t>
        <w:br/>
        <w:t>C12606 - ENILIVE/BRANCHES OF SIRTAM-NEW GREEN FUEL</w:t>
        <w:br/>
        <w:t>Provision no. 31096</w:t>
        <w:br/>
        <w:t>THE ANTITRUST AUTHORITY</w:t>
        <w:br/>
        <w:t>IN ITS MEETING of February 27, 2024;</w:t>
        <w:br/>
        <w:t>HEARD the Rapporteur Saverio Valentino;</w:t>
        <w:br/>
        <w:t>HAVING REGARD TO Regulation (EC) No. 139/2004;</w:t>
        <w:br/>
        <w:t>HAVING REGARD TO law of October 10, 1990, no. 287;</w:t>
        <w:br/>
        <w:t>HAVING REGARD TO the Presidential Decree of April 30, 1998, no. 217;</w:t>
        <w:br/>
        <w:t>HAVING REGARD TO the communication from Enilive S.p.A., received on January 31, 2024;</w:t>
        <w:br/>
        <w:t>HAVING REGARD TO the documentation on file;</w:t>
        <w:br/>
        <w:t>CONSIDERED the following:</w:t>
        <w:br/>
        <w:t>I. THE PARTIES</w:t>
        <w:br/>
        <w:t>1. Enilive S.p.A. (“Enilive”) is a single-member company subject to the direction and coordination of Eni S.p.A. (“Eni”), a listed company (whose share capital is currently held 26.369% by Cassa Depositi e Prestiti S.p.A., 3.934% by the Ministry of Economy and Finance, and the remainder is floating) at the head of the eponymous industrial group (“Eni Group”), historically active globally in the Oil &amp; Gas, chemical, and energy sectors, as well as, recently, in the transition process towards alternative energy solutions (including the use of renewable sources and innovative circular economy projects).</w:t>
        <w:br/>
        <w:t>Regarding the present Operation, Eni manages a network of fuel distribution plants across the national territory consisting of owned, leased, or concessioned plants. In addition to these plants, there are service stations whose owners have entered into a contract with Eni. The Eni group achieved a global turnover of approximately 143.3 billion euros in 2022, of which approximately [60-70]* was generated in Italy.</w:t>
        <w:br/>
        <w:t>2. Sirtam S.p.A. (“Sirtam”) is a company active in the wholesale and retail distribution of fuels, also through the controlled company New Green Fuel S.r.l. (“New Green Fuel”). The branch of business subject to transfer, consisting of a total of 24 service stations located mainly in Tuscany and Piedmont, generated a turnover of approximately [32-100] million euros in 2022.</w:t>
        <w:br/>
        <w:t>II. DESCRIPTION OF THE OPERATION</w:t>
        <w:br/>
        <w:t>3. The communication under examination concerns the acquisition of exclusive control by Enilive (and thus by Eni) of the branches of business consisting, in total, of 24 fuel service stations - 21 of which are located in Tuscany and 3 in Piedmont - from Sirtam and New Green Fuel, through sales contracts (for 9 plants) and ten-year lease agreements (for the remaining 15 plants).</w:t>
        <w:br/>
        <w:t>III. QUALIFICATION OF THE OPERATION</w:t>
        <w:br/>
        <w:t>4. The communicated Operation constitutes a concentration pursuant to article 5, paragraph 1, letter b), of law no. 287/1990, as it involves the acquisition of control of parts of enterprises. It falls within the scope of application of law no. 287/1990, as the conditions of article 1 of Regulation (EC) No. 139/2004 do not apply, and it is subject to the obligation of prior notification provided for by article 16, paragraph 1, of the same law as the total turnover achieved, in the last financial year at the national level, by the group of interested companies exceeded 532 million euros and the total turnover achieved individually, in the last financial year at the national level, by at least two of the interested companies exceeded 32 million euros.</w:t>
        <w:br/>
        <w:t>IV. EVALUATION OF THE CONCENTRATION</w:t>
        <w:br/>
        <w:t>Relevant markets and effects of the operation</w:t>
        <w:br/>
        <w:t>5. Due to the activities carried out by the acquired company, the Operation involves overlaps in the retail distribution of fuels for motor vehicles on ordinary road networks.</w:t>
        <w:br/>
        <w:t>6. Based on the Authority's precedents1, in the markets for the distribution of fuels for motor vehicles on networks, no distinctions are made, in terms of products, between the types of fuel distributed. Regarding the geographical dimension, it is local in nature and, in particular, corresponds to the catchment areas (hereinafter also “c.a.”) traceable around each plant, using a radius equal, in the case of ordinary road networks, to a travel time of 15 minutes2.</w:t>
        <w:br/>
        <w:t>7. In this case, the position of the Parties can therefore be assessed in the c.a. traceable around the 24 plants subject to acquisition by the Eni group.</w:t>
        <w:br/>
        <w:t>8. Below are the market shares, calculated based on the estimates of the Parties, in terms of output (see infra Table 1) which are around 30% and only in 6 cases are values above or close to 30%.</w:t>
        <w:br/>
        <w:t>1 See inter alia C12535 – IP Italiana Petroli/Esso italiana, provision no. 30745 of August 1, 2023, in Bulletin 30/2023.</w:t>
        <w:br/>
        <w:t>2 See above, C12535.</w:t>
      </w:r>
    </w:p>
    <w:p>
      <w:r>
        <w:rPr>
          <w:b/>
        </w:rPr>
        <w:t>[Pages 10–12]</w:t>
      </w:r>
    </w:p>
    <w:p>
      <w:r>
        <w:t>12 BULLETIN NO. 11 OF MARCH 18, 2024</w:t>
        <w:br/>
        <w:t>Table 1 - Market shares in the catchment areas in terms of estimated volumes</w:t>
        <w:br/>
        <w:t>Catchment area ENI Share Target Share Joint Share</w:t>
        <w:br/>
        <w:t>Calenzano (FI) [5-10%] [1-5%] [5-10%]</w:t>
        <w:br/>
        <w:t>Campi Bisenzio (FI) [15-20%] [1-5%] [15-20%]</w:t>
        <w:br/>
        <w:t>Cascina (PI) [20-25%] [5-10%] [30-35%]</w:t>
        <w:br/>
        <w:t>Castelfiorentino (FI) [15-20%] [10-15%] [30-35%]</w:t>
        <w:br/>
        <w:t>Fucecchio (FI) [20-25%] [1-5%] [25-30%]</w:t>
        <w:br/>
        <w:t>Lucca (LU) [15-20%] [1-5%] [20-25%]</w:t>
        <w:br/>
        <w:t>Massarosa (LU) [30-35%] [1-5%] [35-40%]</w:t>
        <w:br/>
        <w:t>Monsummano Terme (PT) [20-25%] [1-5%] [20-25%]</w:t>
        <w:br/>
        <w:t>Montale (PT) [10-15%] [1-5%] [15-20%]</w:t>
        <w:br/>
        <w:t>Monteriggioni (SI) [35-40%] [1-5%] [40-45%]</w:t>
        <w:br/>
        <w:t>Poirino (TO) [15-20%] [1-5%] [15-20%]</w:t>
        <w:br/>
        <w:t>Reggello (FI) [15-20%] [5-10%] [25-30%]</w:t>
        <w:br/>
        <w:t>Sambuca Pistoiese (PT) - [15-20%] [15-20%]</w:t>
        <w:br/>
        <w:t>Scansano (GR) - [95-100%] [95-100%]</w:t>
        <w:br/>
        <w:t>Vigone (TO) [20-25%] [1-5%] [20-25%]</w:t>
        <w:br/>
        <w:t>Florence (FI) (1) [15-20%] [1-5%] [20-25%]</w:t>
        <w:br/>
        <w:t>Florence (FI) (2) [15-20%] [1-5%] [20-25%]</w:t>
        <w:br/>
        <w:t>Pisa (PI) [15-20%] [1-5%] [20-25%]</w:t>
        <w:br/>
        <w:t>Prato (PO) (1) [10-15%] [1-5%] [15-20%]</w:t>
        <w:br/>
        <w:t>Prato (PO) (2) [10-15%] [1-5%] [15-20%]</w:t>
        <w:br/>
        <w:t>San Pietro a Sieve (SI) [10-15%] [1-5%] [15-20%]</w:t>
        <w:br/>
        <w:t>Cuorgnè (TO) [25-30%] [1-5%] [30-35%]</w:t>
        <w:br/>
        <w:t>Civitella Val di Chiana (AR) [30-35%] [1-5%] [30-35%]</w:t>
        <w:br/>
        <w:t>Bucine (AR) [15-20%] [5-10%] [25-30%]</w:t>
        <w:br/>
        <w:t>9. In the catchment areas where the joint share estimated by the Parties exceeds 30% in terms of volumes (Cascina, Castelfiorentino, Massarosa, Monteriggioni, Cuorgnè, and Civitella Val di Chiana), the market shares were estimated using more detailed data based on the volumes supplied directly by the operators present there. Based on this information, the joint share obtained post-merger by the Parties was always found to be below 25% or with a delta not exceeding 2%.</w:t>
        <w:br/>
        <w:t>10. In light of the above, the proposed Operation appears unsuitable to produce anti-competitive effects in the market in question.</w:t>
        <w:br/>
        <w:t>CONSIDERED, therefore, that the operation under examination does not significantly impede effective competition in the relevant market, pursuant to article 6, paragraph 1, of law no. 287/1990, and does not result in the establishment or strengthening of a dominant position;</w:t>
      </w:r>
    </w:p>
    <w:p>
      <w:r>
        <w:t>BULLETIN NO. 11 OF MARCH 18, 2024 13</w:t>
        <w:br/>
        <w:t>RESOLUTION</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Antitrust Authority.</w:t>
      </w:r>
    </w:p>
    <w:p>
      <w:r>
        <w:t>THE SECRETARY GENERAL THE PRESIDENT</w:t>
        <w:br/>
        <w:t>Guido Stazi Roberto Rustichelli</w:t>
      </w:r>
    </w:p>
    <w:p>
      <w:r>
        <w:t>14 BULLETIN NO. 11 OF MARCH 18, 2024</w:t>
        <w:br/>
        <w:t>C12608 - SAGE/DEL CURTO</w:t>
        <w:br/>
        <w:t>Provision no. 31097</w:t>
        <w:br/>
        <w:t>THE ANTITRUST AUTHORITY</w:t>
        <w:br/>
        <w:t>IN ITS MEETING of February 27, 2024;</w:t>
        <w:br/>
        <w:t>HEARD the Rapporteur, Professor Elisabetta Iossa;</w:t>
        <w:br/>
        <w:t>HAVING REGARD TO Regulation (EC) No. 139/2004;</w:t>
        <w:br/>
        <w:t>HAVING REGARD TO law of October 10, 1990, no. 287;</w:t>
        <w:br/>
        <w:t>HAVING REGARD TO the D.P.R. of April 30, 1998, no. 217;</w:t>
        <w:br/>
        <w:t>HAVING REGARD TO the communication made by SAGE S.r.l., received on February 8, 2024;</w:t>
        <w:br/>
        <w:t>CONSIDERED the following:</w:t>
        <w:br/>
        <w:t>I. THE PARTIES</w:t>
        <w:br/>
        <w:t>1. SAGE S.r.l. (“SAGE”) is a company that manages investments in companies engaged in the establishment and operation of technically organized collection centers for the collection, volumetric reduction, and marketing of recovered wood and wood in general. SAGE is controlled, through Gruppo Mauro Saviola S.r.l. (“GMS”), by Saviola Holding S.r.l., which exercises its direction and coordination.</w:t>
        <w:br/>
        <w:t>2. Saviola Holding S.r.l. and its subsidiaries (jointly referred to as “Saviola Group”) are active in the wood, chemical, and kit furniture sectors in Italy and abroad. The business unit “Wood,” in particular, consists of GMS based in Italy, its Italian subsidiaries, Rheinspan Gmbh &amp; co. KG (Germany), and Sadepan Latinoamericana SA (Argentina). These companies are engaged in the production of various types of particle boards (e.g., raw, laminated, water-resistant, fire-resistant), as well as in the provision of goods and services related to this main activity (production of edges and surfaces for furniture, production of semi-finished products derived from the panel for the furniture industry, collection of post-consumer wood for panel production as well as biomass and other post-consumer materials, transport and logistics services, etc.).</w:t>
        <w:br/>
        <w:t>3. In 2022, the Saviola Group achieved a consolidated turnover of approximately [700-1,000]* million euros, of which approximately [532-700] million euros in Italy and approximately [100-532] million euros in the rest of the European Union.</w:t>
        <w:br/>
        <w:t>4. Del Curto S.r.l. (“Del Curto” or “Target”), a company primarily active in the collection of wood residues for recovery/recycling and, marginally, in the production and marketing of pellets. Prior to the acquisition of control by the Saviola Group, Del Curto was controlled by an individual who held 55% of the share capital.</w:t>
        <w:br/>
        <w:t>5. In 2022, Del Curto achieved a turnover of approximately 19.9 million euros in Italy.</w:t>
        <w:br/>
        <w:t>* In this version, some data is omitted, as it was deemed that there were elements of confidentiality or secrecy of the information.</w:t>
      </w:r>
    </w:p>
    <w:p>
      <w:r>
        <w:rPr>
          <w:b/>
        </w:rPr>
        <w:t>[Pages 13–15]</w:t>
      </w:r>
    </w:p>
    <w:p>
      <w:r>
        <w:t>BULLETIN NO. 11 OF MARCH 18, 2024 15</w:t>
        <w:br/>
        <w:t>II. DESCRIPTION OF THE OPERATION</w:t>
        <w:br/>
        <w:t>6. The operation consists of the acquisition, by the Saviola Group, of 80% of the share capital of the Target, sold by two individuals who held 55% and 25% of the share capital respectively (hereinafter, “the Sellers”). The governance rules provide that the Saviola Group may appoint two members of the board of directors, including the Chairman, and that the favorable vote of these two members is sufficient for the approval of decisions. The completion of the operation is conditionally suspended upon the occurrence of certain conditions, including obtaining the necessary authorizations pursuant to and for the effects of antitrust regulations.</w:t>
        <w:br/>
        <w:t>7. The contract entered into by the parties provides that, for a period of [omitted] years, the Sellers shall not engage in Italy, directly and/or indirectly, in activities in competition with the Target.</w:t>
        <w:br/>
        <w:t>III. QUALIFICATION OF THE OPERATION</w:t>
        <w:br/>
        <w:t>8. The notified operation constitutes a concentration pursuant to article 5, paragraph 1, letter b), of law no. 287/1990, as it involves the acquisition of exclusive control of part of a company. It falls within the scope of application of law no. 287/1990, as the conditions set out in article 1 of Regulation (EC) no. 139/2004 do not apply, and it is not subject to the obligation of prior notification provided for by article 16, paragraph 1, of the same law, as the turnover achieved individually at the national level by at least two of the concerned companies was below 32 million euros. However, the operation is notified pursuant to article 16, paragraph 1-bis, of law no. 287/1990, as the total turnover achieved in the last financial year at the national level by all the concerned companies was above 532 million euros and the Authority deemed, by decision of December 19, 2023, that prima facie there are concrete risks for competition in the national market or in a significant part of it.</w:t>
        <w:br/>
        <w:t>9. The non-compete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geographically limited to the area of activity of the acquired company, temporally to a period of two years, and does not prevent the seller from acquiring or holding shares solely for financial investment purposes, without this resulting, directly or indirectly, in the assignment of management roles or substantial influence in the competing company1.</w:t>
        <w:br/>
        <w:t>IV. ASSESSMENT OF THE CONCENTRATION</w:t>
        <w:br/>
        <w:t>IV.1. Relevant markets</w:t>
        <w:br/>
        <w:t>IV.1.1. Premise</w:t>
        <w:br/>
        <w:t>10. The Saviola Group is active in the production of particle boards, while the Target is active in the collection and recovery of wooden waste, which constitutes a relevant input for the production of particle boards. In fact, according to data from the Rilegno association, 97.1% of the tons of recovered wood become particle board2. In this context, the definition of relevant markets must be made with specific regard to the vertical relationship between the collection of wooden waste, its transformation into secondary raw material, and finally, its reuse as input for the production of particle boards.</w:t>
        <w:br/>
        <w:t>11. The process of collecting and processing wooden waste is divided into several phases. Initially, wooden waste is collected and/or delivered to collection centers. The actors active at this level of the supply chain, the so-called recyclers, are responsible for the collection and transport of waste that is subsequently sent for recycling.</w:t>
        <w:br/>
        <w:t>12. The second level (treatment phase) consists of transforming the wooden waste into “secondary raw material,” that is, carrying out specific processes of selection, treatment, and recovery, for which the wooden scraps lose their qualification as waste – thus exiting the regulatory regime applicable to waste – and can be reintroduced as new raw materials into the economic system.</w:t>
        <w:br/>
        <w:t>13. The Target company and the Saviola Group are both active in collection and transport as recyclers, while only the Saviola Group is active in the treatment and transformation phase of waste into secondary raw material.</w:t>
        <w:br/>
        <w:t>14. Finally, the secondary raw material from wood is used as input for the production of particle boards, an activity carried out by the Saviola Group.</w:t>
        <w:br/>
        <w:t>IV.1.2. The market for the procurement of wooden waste for the production and marketing of secondary raw material for wooden particle boards</w:t>
        <w:br/>
        <w:t>15. The concentration under examination affects, both with respect to horizontal aspects and vertical aspects, the market for the procurement of wooden waste for the production and marketing of secondary raw material for wooden particle boards3. This market is identified as that of collection and transport, also for the subsequent treatment and transformation into secondary raw material suitable to become input in the production of particle boards.</w:t>
        <w:br/>
        <w:t>16. In this regard, it is noted that particle boards could be produced with additional inputs different from those derived from waste (these are production scraps that do not have the qualification of waste or virgin wood). However, for the purposes of this operation, it is not necessary to verify the potential substitutability relationship with such inputs, as competitive assessments do not change even considering the more restrictive configuration of the market, which considers exclusively wooden waste.</w:t>
        <w:br/>
        <w:t>17. From a geographical market definition perspective, it is noted that almost all recyclers are located in central-northern Italy. Likewise, almost all particle board production plants are located in the same geographical areas. Therefore, it is possible to leave the geographical definition of the relevant market open, that is, whether it is national or local, in areas of a maximum of 200-300 km from the collection centers, as competitive assessments would not change.</w:t>
        <w:br/>
        <w:t>2 https://www.rilegno.org/prodotti-del-riciclo/pannelli-truciolari/.</w:t>
        <w:br/>
        <w:t>3 See AGCM Decision no. 18526 of June 19, 2008, case C9395 - Siram/Business branch of Veolia France Biomass.</w:t>
      </w:r>
    </w:p>
    <w:p>
      <w:r>
        <w:t>BULLETIN NO. 11 OF MARCH 18, 2024 17</w:t>
        <w:br/>
        <w:t>18. Based on the most cautious estimates, based on Eurostat data4 and elaborated to fill the absence of data regarding the size of the market, the wooden waste subject to recycling in Italy is approximately 3.58 million tons5. Based on this data, the estimated market shares of the participants are as follows:</w:t>
        <w:br/>
        <w:t>Table 1 – Estimated market shares by volume in the procurement of wooden waste</w:t>
        <w:br/>
        <w:t>Integrated Market Share (on</w:t>
        <w:br/>
        <w:t>tons (/000)</w:t>
        <w:br/>
        <w:t>vertically estimated Eurostat)</w:t>
        <w:br/>
        <w:t>Del Curto no [omitted] [5-10%]</w:t>
        <w:br/>
        <w:t>Saviola Group6 yes [omitted] [30-35%]</w:t>
        <w:br/>
        <w:t>Joint share [omitted] [35-40%]</w:t>
        <w:br/>
        <w:t>Frati Luigi Group yes [omitted] [20-25%]</w:t>
        <w:br/>
        <w:t>Egger Group yes [omitted] [10-15%]</w:t>
        <w:br/>
        <w:t>Kastamonu Group yes [omitted] [5-10%]</w:t>
        <w:br/>
        <w:t>Fantoni yes [omitted] [5-10%]</w:t>
        <w:br/>
        <w:t>Others [omitted] [10-15%]</w:t>
        <w:br/>
        <w:t>Total Eurostat 3.586 100%</w:t>
        <w:br/>
        <w:t>19. In Italy, there are at least 380 wooden recycling platforms7 and the Saviola Group is active with 17 platforms, in addition to that of the Target. The following table shows the statistics (mean, median, thirtieth and eightieth percentile8) of the distances from the Target's collection center to those of the Saviola Group and competitors. From this data, it is observed that there is no particular competitive proximity between the Target and the acquiring company in terms of distance, as they are similar or even greater than those of other competing recyclers' centers.</w:t>
        <w:br/>
        <w:t>4 See Dataset Treatment of waste by waste category, hazardousness and waste management operations [env_wastrt__custom_9374774, Hazard class: Non-hazardous; Waste management operations: Recovery – recycling; Waste categories: Wood wastes; Geopolitical entity (reporting): Italy]. The Eurostat data refers to 2020. According to the parties, the total volume of wooden waste collected and sent for recycling/recovery in Italy in 2022 is at least approximately 3,617,000 tons.</w:t>
        <w:br/>
        <w:t>5 See Dataset Treatment of waste by waste category, hazardousness and waste management operations [env_wastrt__custom_9374774, Hazard class: Non-hazardous; Waste management operations: Recovery – recycling; Waste categories: Wood wastes; Geopolitical entity (reporting): Italy]. The Eurostat data refers to 2020. According to the parties, the total volume of wooden waste collected and sent for recycling/recovery in Italy in 2022 is at least approximately 3,617,000 tons.</w:t>
        <w:br/>
        <w:t>6 The data also includes the shares of waste pertaining to Re Sergio Recycling S.r.l. and Morandi-Bortot S.r.l. which are subject to parallel analysis (see cases C12609 and C12610).</w:t>
        <w:br/>
        <w:t>7 The data refers to the number of recycling platforms that are registered with Rilegno, which represent about 60% of the total collection of wooden waste.</w:t>
        <w:br/>
        <w:t>8 The median, thirtieth percentile, and eightieth measure the distance of the first half (50%), the first 30%, and the first 80% of the collection centers closest to that of the Target company, respectively.</w:t>
      </w:r>
    </w:p>
    <w:p>
      <w:r>
        <w:rPr>
          <w:b/>
        </w:rPr>
        <w:t>[Pages 16–18]</w:t>
      </w:r>
    </w:p>
    <w:p>
      <w:r>
        <w:t>18 BULLETIN NO. 11 OF MARCH 18, 2024</w:t>
        <w:br/>
        <w:t>Table 2 – Distances between the Target collection center and the collection centers of the Saviola Group and competitors</w:t>
        <w:br/>
        <w:t>Distances (km)</w:t>
        <w:br/>
        <w:t>compared to the Saviola Group compared to competitors</w:t>
        <w:br/>
        <w:t>Average [200-250] [200-250]</w:t>
        <w:br/>
        <w:t>Thirtieth percentile [50-100] [100-150]</w:t>
        <w:br/>
        <w:t>Median [150-200] [150-200]</w:t>
        <w:br/>
        <w:t>Eightieth percentile [250-300] [250-300]</w:t>
        <w:br/>
        <w:t>20. Finally, also considering public tenders for the assignment of the collection and transport service for wooden waste, based on the data present in the ANAC database, the market shares based on the number and value of awards are shown in the following Table.</w:t>
      </w:r>
    </w:p>
    <w:p>
      <w:r>
        <w:t>BULLETIN NO. 11 OF MARCH 18, 2024 19</w:t>
        <w:br/>
        <w:t>Table 3 – Market shares based on public tender awards9</w:t>
        <w:br/>
        <w:t>Share</w:t>
        <w:br/>
        <w:t>Year Del Curto Saviola Group10 Other Companies Total</w:t>
        <w:br/>
        <w:t>combined</w:t>
        <w:br/>
        <w:t>Number of awards</w:t>
        <w:br/>
        <w:t>2020 2 20 22 105 127</w:t>
        <w:br/>
        <w:t>2% 16% 17% 83% 100%</w:t>
        <w:br/>
        <w:t>2021 1 14 15 75 90</w:t>
        <w:br/>
        <w:t>1% 16% 17% 83% 100%</w:t>
        <w:br/>
        <w:t>2022 1 16 17 79 96</w:t>
        <w:br/>
        <w:t>1% 17% 18% 82% 100%</w:t>
        <w:br/>
        <w:t>2023 1 25 26 76 102</w:t>
        <w:br/>
        <w:t>1% 25% 25% 75% 100%</w:t>
        <w:br/>
        <w:t>Value of award</w:t>
        <w:br/>
        <w:t>1,479,620,</w:t>
        <w:br/>
        <w:t>2020 4,517,491.97 5,997,112.19 41,969,401.73 47,966,513.92</w:t>
        <w:br/>
        <w:t>22</w:t>
        <w:br/>
        <w:t>3% 9% 13% 87% 100%</w:t>
        <w:br/>
        <w:t>2021 504,028.80 3,084,062.40 3,588,091.20 19,349,389.43 22,937,480.63</w:t>
        <w:br/>
        <w:t>2% 13% 16% 84% 100%</w:t>
        <w:br/>
        <w:t>1,039,915,</w:t>
        <w:br/>
        <w:t>2022 3,807,843.98 4,847,759.02 18,981,612.10 23,829,371.12</w:t>
        <w:br/>
        <w:t>04</w:t>
        <w:br/>
        <w:t>4% 16% 20% 80% 100%</w:t>
        <w:br/>
        <w:t>2023 878,526.00 6,461,520.91 7,340,046.91 16,939,966.19 24,280,013.10</w:t>
        <w:br/>
        <w:t>4% 27% 30% 70% 100%</w:t>
        <w:br/>
        <w:t>IV.1.3. The markets (i) for the production of raw particle boards and (ii) for the production of laminated particle boards</w:t>
        <w:br/>
        <w:t>21. Raw and laminated particle boards are wood semi-finished products, or artificial woods that can be divided into different categories: (i) particle boards; (ii) fiberboards; (iii) plywood (or laminated); (iv) slatted panels.</w:t>
        <w:br/>
        <w:t>9 Elaborations on Open Data ANAC (CIG_2020 Database; CIG_2021 Database; CIG_2022 Database; CIG_2023 Database; Awards Database; Awardees Database). https://dati.anticorruzione.it/opendata/dataset/</w:t>
        <w:br/>
        <w:t>10 The data also includes the companies Re Sergio Recycling S.r.l. and Morandi-Bortot S.r.l. which are subject to parallel analysis (see cases C12609 and C12610). It is specified that no tenders have been awarded to the company Re Sergio Recycling S.r.l. (VAT No. 02917770188)</w:t>
      </w:r>
    </w:p>
    <w:p>
      <w:r>
        <w:t>20 BULLETIN NO. 11 OF MARCH 18, 2024</w:t>
        <w:br/>
        <w:t>22. Particle boards (or wood particle boards, known as “particle board” or “PB”) are panels produced primarily using recycled wood and, to a lesser extent, virgin wood. These panels are obtained by hot pressing wood particles of varying sizes mixed with adhesive resins (urea glues and/or urea-melamine). Particle boards can be divided into raw particle boards (raw PB) or laminated particle boards (or coated, known as coated PB). There may also be a distinction based on the thickness of the panels. As previously indicated, almost all particle boards in Italy (97%) are made from wood waste that has become secondary raw material.</w:t>
        <w:br/>
        <w:t>23. According to national and European precedents, it is possible to distinguish, from a mercantile perspective, raw particle boards from laminated particle boards11, thus identifying two distinct product markets. In the same European precedents and in a national precedent, the Authority has also left open the definition of the market regarding a further sub-segmentation of laminated particle boards based on the possible coatings used12 (melamine laminates, PVC sheets, lacquered and printed, veneered with wood veneers)13.</w:t>
        <w:br/>
        <w:t>24. Regarding the geographical definition of the market, in national precedents, a national geographical extension has been identified14. In some precedents, the EU Commission has considered that the market for raw particle boards was at least cross-border regional, consisting of circular user basins centered on each production plant, with an isometric radius of 500 km15. For laminated particle boards, the Commission has also defined a geographical market extension consisting of isometric radii of 500 km, while leaving the definition of the market open regarding the extension and, in particular, noting that the market may be more extensive and up to 1,000 km16.</w:t>
        <w:br/>
        <w:t>25. In the case at hand, it is not necessary to reach a conclusive definition of the relevant market both from a mercantile and geographical perspective, since the competitive conclusions, of a purely vertical nature, would not change in any possible configuration of the relevant market. The estimates of market shares provided by the notifying party are shown in the following table.</w:t>
        <w:br/>
        <w:t>11 See AGCM Resolution No. 7863 of 12/22/1999, case C3710 - Trada-Panda-Vernea/Verpan; European Commission Decision of 07/31/2007, case COMP/M.4525 - Kronospan/Constantia.</w:t>
        <w:br/>
        <w:t>12 AGCM Resolution No. 9362 of 03/29/2001, case C4519 - Axaff/Various Companies.</w:t>
        <w:br/>
        <w:t>13 In some cases, the Commission has considered pre-impregnated paper (PRIP) different from other coatings, such as melamine (See European Commission Decision of 05/24/2013, case M.6576 – Munksjö/Ahlstrom).</w:t>
        <w:br/>
        <w:t>14 See AGCM Resolution No. 7863 of 12/22/1999, case C3710 - Trada-Panda-Vernea/Verpan. See also AGCM Resolution No. 5902 of 04/16/1998, case C3049 - M.C. Industrial Initiatives/Annovati and AGCM Resolution No. 9362 of 03/29/2001, case C4519 - Axaff/Various Companies.</w:t>
        <w:br/>
        <w:t>15 See European Commission Decision of 04/23/2013, case M.6871 – Mohawk Industries/Spano Invest; European Commission Decision of 07/31/2007, case COMP/M.4525 - Kronospan/Constantia.</w:t>
        <w:br/>
        <w:t>16 See European Commission Decision of 04/23/2013, case M.6871 – Mohawk Industries/Spano Invest.</w:t>
      </w:r>
    </w:p>
    <w:p>
      <w:r>
        <w:rPr>
          <w:b/>
        </w:rPr>
        <w:t>[Pages 19–21]</w:t>
      </w:r>
    </w:p>
    <w:p>
      <w:r>
        <w:t>BULLETIN NO. 11 OF MARCH 18, 2024 21</w:t>
        <w:br/>
        <w:t>Table 4 – Estimate of market shares for the production of raw and laminated particle boards17</w:t>
        <w:br/>
        <w:t>Raw particle boards Laminated particle boards</w:t>
        <w:br/>
        <w:t>isometric market isometric market</w:t>
        <w:br/>
        <w:t>500 km national 500 km national</w:t>
        <w:br/>
        <w:t>Saviola Group [10-15%] [15-20%] [15-20%] [20-25%]</w:t>
        <w:br/>
        <w:t>Egger Group [20-25%] [10-15%] [20-25%] [10-15%]</w:t>
        <w:br/>
        <w:t>Frati Group [10-15%] [25-30%] [10-15%] [25-30%]</w:t>
        <w:br/>
        <w:t>CF2P Group [5-10%] n.a.18 [5-10%] n.a.</w:t>
        <w:br/>
        <w:t>Kaindl Group [5-10%] n.a.19 [5-10%] n.a.</w:t>
        <w:br/>
        <w:t>Kastamonu Italia n.d. 11% n.d. 11%</w:t>
        <w:br/>
        <w:t>Fantoni n.d. 11% n.d. 11%</w:t>
        <w:br/>
        <w:t>Xilopan S.p.A. n.d. 3% n.d. 3%</w:t>
        <w:br/>
        <w:t>Others 40% 18% 35% 11%</w:t>
        <w:br/>
        <w:t>100% 100% 100% 100%</w:t>
        <w:br/>
        <w:t>IV.2. Effects of the operation</w:t>
        <w:br/>
        <w:t>26. The concentration operation under examination concerns the acquisition of exclusive control of Del Curto by the Saviola Group. This operation presents horizontal aspects, as both the Target and the Saviola Group are active as recyclers in the collection of wood waste, and vertical aspects, as wood waste is primarily used for the production of particle board, a sector in which the Saviola Group is active.</w:t>
        <w:br/>
        <w:t>27. From the perspective of horizontal effects, the Target holds a market share in the supply of wood waste intended for the production of particle boards of approximately [5-10%] and the Saviola Group holds a share of [30-35%]; therefore, the combined market shares are equal to [35-40%] considering the more cautious estimates on the volume of recycled wood (Table 1 above). However, there are other operators in this market with shares exceeding 20-25% or 10-15% who are also vertically integrated.</w:t>
        <w:br/>
        <w:t>28. Considering the number and values of the awards for the assignment of the collection and recovery service of wood waste, the market shares are always below 30% (Table 2 below). Furthermore, there are numerous recycling platforms – over 380 – and the analysis of the average distance and percentiles does not appear to highlight significant differences between that occurring between the Target and the Saviola Group, compared to that occurring with the main competitors active in wood recycling.</w:t>
        <w:br/>
        <w:t>29. Finally, there are various operators active in recycling who have a significant presence in the market and are also vertically integrated in the production of particle boards.</w:t>
        <w:br/>
        <w:t>30. From a vertical perspective, it is not believed that the operation could lead to exclusionary effects on inputs, due both to the shares held upstream, which see other operators with non-marginal shares present – in the market for the supply of wood waste for the production and marketing of secondary raw materials – and to the position held downstream by the Saviola Group. It is also noted that the main competitors in the downstream market for the production of particle boards are vertically integrated in the supply of wood waste.</w:t>
        <w:br/>
        <w:t>31. In light of the above considerations, it is believed that in the affected markets the operation will not have detrimental effects on competition, not significantly altering the effective competition therein and not resulting in the establishment or strengthening of a dominant position.</w:t>
        <w:br/>
        <w:t>THEREFORE, it is deemed that the operation under examination does not significantly impede effective competition in the affected markets, pursuant to article 6, paragraph 1, of law no. 287/1990, and does not result in the establishment or strengthening of a dominant position;</w:t>
        <w:br/>
        <w:t>IT IS FURTHER DEEMED that the non-competition obligations between the parties are accessory to this operation only to the limits described above and that the Authority reserves the right to evaluate, where the prerequisites exist, the aforementioned agreements that extend beyond the indicated limits;</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Antitrust Authority.</w:t>
        <w:br/>
        <w:t>THE SECRETARY GENERAL THE PRESIDENT</w:t>
        <w:br/>
        <w:t>Guido Stazi Roberto Rustichelli</w:t>
      </w:r>
    </w:p>
    <w:p>
      <w:r>
        <w:t>BULLETIN NO. 11 OF MARCH 18, 2024 23</w:t>
        <w:br/>
        <w:t>C12609 - SAGE/MORANDI-BORTOT</w:t>
        <w:br/>
        <w:t>Provision no. 31098</w:t>
        <w:br/>
        <w:t>THE ANTITRUST AUTHORITY</w:t>
        <w:br/>
        <w:t>IN ITS MEETING of February 27, 2024;</w:t>
        <w:br/>
        <w:t>HEARD the Rapporteur, Professor Elisabetta Iossa;</w:t>
        <w:br/>
        <w:t>HAVING REGARD TO Regulation (EC) No. 139/2004;</w:t>
        <w:br/>
        <w:t>HAVING REGARD TO law of October 10, 1990, no. 287;</w:t>
        <w:br/>
        <w:t>HAVING REGARD TO the D.P.R. of April 30, 1998, no. 217;</w:t>
        <w:br/>
        <w:t>HAVING REGARD TO the communication made by SAGE S.r.l., received on February 8, 2024;</w:t>
        <w:br/>
        <w:t>CONSIDERED the following:</w:t>
        <w:br/>
        <w:t>I. THE PARTIES</w:t>
        <w:br/>
        <w:t>1. SAGE S.r.l. (“SAGE”) is a company that manages investments in companies engaged in the establishment and operation of technically organized collection centers for the collection, volumetric reduction, and marketing of recovered wood and wood in general. SAGE is controlled, through Gruppo Mauro Saviola S.r.l. (“GMS”), by Saviola Holding S.r.l., which exercises its direction and coordination.</w:t>
        <w:br/>
        <w:t>2. Saviola Holding S.r.l. and its subsidiaries (jointly referred to as the “Saviola Group”) are active in the sectors of wood, chemicals, and kit furniture in Italy and abroad. The business unit “Wood,” in particular, consists of GMS based in Italy, its Italian subsidiaries, Rheinspan Gmbh &amp; co. KG (Germany), and Sadepan Latinoamericana SA (Argentina). These companies are active in the production of various types of particle boards (e.g., raw, laminated, water-resistant, fire-resistant), as well as in the provision of goods and services related to this main activity (production of edges and surfaces for furniture, production of semi-finished products derived from the panel for the furniture industry, collection of post-consumer wood for the production of panels as well as biomass and other post-consumer materials, transport and logistics services, etc.).</w:t>
        <w:br/>
        <w:t>3. In 2022, the Saviola Group achieved a consolidated turnover of approximately [700-1,000]* million euros, of which approximately [532-700] million euros in Italy and approximately [100-532] million euros in the rest of the European Union.</w:t>
        <w:br/>
        <w:t>4. Morandi-Bortot S.r.l. (hereinafter, “Morandi-Bortot” or “Target”) is a company mainly active in the recovery/recycling of wood residues and, marginally, in the production of building mortars. Prior to the acquisition of control by the Saviola Group, Morandi-Bortot was controlled by MBM Holding S.r.l., whose share capital was held by 4 individuals.</w:t>
        <w:br/>
        <w:t>5. In 2022, Morandi-Bortot achieved a turnover of approximately [1-10] million euros worldwide, of which [1-10] million euros generated from sales in Italy.</w:t>
        <w:br/>
        <w:t>* In this version, some data are omitted, as there were deemed to be elements of confidentiality or secrecy of the information.</w:t>
      </w:r>
    </w:p>
    <w:p>
      <w:r>
        <w:rPr>
          <w:b/>
        </w:rPr>
        <w:t>[Pages 22–24]</w:t>
      </w:r>
    </w:p>
    <w:p>
      <w:r>
        <w:t>24 BULLETIN NO. 11 OF MARCH 18, 2024</w:t>
        <w:br/>
        <w:t>II. DESCRIPTION OF THE OPERATION</w:t>
        <w:br/>
        <w:t>6. The operation consists of the acquisition, by the Saviola Group, of exclusive control of the Target, transferred by the four individuals who hold its share capital.</w:t>
        <w:br/>
        <w:t>7. The contract entered into by the parties provides that, for a period of [omitted] years from the date of the Closing of the Operation, the Sellers shall not engage in the European Union, directly and/or indirectly, in activities in competition with the Target.</w:t>
        <w:br/>
        <w:t>III. QUALIFICATION OF THE OPERATION</w:t>
        <w:br/>
        <w:t>8. The notified operation constitutes a concentration, pursuant to article 5, paragraph 1, letter b), of law no. 287/1990, as it involves the acquisition of exclusive control of part of a company. It falls within the scope of application of law no. 287/1990, as the conditions set out in article 1 of Regulation (EC) no. 139/2004 do not apply, and it is not subject to the obligation of prior notification provided for by article 16, paragraph 1, of the same law, as the turnover achieved individually at the national level by at least two of the companies involved was below 32 million euros. However, the operation is notified pursuant to article 16, paragraph 1-bis, of law no. 287/1990, as the total turnover achieved, in the last financial year at the national level, by all the companies involved was above 532 million euros and the Authority deemed, by decision of December 19, 2023, that prima facie there are concrete risks for competition in the national market or in a significant part of it.</w:t>
        <w:br/>
        <w:t>9. The non-competition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geographically limited to the area of activity of the acquired company, temporally to a period of two years, and does not prevent the seller from acquiring or holding shares solely for financial investment purposes, without this resulting, directly or indirectly, in the assignment of management roles or substantial influence in the competing company1.</w:t>
        <w:br/>
        <w:t>IV. ASSESSMENT OF THE CONCENTRATION</w:t>
        <w:br/>
        <w:t>IV.1. Relevant markets</w:t>
        <w:br/>
        <w:t>IV.1.1. Premise</w:t>
        <w:br/>
        <w:t>10. The Saviola Group is active in the production of particle boards, while the Target is active in the collection and recovery of wooden waste, which constitutes a relevant input for the production of particle boards. In fact, according to data from the Rilegno association, 97.1% of the tons of recovered wood becomes particle board2. In this context, the definition of relevant markets must be made with specific regard to the vertical relationship between the collection of wooden waste, its transformation into secondary raw material, and finally, its reuse as input for the production of particle boards.</w:t>
        <w:br/>
        <w:t>11. The process of collecting and processing wooden waste is divided into several phases. Initially, wooden waste is collected and/or delivered to collection centers. The entities active at this level of the supply chain, the so-called recyclers, are responsible for the collection and transportation of the waste, which is subsequently sent for recycling.</w:t>
        <w:br/>
        <w:t>12. The second level (treatment phase) consists of transforming the wooden waste into "secondary raw material," that is, carrying out specific processes of selection, treatment, and recovery, for which the wooden scraps lose their qualification as waste – thus exiting the regulatory regime applicable to waste – and can be reintroduced as new raw materials into the economic system.</w:t>
        <w:br/>
        <w:t>13. The Target company and the Saviola Group are both active in collection and transportation as recyclers, while only the Saviola Group is active in the treatment and transformation phase of the waste into secondary raw material.</w:t>
        <w:br/>
        <w:t>14. Finally, the secondary raw material derived from wood is used as input for the production of particle boards, an activity carried out by the Saviola Group.</w:t>
        <w:br/>
        <w:t>IV.1.2. The market for the procurement of wooden waste for the production and marketing of secondary raw material for wooden particle boards</w:t>
        <w:br/>
        <w:t>15. The concentration under examination affects, both in terms of horizontal and vertical aspects, the market for the procurement of wooden waste for the production and marketing of secondary raw material for wooden particle boards3. This market is identified as that of collection and transportation, also for the subsequent treatment and transformation into secondary raw material suitable to become input in the production of particle boards.</w:t>
        <w:br/>
        <w:t>16. In this regard, it is noted that particle boards could be produced with additional inputs different from those derived from waste (these are production scraps that do not qualify as waste or virgin wood). However, for the purposes of this operation, it is not necessary to verify the potential substitutability relationship with such inputs, as the competitive assessments do not change even considering the more restrictive configuration of the market, which considers exclusively wooden waste.</w:t>
        <w:br/>
        <w:t>17. From a geographical market definition perspective, it is noted that almost all recyclers are located in central-northern Italy. Likewise, almost all particle board production plants are located in the same geographical areas. Therefore, it is possible to leave the geographical definition of the relevant market open, that is, whether it is national or local, in areas of a maximum of 200-300 km from the collection centers, as the competitive assessments would not change.</w:t>
        <w:br/>
        <w:t>18. Based on the most cautious estimates, based on Eurostat data4 and developed to fill the absence of data regarding the size of the market, the wooden waste subject to recycling in Italy is approximately 3.58 million tons5. Based on this data, the estimated market shares of the participants are as follows:</w:t>
        <w:br/>
        <w:t>Table 1 – Estimate of market shares in volume in the procurement of wooden waste</w:t>
        <w:br/>
        <w:t>Integrated Market Share (on estimates</w:t>
        <w:br/>
        <w:t>ton (/000)</w:t>
        <w:br/>
        <w:t>vertical Eurostat)</w:t>
        <w:br/>
        <w:t>Morandi Bortot no [omitted] [&lt;1%]</w:t>
        <w:br/>
        <w:t>Saviola Group6 yes [omitted] [35-40%]</w:t>
        <w:br/>
        <w:t>Joint share [omitted] [35-40%]</w:t>
        <w:br/>
        <w:t>Frati Luigi Group yes [omitted] [20-25%]</w:t>
        <w:br/>
        <w:t>Egger Group yes [omitted] [10-15%]</w:t>
        <w:br/>
        <w:t>Kastamonu Group yes [omitted] [5-10%]</w:t>
        <w:br/>
        <w:t>Fantoni yes [omitted] [5-10%]</w:t>
        <w:br/>
        <w:t>Others [omitted] [10-15%]</w:t>
        <w:br/>
        <w:t>Total Eurostat 3.586 100%</w:t>
        <w:br/>
        <w:t>19. In Italy, there are at least 380 wooden recycling platforms7 and the Saviola Group is active with 17 platforms, in addition to that of the Target. The following table shows the statistics (mean, median, thirtieth and eightieth percentile8) of the distances of the Target's collection center compared to those of the Saviola Group and competitors. From this data, it is observed that there is no particular competitive proximity between the Target and the acquiring company in terms of distance, as they are similar or even greater than those of other competing recyclers' centers.</w:t>
        <w:br/>
        <w:t>Waste categories: Wood wastes; Geopolitical entity (reporting): Italy]. The Eurostat data refers to 2020. According to the parties, the total volume of wooden waste collected and sent for recycling/recovery in Italy in 2022 is at least approximately 3,617,000 tons.</w:t>
        <w:br/>
        <w:t>5 Cf. Dataset Treatment of waste by waste category, hazardousness and waste management operations</w:t>
        <w:br/>
        <w:t>[env_wastrt__custom_9374774, Hazard class: Non-hazardous; Waste management operations: Recovery – recycling;</w:t>
        <w:br/>
        <w:t>Waste categories: Wood wastes; Geopolitical entity (reporting): Italy]. The Eurostat data refers to 2020. According to the parties, the total volume of wooden waste collected and sent for recycling/recovery in Italy in 2022 is at least approximately 3,617,000 tons.</w:t>
        <w:br/>
        <w:t>6 The data also includes the shares of waste pertaining to the companies Re Sergio Recycling S.r.l. and Del Curto S.r.l. which are subject to parallel analysis (cf. cases C12608 and C12610).</w:t>
        <w:br/>
        <w:t>7 The data refers to the number of recycling platforms that are registered with Rilegno, which represent about 60% of the total collection of wooden waste.</w:t>
        <w:br/>
        <w:t>8 The median, thirtieth percentile, and eightieth measure the distance respectively of the first half (50%), the first 30%, and the first 80% of the collection centers closest to that of the Target company.</w:t>
      </w:r>
    </w:p>
    <w:p>
      <w:r>
        <w:rPr>
          <w:b/>
        </w:rPr>
        <w:t>[Pages 25–27]</w:t>
      </w:r>
    </w:p>
    <w:p>
      <w:r>
        <w:t>BULLETIN NO. 11 OF MARCH 18, 2024 27</w:t>
        <w:br/>
        <w:t>Table 2 – Distances between the Target collection center and the collection centers of the Saviola Group and competitors</w:t>
        <w:br/>
        <w:t>Distances (km)</w:t>
        <w:br/>
        <w:t>compared to the Saviola Group compared to competitors</w:t>
        <w:br/>
        <w:t>Average [200-250] [200-250]</w:t>
        <w:br/>
        <w:t>Thirtieth percentile [150-200] [100-150]</w:t>
        <w:br/>
        <w:t>Median [150-200] [150-200]</w:t>
        <w:br/>
        <w:t>Eightieth percentile [250-300] [250-300]</w:t>
        <w:br/>
        <w:t>20. Finally, also considering public tenders for the assignment of the collection and transport service of wooden waste, based on the data present in the ANAC database, the market shares based on the number and value of awards are shown in the following Table.</w:t>
      </w:r>
    </w:p>
    <w:p>
      <w:r>
        <w:t>28 BULLETIN NO. 11 OF MARCH 18, 2024</w:t>
        <w:br/>
        <w:t>Table 3 – Market shares based on public tender awards9</w:t>
        <w:br/>
        <w:t>Group Share</w:t>
        <w:br/>
        <w:t>Year Morandi_Bortot Other Companies Total</w:t>
        <w:br/>
        <w:t>Saviola10 joint</w:t>
        <w:br/>
        <w:t>Number of awards</w:t>
        <w:br/>
        <w:t>2020 0 22 22 105 127</w:t>
        <w:br/>
        <w:t>0% 17% 17% 83% 100%</w:t>
        <w:br/>
        <w:t>2021 0 15 15 75 90</w:t>
        <w:br/>
        <w:t>0% 17% 17% 83% 100%</w:t>
        <w:br/>
        <w:t>2022 0 17 17 79 96</w:t>
        <w:br/>
        <w:t>0% 18% 18% 82% 100%</w:t>
        <w:br/>
        <w:t>2023 4 22 26 76 102</w:t>
        <w:br/>
        <w:t>4% 22% 25% 75% 100%</w:t>
        <w:br/>
        <w:t>Value of award</w:t>
        <w:br/>
        <w:t>2020 0.00 5,997,112.19 5,997,112.19 41,969,401.73 47,966,513.92</w:t>
        <w:br/>
        <w:t>0% 13% 13% 87% 100%</w:t>
        <w:br/>
        <w:t>2021 0.00 3,588,091.20 3,588,091.20 19,349,389.43 22,937,480.63</w:t>
        <w:br/>
        <w:t>0% 16% 16% 84% 100%</w:t>
        <w:br/>
        <w:t>2022 0.00 4,847,759.02 4,847,759.02 18,981,612.10 23,829,371.12</w:t>
        <w:br/>
        <w:t>0% 20% 20% 80% 100%</w:t>
        <w:br/>
        <w:t>2023 924,720.00 6,415,326.91 7,340,046.91 16,939,966.19 24,280,013.10</w:t>
        <w:br/>
        <w:t>4% 26% 30% 70% 100%</w:t>
        <w:br/>
        <w:t>IV.1.3. The markets (i) for the production of raw particle boards and (ii) for the production of laminated particle boards</w:t>
        <w:br/>
        <w:t>21. Raw and laminated particle boards are semi-finished wood products, or artificial woods that can be divided into different categories: (i) particle boards; (ii) fiberboards; (iii) plywood (or laminated); (iv) slatted panels.</w:t>
        <w:br/>
        <w:t>9 Elaborations on Open Data ANAC (CIG_2020 Database; CIG_2021 Database; CIG_2022 Database; CIG_2023 Database; Awards Database; Awardees Database). https://dati.anticorruzione.it/opendata/dataset/</w:t>
        <w:br/>
        <w:t>10 The data also includes the companies Re Sergio Recycling S.r.l. and Del Curto S.r.l. which are subject to parallel analysis (see cases C12608 and C12610). It should be noted that no tenders have been awarded to Re Sergio Recycling S.r.l. (VAT No. 02917770188)</w:t>
      </w:r>
    </w:p>
    <w:p>
      <w:r>
        <w:t>BULLETIN NO. 11 OF MARCH 18, 2024 29</w:t>
        <w:br/>
        <w:t>22. Particle boards (or wood particle boards, known as “particle board” or “PB”) are panels produced primarily using recycled wood and, to a lesser extent, virgin wood. These panels are obtained through the hot pressing of wood particles of varying sizes mixed with adhesive resins (urea glues and/or urea-melamine). Particle boards can be divided into raw particle boards (raw PB) or laminated particle boards (or coated, known as coated PB). There may also be a distinction based on the thickness of the panels. As previously indicated, almost all particle boards in Italy (97%) are made from wood waste that has become secondary raw material.</w:t>
        <w:br/>
        <w:t>23. According to national and European precedents, it is possible to distinguish, from a mercantile perspective, raw particle boards from laminated particle boards11, thus identifying two distinct markets for the product. In the same European precedents and in a national precedent, the Authority has also left open the definition of the market regarding a further sub-segmentation of laminated particle boards based on the possible coatings used12 (melamine laminates, PVC sheets, lacquered and printed, veneered with wood veneers)13.</w:t>
        <w:br/>
        <w:t>24. Regarding the geographical definition of the market, national precedents have identified a national geographical extension14. In some precedents, the EU Commission has considered that the market for raw particle boards was at least cross-border regional, consisting of circular user basins centered on each production facility, with an isometric radius of 500 km15. For laminated particle boards as well, the Commission defined a geographical market extension consisting of isometric radii of 500 km, while leaving the definition of the market open regarding the extension and, in particular, noting that the market may be broader and extend up to 1,000 km16.</w:t>
        <w:br/>
        <w:t>25. In the case at hand, it is not necessary to arrive at a conclusive definition of the relevant market both from a mercantile and geographical perspective, since the competitive conclusions, of a purely vertical nature, would not change in any possible configuration of the relevant market. The estimates of market shares provided by the notifying party are shown in the following table.</w:t>
        <w:br/>
        <w:t>11 See AGCM Resolution No. 7863 of 12/22/1999, case C3710 - Trada-Panda-Vernea/Verpan; European Commission Decision of 07/31/2007, case COMP/M.4525 - Kronospan/Constantia.</w:t>
        <w:br/>
        <w:t>12 AGCM Resolution No. 9362 of 03/29/2001, case C4519 - Axaff/Various Companies.</w:t>
        <w:br/>
        <w:t>13 In some cases, the Commission has considered pre-impregnated paper (pre-impregnated paper - PRIP) to be different from other coatings, such as melamine (See European Commission Decision of 05/24/2013, case M.6576 – Munksjö/Ahlstrom).</w:t>
        <w:br/>
        <w:t>14 See AGCM Resolution No. 7863 of 12/22/1999, case C3710 - Trada-Panda-Vernea/Verpan. See also AGCM Resolution No. 5902 of 04/16/1998, case C3049 - M.C. Industrial Initiatives/Annovati and AGCM Resolution No. 9362 of 03/29/2001, case C4519 - Axaff/Various Companies.</w:t>
        <w:br/>
        <w:t>15 See European Commission Decision of 04/23/2013, case M.6871 – Mohawk Industries/Spano Invest; European Commission Decision of 07/31/2007, case COMP/M.4525 - Kronospan/Constantia.</w:t>
        <w:br/>
        <w:t>16 See European Commission Decision of 04/23/2013, case M.6871 – Mohawk Industries/Spano Invest.</w:t>
      </w:r>
    </w:p>
    <w:p>
      <w:r>
        <w:rPr>
          <w:b/>
        </w:rPr>
        <w:t>[Pages 28–30]</w:t>
      </w:r>
    </w:p>
    <w:p>
      <w:r>
        <w:t>30 BULLETIN NO. 11 OF MARCH 18, 2024</w:t>
        <w:br/>
        <w:t>Table 4 – Estimate of market shares for the production of raw and laminated particle boards17</w:t>
        <w:br/>
        <w:t>Raw particle boards Laminated particle boards</w:t>
        <w:br/>
        <w:t>isometric market isometric market</w:t>
        <w:br/>
        <w:t>500 km national 500 km national</w:t>
        <w:br/>
        <w:t>Saviola Group [10-15%] [15-20%] [15-20%] [20-25%]</w:t>
        <w:br/>
        <w:t>Egger Group [20-25%] [10-15%] [20-25%] [10-15%]</w:t>
        <w:br/>
        <w:t>Frati Group [10-15%] [25-30%] [10-15%] [25-30%]</w:t>
        <w:br/>
        <w:t>CF2P Group [5-10%] n.a.18 [5-10%] n.a.</w:t>
        <w:br/>
        <w:t>Kaindl Group [5-10%] n.a.19 [5-10%] n.a.</w:t>
        <w:br/>
        <w:t>Kastamonu Italia n.d. 11% n.d. 11%</w:t>
        <w:br/>
        <w:t>Fantoni n.d. 11% n.d. 11%</w:t>
        <w:br/>
        <w:t>Xilopan S.p.A. n.d. 3% n.d. 3%</w:t>
        <w:br/>
        <w:t>Others 40% 18% 35% 11%</w:t>
        <w:br/>
        <w:t>100% 100% 100% 100%</w:t>
        <w:br/>
        <w:t>IV.2. Effects of the operation</w:t>
        <w:br/>
        <w:t>26. The concentration operation under examination concerns the acquisition of exclusive control of Morandi-Bortot by the Saviola Group. This operation presents horizontal aspects, as both the Target and the Saviola Group are active as recyclers in the collection of wood waste, and vertical aspects, as wood waste is primarily used for the production of particle boards, a sector in which the Saviola Group is active.</w:t>
        <w:br/>
        <w:t>27. From the perspective of horizontal effects, the Target holds a market share in the supply of wood waste intended for the production of particle boards of approximately [less than 1%] and the Saviola Group holds a share of [30-35%]; therefore, the combined market shares are [35-40%] considering the more cautious estimates on the volume of recycled wood (Table 1 above). The increase in market shares of the new entity due to the acquisition of the Target is entirely marginal. Additionally, there are other operators in this market with shares exceeding 20-25% or 10-15% who are also vertically integrated.</w:t>
        <w:br/>
        <w:t>28. Considering the number and values of the awards for the assignment of the collection and recovery service of wood waste, the market shares are always below 30% (Table 2 below). Furthermore, there are numerous recycling platforms – over 380 – and the analysis of the average distance and percentiles does not appear to highlight significant differences between that between the Target and the Saviola Group, compared to that between the main competitors active in wood recycling.</w:t>
        <w:br/>
        <w:t>29. Finally, there are several operators active in recycling who have a significant presence in the market and are also vertically integrated in the production of particle boards.</w:t>
        <w:br/>
        <w:t>30. From a vertical perspective, it is not believed that the operation could lead to exclusionary effects on inputs, due both to the shares held upstream – in the market for the supply of wood waste for the production and marketing of secondary raw materials – and to the position held downstream by the Saviola Group. It is also noted that the main competitors in the downstream market for the production of particle boards are vertically integrated in the supply of wood waste.</w:t>
        <w:br/>
        <w:t>31. In light of the above considerations, it is believed that in the affected markets the operation will not have detrimental effects on competition, not significantly altering the effective competition therein and not resulting in the establishment or strengthening of a dominant position.</w:t>
        <w:br/>
        <w:t>CONSIDERING, therefore, that the operation under examination does not significantly impede effective competition in the affected markets pursuant to article 6, paragraph 1, of law no. 287/1990 and does not result in the establishment or strengthening of a dominant position;</w:t>
        <w:br/>
        <w:t>CONSIDERING, furthermore, that the non-competition obligations between the parties are accessory to this operation only to the limits described above and that the Authority reserves the right to evaluate, where the conditions exist, the aforementioned agreements that extend beyond the indicated limits;</w:t>
        <w:br/>
        <w:t>RESOLVES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br/>
        <w:t>This provision will be published in the Bulletin of the Antitrust Authority.</w:t>
        <w:br/>
        <w:t>THE SECRETARY GENERAL THE PRESIDENT</w:t>
        <w:br/>
        <w:t>Guido Stazi Roberto Rustichelli</w:t>
      </w:r>
    </w:p>
    <w:p>
      <w:r>
        <w:t>32 BULLETIN NO. 11 OF MARCH 18, 2024</w:t>
        <w:br/>
        <w:t>C12610 - SAGE/RE SERGIO RECYCLING</w:t>
        <w:br/>
        <w:t>Provision no. 31099</w:t>
        <w:br/>
        <w:t>THE ANTITRUST AUTHORITY</w:t>
        <w:br/>
        <w:t>IN ITS MEETING of February 27, 2024;</w:t>
        <w:br/>
        <w:t>HEARD the Rapporteur, Professor Elisabetta Iossa;</w:t>
        <w:br/>
        <w:t>HAVING REGARD TO Regulation (EC) No. 139/2004;</w:t>
        <w:br/>
        <w:t>HAVING REGARD TO Law No. 287 of October 10, 1990;</w:t>
        <w:br/>
        <w:t>HAVING REGARD TO Presidential Decree No. 217 of April 30, 1998;</w:t>
        <w:br/>
        <w:t>HAVING REGARD TO the communication made by SAGE S.r.l., received on February 8, 2024;</w:t>
        <w:br/>
        <w:t>CONSIDERED the following:</w:t>
        <w:br/>
        <w:t>I. THE PARTIES</w:t>
        <w:br/>
        <w:t>1. SAGE S.r.l. (“SAGE”) is a company that manages investments in companies engaged in the establishment and operation of technically organized collection centers for the collection, volumetric reduction, and marketing of recovered wood and wood in general. SAGE is controlled, through Gruppo Mauro Saviola S.r.l. (“GMS”), by Saviola Holding S.r.l., which exercises its direction and coordination.</w:t>
        <w:br/>
        <w:t>2. Saviola Holding S.r.l. and its subsidiaries (jointly referred to as “Saviola Group”) are active in the wood, chemical, and kit furniture sectors in Italy and abroad. The “Wood” business unit, in particular, consists of GMS based in Italy, its Italian subsidiaries, Rheinspan Gmbh &amp; co. KG (Germany), and Sadepan Latinoamericana SA (Argentina). These companies are engaged in the production of various types of particle boards (e.g., raw, laminated, water-resistant, fire-resistant), as well as in the provision of goods and services related to this main activity (production of edges and surfaces for furniture, production of semi-finished products derived from the board for the furniture industry, collection of post-consumer wood for the production of boards as well as biomass and other post-consumer materials, transport and logistics services, etc.).</w:t>
        <w:br/>
        <w:t>3. In 2022, the Saviola Group achieved a consolidated turnover of approximately [700-1,000]* million euros, of which approximately [532-700] million euros in Italy and approximately [100-532] million euros in the rest of the European Union.</w:t>
        <w:br/>
        <w:t>4. Re Sergio Recycling S.r.l. (hereinafter, “Re Sergio” or “Target”) is a company active in the recovery/recycling of wood residues. Prior to the acquisition, Re Sergio was a branch of the company Re Sergio Autotrasporti S.r.l., whose share capital is held by 3 individuals.</w:t>
        <w:br/>
        <w:t>5. In 2022, Re Sergio achieved a turnover of approximately [1-10] million euros in Italy.</w:t>
        <w:br/>
        <w:t>* In this version, some data are omitted, as it was deemed that there were elements of confidentiality or secrecy of the information.</w:t>
      </w:r>
    </w:p>
    <w:p>
      <w:r>
        <w:rPr>
          <w:b/>
        </w:rPr>
        <w:t>[Pages 31–33]</w:t>
      </w:r>
    </w:p>
    <w:p>
      <w:r>
        <w:t>BULLETIN NO. 11 OF MARCH 18, 2024 33</w:t>
        <w:br/>
        <w:t>II. DESCRIPTION OF THE OPERATION</w:t>
        <w:br/>
        <w:t>6. The operation consists of the acquisition, by the Saviola Group, of 100% of the share capital of Re Sergio, established as a business unit of Re Sergio Autotrasporti S.r.l.</w:t>
        <w:br/>
        <w:t>7. The contract entered into between the parties provides that, for a period of [omitted] years from the date of the Closing of the Operation, the Sellers shall not engage in the European Union, directly and/or indirectly, in activities in competition with the Target.</w:t>
        <w:br/>
        <w:t>III. QUALIFICATION OF THE OPERATION</w:t>
        <w:br/>
        <w:t>8. The notified operation constitutes a concentration pursuant to article 5, paragraph 1, letter b), of law no. 287/1990, as it involves the acquisition of exclusive control of part of a company. It falls within the scope of application of law no. 287/1990, as the conditions set out in article 1 of Regulation (EC) no. 139/2004 do not apply, and it is not subject to the obligation of prior notification provided for by article 16, paragraph 1, of the same law, as the turnover achieved individually at the national level by at least two of the companies involved was below 32 million euros. However, the operation is notified pursuant to article 16, paragraph 1-bis, of law no. 287/1990, as the total turnover achieved in the last financial year at the national level by all the companies involved was above 532 million euros and the Authority deemed, by decision of December 19, 2023, that prima facie there are concrete risks for competition in the national market or in a significant part of it.</w:t>
        <w:br/>
        <w:t>9. The non-competition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geographically limited to the area of activity of the acquired company, temporally to a period of two years, and does not prevent the seller from acquiring or holding shares solely for financial investment purposes, without this resulting, directly or indirectly, in the assignment of management roles or substantial influence in the competing company1.</w:t>
        <w:br/>
        <w:t>IV. ASSESSMENT OF THE CONCENTRATION</w:t>
        <w:br/>
        <w:t>IV.1. Relevant markets</w:t>
        <w:br/>
        <w:t>IV.1.1. Premise</w:t>
        <w:br/>
        <w:t>10. The Saviola Group is active in the production of particle boards, while the Target is active in the collection and recovery of wooden waste, which constitutes a relevant input for the production of particle boards. In fact, according to data from the Rilegno association, 97.1% of the tons of recovered wood becomes particle board2. In this context, the definition of relevant markets must be made with specific regard to the vertical relationship between the collection of wooden waste, its transformation into secondary raw material, and finally, its reuse as input for the production of particle boards.</w:t>
        <w:br/>
        <w:t>1 Communication from the Commission on restrictions directly related and necessary to concentration operations (2005/C 56/03) published in the Official Journal of the European Communities on March 5, 2005.</w:t>
        <w:br/>
        <w:t>2 https://www.rilegno.org/prodotti-del-riciclo/pannelli-truciolari/</w:t>
      </w:r>
    </w:p>
    <w:p>
      <w:r>
        <w:t>34 BULLETIN NO. 11 OF MARCH 18, 2024</w:t>
        <w:br/>
        <w:t>11. The process of collecting and processing wooden waste is divided into several phases. Initially, wooden waste is collected and/or delivered to collection centers. The active parties at this level of the supply chain, the so-called recyclers, are responsible for the collection and transportation of the waste, which is subsequently sent for recycling.</w:t>
        <w:br/>
        <w:t>12. The second level (treatment phase) consists of transforming the wooden waste into "secondary raw material," that is, carrying out specific processes of selection, treatment, and recovery, for which the wooden waste loses its qualification as waste – thus exiting the regulatory regime applicable to waste – and can be reintroduced as new raw materials into the economic system.</w:t>
        <w:br/>
        <w:t>13. The Target company and the Saviola Group are both active in collection and transportation as recyclers, while only the Saviola Group is active in the treatment and transformation phase of the waste into secondary raw material.</w:t>
        <w:br/>
        <w:t>14. Finally, the secondary raw material derived from wood is used as input for the production of particle boards, an activity carried out by the Saviola Group.</w:t>
        <w:br/>
        <w:t>IV.1.2. The market for the procurement of wooden waste for the production and marketing of secondary raw material for wooden particle boards</w:t>
        <w:br/>
        <w:t>15. The concentration under examination affects, both with respect to horizontal aspects and those of a vertical nature, the market for the procurement of wooden waste for the production and marketing of secondary raw material for wooden particle boards3. This market is identified as that of collection and transportation, also for the subsequent treatment and transformation into secondary raw material suitable to become input in the production of particle boards.</w:t>
        <w:br/>
        <w:t>16. In this regard, it is noted that particle boards could be produced with additional inputs different from those derived from waste (these are production scraps that do not have the qualification of waste or virgin wood). However, for the purposes of this operation, it is not necessary to verify the potential substitutability with such inputs, as competitive assessments do not change even considering the more restrictive configuration of the market, which considers exclusively wooden waste.</w:t>
        <w:br/>
        <w:t>17. From a geographical market definition perspective, it is noted that almost all recyclers are located in central-northern Italy. Likewise, almost all particle board production plants are located in the same geographical areas. Therefore, it is possible to leave the geographical definition of the relevant market open, that is, whether it is national or local, in areas of a maximum of 200-300 km from the collection centers, as competitive assessments would not change.</w:t>
        <w:br/>
        <w:t>18. Based on the most cautious estimates, based on Eurostat data4 and developed to fill the absence of data regarding the size of the market, the wooden waste subject to recycling in Italy is approximately 3.58 million tons5. Based on this data, the estimated market shares of the participants are as follows:</w:t>
        <w:br/>
        <w:t>Table 1 – Estimate of market shares in volume in the procurement of wooden waste</w:t>
        <w:br/>
        <w:t>Integrated Market Share (on estimates</w:t>
        <w:br/>
        <w:t>ton (/000)</w:t>
        <w:br/>
        <w:t>vertically Eurostat)</w:t>
        <w:br/>
        <w:t>Re Sergio no [omitted] [&lt;1%]</w:t>
        <w:br/>
        <w:t>Saviola Group6 yes [omitted] [35-40%]</w:t>
        <w:br/>
        <w:t>Joint share [omitted] [35-40%]</w:t>
        <w:br/>
        <w:t>Frati Luigi Group yes [omitted] [20-25%]</w:t>
        <w:br/>
        <w:t>Egger Group yes [omitted] [10-15%]</w:t>
        <w:br/>
        <w:t>Kastamonu Group yes [omitted] [5-10%]</w:t>
        <w:br/>
        <w:t>Fantoni yes [omitted] [5-10%]</w:t>
        <w:br/>
        <w:t>Others [omitted] [10-15%]</w:t>
        <w:br/>
        <w:t>Total Eurostat 3.586 100%</w:t>
        <w:br/>
        <w:t>19. In Italy, there are at least 380 platforms of wood recyclers7 and the Saviola Group is active with 17 platforms, in addition to that of the Target. The following table shows the statistics (mean, median, thirtieth and eightieth percentile8) of the distances from the Target's collection center to those of the Saviola Group and competitors. From this data, it is observed that there is no particular competitive proximity between the Target and the acquiring company in terms of distance, as they are similar or even greater than those of other competing recyclers' centers.</w:t>
        <w:br/>
        <w:t>5 See Dataset Treatment of waste by waste category, hazardousness and waste management operations [env_wastrt__custom_9374774, Hazard class: Non-hazardous; Waste management operations: Recovery – recycling; Waste categories: Wood wastes; Geopolitical entity (reporting): Italy]. Eurostat data refers to 2020. According to the parties, the total volume of wooden waste collected and sent for recycling/recovery in Italy in 2022 is at least approximately 3,617,000 tons.</w:t>
        <w:br/>
        <w:t>6 The data also includes the shares of waste pertaining to the companies Morandi-Bortot S.r.l. and Del Curto S.r.l. which are subject to parallel analysis (see cases C12609 and C12610).</w:t>
        <w:br/>
        <w:t>7 The figure refers to the number of recycling platforms that are registered with Rilegno, which represent about 60% of the total collection of wooden waste.</w:t>
        <w:br/>
        <w:t>8 The median, thirtieth percentile, and eightieth measure the distance respectively of the first half (50%), the first 30%, and the first 80% of the collection centers closest to that of the Target company.</w:t>
      </w:r>
    </w:p>
    <w:p>
      <w:r>
        <w:rPr>
          <w:b/>
        </w:rPr>
        <w:t>[Pages 34–36]</w:t>
      </w:r>
    </w:p>
    <w:p>
      <w:r>
        <w:t>36 BULLETIN NO. 11 OF MARCH 18, 2024</w:t>
        <w:br/>
        <w:t>Table 2 – Distances between the Target collection center and the collection centers of the Saviola Group and competitors</w:t>
        <w:br/>
        <w:t>Distances (km)</w:t>
        <w:br/>
        <w:t>compared to the Saviola Group compared to competitors</w:t>
        <w:br/>
        <w:t>Average [200-250] [200-250]</w:t>
        <w:br/>
        <w:t>Thirtieth percentile [100-150] [50-100]</w:t>
        <w:br/>
        <w:t>Median [150-200] [150-200]</w:t>
        <w:br/>
        <w:t>Eightieth percentile [300-350] [300-350]</w:t>
        <w:br/>
        <w:t>IV.1.3. The markets (i) for the production of raw particle boards and (ii) for the production of laminated particle boards</w:t>
        <w:br/>
        <w:t>20. Raw and laminated particle boards are semi-finished wood products, or artificial woods that can be divided into different categories: (i) particle boards; (ii) fiber boards; (iii) plywood (or laminated boards); (iv) slatted boards.</w:t>
        <w:br/>
        <w:t>21. Particle boards (or wood particle boards, known as “particle board” or “PB”) are panels produced primarily using recycled wood and, to a lesser extent, virgin wood. These panels are obtained through the hot pressing of wood particles of varying sizes mixed with adhesive resins (urea glues and/or urea-melamine). Particle boards can be divided into raw particle boards (raw PB) or laminated particle boards (or coated, known as coated PB). There may also be a distinction based on the thickness of the panels. As previously indicated, almost all particle boards in Italy (97%) are made from wood waste that has become secondary raw material.</w:t>
        <w:br/>
        <w:t>22. According to national and European precedents, it is possible to distinguish, from a commercial perspective, raw particle boards from laminated particle boards9, thus identifying two distinct product markets. In the same European precedents and in a national precedent, the Authority has also left open the definition of the market regarding further sub-segmentation of laminated particle boards based on the possible coatings used10 (melamine films, PVC sheets, lacquered and printed, veneered with wood veneers)11.</w:t>
        <w:br/>
        <w:t>23. Regarding the geographical definition of the market, national precedents have identified a national geographical extension12. In some precedents, the EU Commission has considered that the market for raw particle boards was at least cross-border regional, consisting of circular user basins centered on each production plant, with an isometric radius of 500 km13. For laminated particle boards, the Commission has also defined a geographical market extension consisting of isometric radii of 500 km, while leaving the definition of the market open regarding the extension and, in particular, noting that the market may be broader and extend up to 1,000 km14.</w:t>
        <w:br/>
        <w:t>24. In the case at hand, it is not necessary to arrive at a conclusive definition of the relevant market both from a commercial and geographical perspective, as the competitive conclusions, of a purely vertical nature, would not change in any possible configuration of the relevant market. The estimates of market shares provided by the notifying party are shown in the following table.</w:t>
        <w:br/>
        <w:t>Table 3 – Estimate of market shares for the production of raw and laminated particle boards15</w:t>
        <w:br/>
        <w:t>Raw particle boards Laminated particle boards</w:t>
        <w:br/>
        <w:t>isometric market isometric market</w:t>
        <w:br/>
        <w:t>500 km national 500 km national</w:t>
        <w:br/>
        <w:t>Saviola Group [10-15%] [15-20%] [15-20%] [20-25%]</w:t>
        <w:br/>
        <w:t>Egger Group [20-25%] [10-15%] [20-25%] [10-15%]</w:t>
        <w:br/>
        <w:t>Frati Group [10-15%] [25-30%] [10-15%] [25-30%]</w:t>
        <w:br/>
        <w:t>CF2P Group [5-10%] n.a.16 [5-10%] n.a.</w:t>
        <w:br/>
        <w:t>Kaindl Group [5-10%] n.a.17 [5-10%] n.a.</w:t>
        <w:br/>
        <w:t>Kastamonu Italia n.d. 11% n.d. 11%</w:t>
        <w:br/>
        <w:t>Fantoni n.d. 11% n.d. 11%</w:t>
        <w:br/>
        <w:t>Xilopan S.p.A. n.d. 3% n.d. 3%</w:t>
        <w:br/>
        <w:t>Others 40% 18% 35% 11%</w:t>
        <w:br/>
        <w:t>100% 100% 100% 100%</w:t>
        <w:br/>
        <w:t>13 Cf. European Commission Decision of 23/04/2013, case M.6871 – Mohawk Industries/Spano Invest; European Commission Decision of 31/07/2007, case COMP/M.4525 - Kronospan/Constantia.</w:t>
        <w:br/>
        <w:t>14 Cf. European Commission Decision of 23/04/2013, case M.6871 – Mohawk Industries/Spano Invest.</w:t>
        <w:br/>
        <w:t>15 Cf. Data from the form and its attachments (attachment II).</w:t>
        <w:br/>
        <w:t>16 The production facilities are located outside Italy but within an isometric radius of 500 km from the production facilities of the Saviola Group.</w:t>
        <w:br/>
        <w:t>17 The production facilities are located outside Italy but within an isometric radius of 500 km from the production facilities of the Saviola Group.</w:t>
      </w:r>
    </w:p>
    <w:p>
      <w:r>
        <w:t>38 BULLETIN NO. 11 OF MARCH 18, 2024</w:t>
        <w:br/>
        <w:t>IV.2. Effects of the operation</w:t>
        <w:br/>
        <w:t>25. The concentration operation under examination concerns the acquisition of exclusive control of Re Sergio by the Saviola Group. This operation presents horizontal aspects, as both the Target and the Saviola Group are active as recyclers in the collection of wood waste, and vertical aspects, as wood waste is primarily used for the production of particle boards, a sector in which the Saviola Group is active.</w:t>
        <w:br/>
        <w:t>26. From a horizontal effects perspective, the Target holds a market share in the supply of wood waste intended for the production of particle boards of approximately [less than 1%] and the Saviola Group holds a share of [30-35%]; therefore, the combined market shares are [35-40%] considering the more cautious estimates on the volume of recycled wood (Table 1 above). The increase in market shares of the new entity due to the acquisition of the Target is entirely marginal. In this market, there are also other operators with shares exceeding 20-25% or 10-15% who are also vertically integrated.</w:t>
        <w:br/>
        <w:t>27. Furthermore, there are numerous recycling platforms – over 380 – and the analysis of the average distance and by percentiles does not appear to highlight significant differences between that between the Target and the Saviola Group, compared to that between the main competitors active in wood recycling.</w:t>
        <w:br/>
        <w:t>28. Finally, there are various operators active in recycling who have a significant presence in the market and are also vertically integrated into the production of particle boards.</w:t>
        <w:br/>
        <w:t>29. From a vertical perspective, it is not believed that the operation could lead to exclusionary effects on inputs, due both to the shares held upstream – in the market for the supply of wood waste for the production and marketing of secondary raw materials – and the position held downstream by the Saviola Group. It is also noted that the main competitors in the downstream market for the production of particle boards are vertically integrated into the supply of wood waste.</w:t>
        <w:br/>
        <w:t>30. In light of the above considerations, it is believed that in the affected markets the operation will not have detrimental effects on competition, not significantly altering the effective competition therein and not leading to the establishment or strengthening of a dominant position.</w:t>
        <w:br/>
        <w:t>THEREFORE, it is deemed that the operation under examination does not significantly impede effective competition in the affected markets, pursuant to article 6, paragraph 1, of law no. 287/1990, and does not lead to the establishment or strengthening of a dominant position;</w:t>
        <w:br/>
        <w:t>IT IS ALSO DEEMED that the non-competition obligations between the parties are accessory to this operation only to the limits described above and that the Authority reserves the right to evaluate, where the conditions exist, the aforementioned agreements that exceed the limits indicated therein;</w:t>
        <w:br/>
        <w:t>DECIDES</w:t>
        <w:br/>
        <w:t>not to initiate the investigation referred to in article 16, paragraph 4, of law no. 287/1990.</w:t>
        <w:br/>
        <w:t>The above conclusions will be communicated, pursuant to article 16, paragraph 4, of law no. 287/1990, to the interested companies and to the Minister of Enterprises and Made in Italy.</w:t>
      </w:r>
    </w:p>
    <w:p>
      <w:r>
        <w:rPr>
          <w:b/>
        </w:rPr>
        <w:t>[Pages 37–39]</w:t>
      </w:r>
    </w:p>
    <w:p>
      <w:r>
        <w:t>BULLETIN NO. 11 OF MARCH 18, 2024 39</w:t>
        <w:br/>
        <w:t>This provision will be published in the Bulletin of the Antitrust Authority.</w:t>
        <w:br/>
        <w:t>THE SECRETARY GENERAL THE PRESIDENT</w:t>
        <w:br/>
        <w:t>Guido Stazi Roberto Rustichelli</w:t>
      </w:r>
    </w:p>
    <w:p>
      <w:r>
        <w:t>40 BULLETIN NO. 11 OF MARCH 18, 2024</w:t>
        <w:br/>
        <w:t>REPORTING AND CONSULTATIVE ACTIVITIES</w:t>
        <w:br/>
        <w:t>AS1951 - EVALUATION OF PROPORTIONALITY OF THE PROFESSION OF LIFEGUARDS</w:t>
        <w:br/>
        <w:t>Rome, February 1, 2024</w:t>
        <w:br/>
        <w:t>Ministry of Infrastructure and Transport</w:t>
        <w:br/>
        <w:t>With reference to the request for an opinion formulated, pursuant to article 3, paragraph 3, of Legislative Decree No. 142/2020, by this Ministry regarding the draft regulation concerning the procedures for issuing licenses for the exercise of the lifeguard activity and the requirements for conducting training and instruction by the entities authorized to issue certificates, the Antitrust Authority, in its meeting of January 23, 2024, observed the following.</w:t>
        <w:br/>
        <w:t>In light of the reasons highlighted in the documentation attached to the request for an opinion, while appreciating the attempt made with the draft regulation under examination to generally establish a balance between the need to ensure broad market access for operators potentially interested in conducting training and instruction activities and the necessity to ensure high professional standards due to the relevance of the public interest protected by the activity in question, namely the safety and health of bathers, nonetheless, some competitive criticalities were noted in the same draft.</w:t>
        <w:br/>
        <w:t>In particular, the provision contained in article 4, letter e), regarding prior experience in the market - i.e. “having documented experience in first aid and in physical activities in the aquatic environment” - better specified in the explanatory report as an experience of “five years” duration, appears excessively long and likely to hinder the entry of new operators into the market, as the only subjects who currently meet this requirement are the same operators now authorized to conduct training courses.</w:t>
        <w:br/>
        <w:t>Therefore, this Ministry is invited to modify this requirement to provide for a shorter duration, specifying, furthermore, in article 4, letter e), that the possession of such experience may alternatively be found in the training entity or in the partners of the training entity.</w:t>
        <w:br/>
        <w:t>Similarly, the requirement in article 4, letter d), which stipulates that the training entity must have a widespread presence in the national territory and operate with at least thirty local branches or affiliations permanently present in at least fifteen regions where training and instruction activities can be conducted, appears excessively restrictive and disproportionate.</w:t>
      </w:r>
    </w:p>
    <w:p>
      <w:r>
        <w:t>BULLETIN NO. 11 OF MARCH 18, 2024 41</w:t>
        <w:br/>
        <w:t>This opinion will be published in the Bulletin of the Antitrust Authority. Any confidentiality needs must be expressed within thirty days of receiving this opinion, specifying the reasons.</w:t>
        <w:br/>
        <w:t>THE PRESIDENT</w:t>
        <w:br/>
        <w:t>Roberto Rustichelli</w:t>
      </w:r>
    </w:p>
    <w:p>
      <w:r>
        <w:rPr>
          <w:b/>
        </w:rPr>
        <w:t>[Pages 40–42]</w:t>
      </w:r>
    </w:p>
    <w:p>
      <w:r>
        <w:t>42 BULLETIN NO. 11 OF MARCH 18, 2024</w:t>
        <w:br/>
        <w:t>AS1952 – ATO 2 PIEMONTE - RECOGNITION SPL 2023</w:t>
        <w:br/>
        <w:t>Rome, February 29, 2024</w:t>
        <w:br/>
        <w:t>Authority for the Governance of the Optimal Territorial Area No. 2 Biellese, Vercellese, Casalese</w:t>
        <w:br/>
        <w:t>The Authority for the Competition and the Market, in its meeting of February 27, 2024, has resolved to formulate some observations pursuant to article 21 of law no. 287/1990 regarding the report adopted by this Authority pursuant to article 30 of Legislative Decree no. 201/2022 (concerning the “Reorganization of the regulation of local public services of economic relevance”), containing the recognition of the management situation of the integrated water service entrusted in the area of competence1.</w:t>
        <w:br/>
        <w:t>According to article 30, paragraph 1, of Legislative Decree no. 201/2022, such recognition must assess the actual performance of each local public service entrusted by the competent authorities,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entrusting authorities.</w:t>
        <w:br/>
        <w:t>The new Legislative Decree no. 201/2022 has, therefore, aimed to make the results of the management of local public services more transparent, assigning to the authorities the task of verifying that the conditions for offering the service are sustainable over time from an economic and financial point of view and such as to ensure, also from a qualitative perspective, the satisfaction of users' needs.</w:t>
        <w:br/>
        <w:t>From the analysis of the report adopted by this Authority and published on the ANAC portal, some critical issues and shortcomings emerge regarding the evaluation elements required by the aforementioned article 30, paragraph 1, of Legislative Decree no. 201/2022, particularly from the perspective of the economic performance of the management and the quality of the service, as well as the duration of the assignment.</w:t>
        <w:br/>
        <w:t>The service in question is entrusted to three in-house companies participated by the municipalities of the ATO (AM+ S.p.A., Cordar Biella Servizi S.p.A., and CO.R.D.A.R. Valsesia S.p.A.), to a publicly participated company (Integrated Water Service - S.I.I. S.p.A.), and to a mixed company (ASM Vercelli S.p.A.), with a duration from July 1, 2007, until December 31, 2023.</w:t>
        <w:br/>
        <w:t>Preliminarily, with reference to the duration of the assignment, it is highlighted that, despite the expiration of the assignment for all managers as of December 31, 2023, the recognition does not provide information on the future method of entrusting the management of the service nor on the possible extension of the currently existing managements.</w:t>
        <w:br/>
        <w:t>It is noted that the Authority has already evaluated the aggregation project of some of the current managers, which provides for the establishment of a new in-house company, called Società Consortile B.C.V. S.c.a.r.l., as the sole manager of the integrated water service participated by AM+ S.p.A., Cordar Biella Servizi S.p.A., CO.R.D.A.R. Valsesia S.p.A., and Integrated Water Service - S.I.I. S.p.A. (following the transformation of the latter into an in-house company), to which the integrated water service in ATO 2 of Piedmont will be entrusted. However, the recognition does not report information regarding the completion of this operation, nor regarding the transformation of the company Integrated Water Service - S.I.I. S.p.A. into an in-house company.</w:t>
        <w:br/>
        <w:t>It is also highlighted that from the information obtained in report no. 385/2024/I/IDR of February 6, 2024, from ARERA, it appears that this Authority has not resolved regarding the approval of the area plan nor on the choice of the management model, so much so that the President of the Region, with decree no. 5/2024/XI of February 1, 2024, exercised the substitute power against the Authority, pursuant to article 172, paragraph 4, of Legislative Decree no. 152/2006, appointing a commissioner ad acta.</w:t>
        <w:br/>
        <w:t>Regarding the economic performance of the management, the recognition highlights negative results for the managers Cordar Biella Servizi S.p.A. and CO.R.D.A.R. Valsesia S.p.A., which recorded losses in the financial year relating to 2022. Regarding the costs of the service, the recognition reports the tariff plan provided by the financial economic plan for each manager, without, however, indicating the cost per capita for users and/or citizens. There are also no indicators on user satisfaction.</w:t>
        <w:br/>
        <w:t>Furthermore, the technical quality of the service is reported as barely sufficient for the manager Integrated Water Service - S.I.I. S.p.A., which records insufficient indices regarding the quality of the water supplied and that treated, while, although the technical quality is overall decent for Cordar Biella Servizi S.p.A. and for CO.R.D.A.R. Valsesia S.p.A., for the former the indicator regarding the quality of the water supplied is insufficient, and for the latter the indicator regarding the disposal of sludge in landfills is insufficient. In this regard, the recognition does not provide clarifications or information on the actions taken or planned by the managers to achieve the quality objectives defined by ARERA.</w:t>
        <w:br/>
        <w:t>Therefore, in light of the considerations outlined above, the Authority hopes that this Authority will promptly take action to ensure that the integrated water service in its area of competence is carried out with high levels of quality, safety, and under the best economic conditions, to the benefit of users. This is, after all, the rationale of the pro-competitive reform carried out by Legislative Decree no. 201/2022 and, in particular, by article 30, which established a principle of transparency regarding the choices made by the Administrations and the results of the managements, precisely in order to achieve and maintain those objectives of universality, quality, and accessibility of services that are the basis of the very reason for being of public service.</w:t>
        <w:br/>
        <w:t>Therefore, this Administration is invited to communicate, within thirty days from the receipt of this notification, the initiatives taken to remove the critical issues highlighted above.</w:t>
      </w:r>
    </w:p>
    <w:p>
      <w:r>
        <w:t>The present notification will be published in the Bulletin of the Authority for the Competition and the Market.</w:t>
        <w:br/>
        <w:t>THE PRESIDENT</w:t>
        <w:br/>
        <w:t>Roberto Rustichelli</w:t>
      </w:r>
    </w:p>
    <w:p>
      <w:r>
        <w:rPr>
          <w:b/>
        </w:rPr>
        <w:t>[Pages 43–45]</w:t>
      </w:r>
    </w:p>
    <w:p>
      <w:r>
        <w:t>BULLETIN NO. 11 OF MARCH 18, 2024 45</w:t>
        <w:br/>
        <w:t>AS1953 – GOVERNING BODY OF THE SARDINIA AREA - SURVEY SPL 2023</w:t>
        <w:br/>
        <w:t>Rome, February 29, 2024</w:t>
        <w:br/>
        <w:t>Governing Body of the Sardinia Area</w:t>
        <w:br/>
        <w:t>The Italian Competition Authority, in its meeting of February 27, 2024, resolved to formulate some observations pursuant to Article 21 of Law No. 287/1990 regarding the report adopted by this Body pursuant to Article 30 of Legislative Decree No. 201/2022 (concerning the “Reorganization of the regulation of local public services of economic relevance”), containing the survey of the management situation of the integrated water service entrusted in the area of competence1.</w:t>
        <w:br/>
        <w:t>According to Article 30, paragraph 1, of Legislative Decree No. 201/2022, such survey must assess the actual performance of each local public service entrusted by the competent authorities,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survey must also indicate the extent of recourse to in-house assignments and the burdens and results for the entrusting authorities.</w:t>
        <w:br/>
        <w:t>The new Legislative Decree No. 201/2022 thus aimed to make the results of the management of local public services more transparent, assigning to the authorities the task of verifying that the conditions for offering the service are sustainable over time from an economic and financial point of view and such as to ensure, also from a qualitative perspective, the satisfaction of users' needs.</w:t>
        <w:br/>
        <w:t>From the analysis of the report adopted by this Body and published on the ANAC portal, some critical issues and shortcomings emerge regarding the management of the integrated water service, particularly from the perspective of the economic performance of the management and the quality of service.</w:t>
        <w:br/>
        <w:t>The service in question is entrusted to the in-house company Abbanoa S.p.A., 70.94% owned by the Sardinia Region and the remaining percentage of the share capital by all the Municipalities of the Optimal Territorial Area (“ATO”), effective from December 31, 2004, until December 31, 2025.</w:t>
        <w:br/>
        <w:t>Regarding the economic performance of the management, the survey highlights negative results for the operator, which recorded losses in the financial year relating to 2022.</w:t>
        <w:br/>
        <w:t>1 The aforementioned report was published on the portal dedicated to the Transparency of Local Public Services (“Transparency SPL”), of the National Anti-Corruption Authority (ANAC) on January 3, 2024.</w:t>
      </w:r>
    </w:p>
    <w:p>
      <w:r>
        <w:t>46 BULLETIN NO. 11 OF MARCH 18, 2024</w:t>
        <w:br/>
        <w:t>Furthermore, the technical quality of the service is overall insufficient for Abbanoa S.p.A., being deficient in terms of water losses and not reaching the quality standards set by ARERA regarding the quality of the water supplied and the adequacy of the sewage system.</w:t>
        <w:br/>
        <w:t>Moreover, there are no indicators on user satisfaction. In this regard, the survey does not provide clarifications or information on the actions taken or planned by the operator to achieve the quality objectives defined by ARERA.</w:t>
        <w:br/>
        <w:t>Moreover, it is noted that, from the survey in question, the requirements provided for by the regulations for the in-house management form concerning the company entrusted with the management of the service are not evident.</w:t>
        <w:br/>
        <w:t>With reference to the existence of the in-house requirements of the company Abbanoa S.p.A., the Authority has already expressed itself in the past2 and, however, the critical issues raised at that time do not seem to be completely overcome, particularly regarding the ownership of the majority of the share capital by the Region. As noted here, it is highlighted that the participation of the Sardinia Region, which was over 68% at the time, has now increased to 70.94%.</w:t>
        <w:br/>
        <w:t>In this regard, the survey reports that the Region, as provided for by Article 15, paragraph 1, of Regional Law No. 4/2015 (as amended by Regional Law No. 25/2017), “current majority shareholder with 70.9% of the share capital, […] must proceed with the transfer of its shares to the Municipalities in order to maintain a participation share of a maximum of 20% of the share capital”3, noting that the aforementioned “transfer procedure is underway,” without, however, indicating the deadlines for the completion of this operation.</w:t>
        <w:br/>
        <w:t>From the information obtained in report No. 385/2024/I/IDR of February 6, 2024, from ARERA, it appears instead that “there are no ongoing organizational reordering procedures of the governing body, with respect to which problems have often been found in the activities delegated at the local level regarding the updating of the necessary acts for an orderly reception of the obligations set by the regulation.”</w:t>
        <w:br/>
        <w:t>In this regard, the Authority believes that the shareholding structure of Abbanoa S.p.A. may violate Article 4, paragraph 1, of Legislative Decree No. 175/2016 - in the part that requires public administrations to establish, acquire, or maintain shares exclusively in companies that have as their object the production of goods or services strictly necessary “for the pursuit of their institutional purposes” - as Abbanoa S.p.A. is controlled by the Region and the organization and management of the integrated water service do not fall within regional competencies.</w:t>
        <w:br/>
        <w:t>In light of the above considerations, the Authority hopes that this Body will promptly take action to ensure that the integrated water service in its area of competence is carried out with high levels of quality, safety, and under the best economic conditions, for the benefit of users. This is, after all, the rationale of the pro-competitive reform carried out by Legislative Decree No. 201/2022 and, in particular, by Article 30, which established a principle of transparency regarding the choices made by the administrations and the results of the managements, precisely in order to achieve and maintain those objectives of universality, quality, and accessibility of services that are the basis of the very reason for being of public service.</w:t>
        <w:br/>
        <w:t>Therefore, this Administration is invited to communicate, within thirty days from the receipt of this report, the initiatives taken to remove the critical issues highlighted above.</w:t>
        <w:br/>
        <w:t>This report will be published in the Bulletin of the Italian Competition Authority.</w:t>
        <w:br/>
        <w:t>THE PRESIDENT</w:t>
        <w:br/>
        <w:t>Roberto Rustichelli</w:t>
      </w:r>
    </w:p>
    <w:p>
      <w:r>
        <w:rPr>
          <w:b/>
        </w:rPr>
        <w:t>[Pages 46–48]</w:t>
      </w:r>
    </w:p>
    <w:p>
      <w:r>
        <w:t>48 BULLETIN NO. 11 OF MARCH 18, 2024</w:t>
        <w:br/>
        <w:t>AS1954 – ATO OF THE PROVINCE OF VARESE - SURVEY SPL 2023</w:t>
        <w:br/>
        <w:t>Rome, February 29, 2024</w:t>
        <w:br/>
        <w:t>Optimal Territorial Authority Office</w:t>
        <w:br/>
        <w:t>of the Province of Varese</w:t>
        <w:br/>
        <w:t>The Italian Competition Authority, in its meeting of February 27, 2024, resolved to formulate some observations pursuant to Article 21 of Law No. 287/1990 regarding the report adopted by this Entity under Article 30 of Legislative Decree No. 201/2022 (concerning the “Reorganization of the regulation of local public services of economic relevance”), containing the survey of the management situation of the integrated water service entrusted in the area of competence1.</w:t>
        <w:br/>
        <w:t>According to Article 30, paragraph 1, of Legislative Decree No. 201/2022, this survey must assess the actual performance of each local public service entrusted by the competent entities,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survey must also indicate the extent of recourse to in-house assignments and the burdens and results for the entrusting entities.</w:t>
        <w:br/>
        <w:t>The new Legislative Decree No. 201/2022 thus aimed to make the results of the management of local public services more transparent, assigning to the entities the task of verifying that the conditions for offering the service are sustainable over time from an economic and financial point of view and such as to ensure, also from a qualitative perspective, the satisfaction of users' needs.</w:t>
        <w:br/>
        <w:t>From the analysis of the report adopted by this Entity and published on the ANAC portal, some critical issues and shortcomings emerge regarding the management of the integrated water service, particularly concerning the economic performance of the management and the quality of service.</w:t>
        <w:br/>
        <w:t>The service in question is entrusted in-house to the single manager Alfa Varese S.r.l., a company owned by the municipalities of the Optimal Territorial Authority (ATO) and the Province of Varese, with a duration from October 1, 2015, until September 30, 2035, except for the aqueduct segment in the territory of thirty-four municipalities of the Province of Varese, for which the safeguarded management is entrusted to the private manager Lereti S.p.A. until the natural expiration of the existing contracts entrusted by each of the municipalities concerned (the last of which will expire on December 31, 2036).</w:t>
        <w:br/>
        <w:t>1 The aforementioned report was published on the portal dedicated to the Transparency of Local Public Services (“Transparency SPL”), of the National Anti-Corruption Authority (ANAC) on January 3, 2024.</w:t>
      </w:r>
    </w:p>
    <w:p>
      <w:r>
        <w:t>BULLETIN NO. 11 OF MARCH 18, 2024 49</w:t>
        <w:br/>
        <w:t>Regarding the economic performance of the management, the survey highlights negative results for the manager Alfa Varese S.r.l., which recorded losses in the financial year relating to 2022. Furthermore, the technical quality of the service is reported as barely sufficient for Alfa Varese S.r.l., not reaching the quality standards set by ARERA concerning the indices related to the adequacy of the sewage system and the quality of treated water. In this regard, the survey merely indicates that the investment plan of the single manager concerning the entire period of service assignment (until 2035) aims “at the gradual improvement of the quality of the water service,” reporting in a table the data on the percentage distribution of planned investments concerning ARERA indicators (allocated 21.2% to the adequacy of the sewage system and 44.1% to the quality of treated water), but does not provide clarifications or information on the specific actions taken or planned by the manager to achieve the quality objectives defined by ARERA.</w:t>
        <w:br/>
        <w:t>In light of the above considerations, the Authority hopes that this Entity will act promptly to ensure that the integrated water service in its area of competence is carried out with high levels of quality, safety, and under the best economic conditions, for the benefit of users. This is, after all, the rationale behind the pro-competitive reform carried out by Legislative Decree No. 201/2022 and, in particular, by Article 30, which established a principle of transparency regarding the choices made by the Administrations and the results of the managements, precisely in order to achieve and maintain those objectives of universality, quality, and accessibility of services that are the very foundation of the public service's raison d'être.</w:t>
        <w:br/>
        <w:t>Therefore, this Administration is invited to communicate, within thirty days from the receipt of this notification, the initiatives taken to remove the critical issues identified above. This notification will be published in the Bulletin of the Italian Competition Authority.</w:t>
        <w:br/>
        <w:t>THE PRESIDENT</w:t>
        <w:br/>
        <w:t>Roberto Rustichelli</w:t>
      </w:r>
    </w:p>
    <w:p>
      <w:r>
        <w:t>50 BULLETIN NO. 11 OF MARCH 18, 2024</w:t>
        <w:br/>
        <w:t>AS1955 – ERSI ABRUZZO - SURVEY SPL 2023</w:t>
        <w:br/>
        <w:t>Rome, February 29, 2024</w:t>
        <w:br/>
        <w:t>Regional Authority for Integrated Water Service</w:t>
        <w:br/>
        <w:t>Abruzzo</w:t>
        <w:br/>
        <w:t>The Italian Competition Authority, in its meeting of February 27, 2024, resolved to formulate some observations pursuant to Article 21 of Law No. 287/1990 regarding the report adopted by this Entity under Article 30 of Legislative Decree No. 201/2022 (concerning the “Reorganization of the regulation of local public services of economic relevance”), containing the survey of the management situation of the integrated water service entrusted in the area of competence1.</w:t>
        <w:br/>
        <w:t>According to Article 30, paragraph 1, of Legislative Decree No. 201/2022, this survey must assess the actual performance of each local public service entrusted by the competent entities, from the economic point of view, efficiency, quality of service,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survey must also indicate the extent of recourse to in-house assignments and the burdens and results for the entrusting entities.</w:t>
        <w:br/>
        <w:t>The new Legislative Decree No. 201/2022 thus aimed to make the results of the management of local public services more transparent, assigning to the entities the task of verifying that the conditions for offering the service are sustainable over time from an economic and financial point of view and such as to ensure, also from a qualitative perspective, the satisfaction of users' needs.</w:t>
        <w:br/>
        <w:t>From the analysis of the report adopted by this Entity and published on the ANAC portal, some critical issues and shortcomings emerge regarding the management of the water service, particularly concerning the economic performance of the management, costs for users, and the quality of service.</w:t>
        <w:br/>
        <w:t>The service in question is entrusted to six in-house companies owned by the municipalities of the Optimal Territorial Authority (hereinafter, “ATO”): Gran Sasso Acqua S.p.A. effective from July 18, 2016, until December 31, 2031 (in the territory of the former ATO Aquilano), as well as Consorzio Acquedottistico Marsicano S.p.A. (in the territory of the former ATO Marsicano), Servizi Ambientali Centro Abruzzo S.p.A. (in the territory of the former ATO Peligno Alto Sangro), Azienda Consortile Acquedottistica S.p.A. (in the territory of the former ATO Pescarese), Ruzzo Reti S.p.A. (in the territory of the former ATO Teramano) and Company</w:t>
        <w:br/>
        <w:t>1 The aforementioned report was published on the portal dedicated to the Transparency of Local Public Services (“Transparency SPL”), of the National Anti-Corruption Authority (ANAC) on January 3, 2024.</w:t>
      </w:r>
    </w:p>
    <w:p>
      <w:r>
        <w:rPr>
          <w:b/>
        </w:rPr>
        <w:t>[Pages 49–51]</w:t>
      </w:r>
    </w:p>
    <w:p>
      <w:r>
        <w:t>BULLETIN NO. 11 OF MARCH 18, 2024 51</w:t>
        <w:br/>
        <w:t>Abruzzese for the Integrated Water Service S.p.A. (in the territory of the former ATO Chietino), with different start and end dates aligned by law to December 31, 2027.</w:t>
        <w:br/>
        <w:t>Regarding the economic management, the survey develops the economic and asset analysis of the managers and reports the operating results for the four-year period 2018-2021, from which it appears that the company Gran Sasso Acqua S.p.A. has incurred losses in all financial years. Also, from the latest filed financial statements for the year 2022, it emerges that the balance sheet as of 12/31/2022 closed negatively for both Gran Sasso Acqua S.p.A. and Consorzio Acquedottistico Marsicano S.p.A..</w:t>
        <w:br/>
        <w:t>Regarding the service costs for users, the survey reports the values of the average bill applied in the last three years 2020-2021 for domestic users (composed of a typical family of three people with an average per capita consumption of 150 liters/day), which in 2020 was high for the managers Gran Sasso Acqua S.p.A., Consorzio Acquedottistico Marsicano S.p.A. and Società Abruzzese for the Integrated Water Service S.p.A. with average values (respectively, €347, €366, and €325) exceeding both the national average of €317 and the regional average of €318, as well as the average of the geographical area of reference “South and Islands” (equal to €351), and in 2021 was high for the managers Gran Sasso Acqua S.p.A., Consorzio Acquedottistico Marsicano S.p.A. and Ruzzo Reti S.p.A. with average values (respectively, €365, €394, and €328) exceeding both the national average of €322 and the regional average of €330, as well as the average of the geographical area of reference “South and Islands” (equal to €350).</w:t>
        <w:br/>
        <w:t>Furthermore, the technical quality of the service is overall insufficient for the managers, as the survey indicates the failure to achieve the objectives set by ARERA concerning the indicators mentioned below, also comparing the collected data with the national technical quality data:</w:t>
        <w:br/>
        <w:t>- regarding water losses, all managers present critical average values compared to the national average, and in particular, Gran Sasso Acqua S.p.A. and Società Abruzzese for the Integrated Water Service S.p.A. have not yet reached the prerequisite to determine the indicator reliably, while the other managers have failed to achieve the performance improvement required by regulation;</w:t>
        <w:br/>
        <w:t>- regarding the quality of the water supplied, Gran Sasso Acqua S.p.A., Azienda Consortile Acquedottistica S.p.A. and Consorzio Acquedottistico Marsicano S.p.A. present insufficient values, and in particular, the first two present worse values than the national average, both regarding the percentage of non-compliant samples (respectively, 7.508% and 5.669%, compared to the national average of 3.68%), and the percentage of non-compliant parameters (respectively, 0.400% and 0.508%, compared to the national average of 0.22%);</w:t>
        <w:br/>
        <w:t>- regarding the adequacy of the sewage system, all managers present insufficient values, well below the national average;</w:t>
        <w:br/>
        <w:t>- regarding the quality of treated wastewater, only Società Abruzzese for the Integrated Water Service S.p.A. presents an insufficient value of 12.18%, lower than the national average of 7.5% (although lower than the average performance of 14.4% for the geographical area of reference “South and Islands”).</w:t>
        <w:br/>
        <w:t>In this regard, the survey does not provide clarifications or information on the specific actions taken or planned by the individual managers to achieve the quality objectives defined by ARERA, but only indicates in the case of water losses the overall (without distinguishing by manager) desired interventions with the funding obtained (also within the framework of the PNRR) and, even more generically, reports in a table the data on the percentage distribution of planned investments for the four-year period 2020-2023 for each manager concerning the ARERA indicators, highlighting how the “percentage distribution of new planned investments per macro-indicator well represents the different criticalities observed for the individual Managers.” Furthermore, there is a lack of any indicator on user satisfaction.</w:t>
        <w:br/>
        <w:t>In light of the above considerations, the Authority hopes that this Entity will promptly take action to ensure that the water service in its area of competence is provided with high levels of quality, safety, and under the best economic conditions, for the benefit of users. This is, after all, the rationale behind the pro-competitive reform carried out by Legislative Decree No. 201/2022 and, in particular, by Article 30, which established a principle of transparency regarding the choices made by the Administrations and the results of the managements, precisely in order to achieve and maintain those objectives of universality, quality, and accessibility of services that are the very foundation of public service.</w:t>
        <w:br/>
        <w:t>Therefore, this Administration is invited to communicate, within thirty days from the receipt of this notification, the initiatives taken to remove the above-mentioned criticalities.</w:t>
        <w:br/>
        <w:t>This notification will be published in the Bulletin of the Authority for Competition and the Market.</w:t>
        <w:br/>
        <w:t>THE PRESIDENT</w:t>
        <w:br/>
        <w:t>Roberto Rustichelli</w:t>
      </w:r>
    </w:p>
    <w:p>
      <w:r>
        <w:t>BULLETIN NO. 11 OF MARCH 18, 2024 53</w:t>
        <w:br/>
        <w:t>AS1956 - MUNICIPALITY OF PAVIA - SURVEY SPL 2023</w:t>
        <w:br/>
        <w:t>Rome, March 6, 2024</w:t>
        <w:br/>
        <w:t>Municipality of Pavia</w:t>
        <w:br/>
        <w:t>The Authority for Competition and the Market, in its meeting of February 27, 2024, decided to formulate some observations pursuant to Article 21 of Law No. 287/1990 regarding the report adopted by this Municipality, pursuant to Article 30 of Legislative Decree No. 201/2022 (concerning the “Reorganization of the regulation of local public services of economic relevance”), containing the survey of the management situation of local public services of economic relevance entrusted in the area of competence1.</w:t>
        <w:br/>
        <w:t>According to Article 30, paragraph 1, of Legislative Decree No. 201/2022, this survey must assess the actual performance of each local public service entrusted by the competent entities from the economic point of view, efficiency, service quality,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survey must also indicate the extent of recourse to in-house assignments and the burdens and results for the entrusting entities.</w:t>
        <w:br/>
        <w:t>The new Legislative Decree No. 201/2022 has, therefore, aimed to make the results of the management of local public services more transparent, entrusting the competent entities with the task of verifying that the conditions for offering the service are sustainable over time from an economic and financial point of view and such as to ensure, also from a qualitative perspective, the satisfaction of users' needs.</w:t>
        <w:br/>
        <w:t>From the analysis of the report adopted by this Municipality and published on the dedicated portal of the National Anti-Corruption Authority, some deficiencies and criticalities emerge regarding the evaluation elements required by the aforementioned Article 30, paragraph 1, of Legislative Decree No. 201/2022, particularly concerning environmental hygiene services, public green maintenance, and paid parking, all entrusted to the in-house company ASM Pavia S.p.A.. The identified deficiencies are essentially related to the obligations undertaken in the service contract, from which a series of criticalities arise in terms of efficiency and quality of the mentioned services.</w:t>
        <w:br/>
        <w:t>1 The aforementioned report was published on the portal dedicated to the Transparency of Local Public Services (“Transparency SPL”), of the National Anti-Corruption Authority on January 4, 2024.</w:t>
      </w:r>
    </w:p>
    <w:p>
      <w:r>
        <w:rPr>
          <w:b/>
        </w:rPr>
        <w:t>[Pages 52–54]</w:t>
      </w:r>
    </w:p>
    <w:p>
      <w:r>
        <w:t>54 BULLETIN NO. 11 OF MARCH 18, 2024</w:t>
        <w:br/>
        <w:t>More specifically, regarding the environmental hygiene service, the report highlights significant critical issues concerning the percentage of separate waste collection (hereinafter, “RD”) and urban decorum, as well as regarding the organizational structure2.</w:t>
        <w:br/>
        <w:t>With respect to the percentage of RD, a downward trend has been recorded from January 2022 to October 2023 (where it decreased from 61.78% to 59.94% RD) and, especially considering the first year of service assignment to ASM Pavia S.p.A. (July 2022 - June 2023), the RD dropped from 60.08% to 57.76%, which is in strong contrast to the forecasts made at the basis of the assignment, according to which, by the end of 2023, the RD should have reached 64%, resulting in a deviation of approximately -5%.</w:t>
        <w:br/>
        <w:t>On the urban decorum front, there are also numerous complaints regarding the failure to provide the service, confirmed by the analysis of customer satisfaction conducted, which yields an average satisfaction percentage of approximately 42.8%. Although this percentage shows an increase compared to the average of the previous two years (38.4% in 2021 and 36.8% in 2022), it still reflects a qualitatively unsatisfactory service trend.</w:t>
        <w:br/>
        <w:t>Regarding the public green maintenance service, it is first noted that the particularly long duration of the assignment (fifteen years, renewable for another fifteen years) does not appear to be justified by specific planned investments, nor by the need to amortize costs, especially considering that this is a non-network service. In this regard, it is observed that, notwithstanding what is now established by article 19 of Legislative Decree No. 201/2022, the Authority has repeatedly emphasized that the duration of assignments should be temporally limited, inspired by proportionality criteria and justified based on technical, economic, and financial assessments3, in order to avoid hindering market access and to allow the administration itself to achieve the efficiency benefits arising from greater turnover over time in the management of public services. Even in cases of assignments that require investments, the duration should not exceed the time necessary for the concessionaire to recover the investments and to receive a return on the invested capital.</w:t>
        <w:br/>
        <w:t>Furthermore, in the review of the management performance of the public green maintenance service, neither the obligations provided for in the service contract nor the burdens on the contracting entity are reported. Regarding the latter, it is only stated that no economic compensations are provided and that, for the provision of the services in question, “the Company will receive from the contracting Entity a predetermined fee based on the value of the services defined in the service contract and/or in the programming document provided by the company and approved annually by the Municipal Administration.”</w:t>
        <w:br/>
        <w:t>From the analysis of customer satisfaction conducted during the period of October/November 2023, an overall unsatisfactory average satisfaction of 46.7% emerges, which is also confirmed across all the different components of the service in question; this figure is also a decrease compared to the average of the previous year (2022), which was 57.12% general satisfaction.</w:t>
        <w:br/>
        <w:t>Finally, regarding the paid parking service, it is noted that the report does not include the obligations provided for in the service contract, except for some, regarding which there is still a lack of information about the actual compliance by the contracting company. Moreover, some critical issues have been recorded in terms of efficiency and quality of the service: from the efficiency perspective, results have been achieved that are lower than those assumed as the basis for the sustainability of the contract; from the quality perspective, the analysis of customer satisfaction conducted during the period of October 2022 - February 2023 reveals an overall average satisfaction that is barely sufficient and, in any case, decreasing compared to 2021.</w:t>
        <w:br/>
        <w:t>Therefore, in light of the considerations outlined above, the Authority hopes that this Municipality will promptly take action to adjust the management of local public services – and in particular the environmental hygiene services, public green maintenance, and paid parking services – to the current regulations and the competitive principles contained therein, in order to ensure, for the benefit of users, that they are carried out with high levels of quality, safety, and under the best economic conditions. This, after all, is the rationale behind the pro-competitive reform enacted by Legislative Decree No. 201/2022 and, in particular, article 30, which established a principle of transparency regarding the choices made by administrations and the results of management in order to achieve and maintain those objectives of universality, quality, and accessibility of services that are at the very core of public service.</w:t>
        <w:br/>
        <w:t>Therefore, this Administration is invited to communicate, within thirty days from the receipt of this report, the initiatives taken to remove the critical issues highlighted above.</w:t>
        <w:br/>
        <w:t>This report will be published in the Bulletin of the Authority for the Guarantee of Competition and the Market.</w:t>
        <w:br/>
        <w:t>THE PRESIDENT</w:t>
        <w:br/>
        <w:t>Roberto Rustichelli</w:t>
      </w:r>
    </w:p>
    <w:p>
      <w:r>
        <w:t>56 BULLETIN NO. 11 OF MARCH 18, 2024</w:t>
        <w:br/>
        <w:t>AS1957 – AGCOM/COORDINATED ANALYSIS OF FIXED NETWORK ACCESS SERVICES</w:t>
        <w:br/>
        <w:t>Rome, February 22, 2024</w:t>
        <w:br/>
        <w:t>Authority for Communications Guarantees</w:t>
        <w:br/>
        <w:t>With reference to the request for an opinion made by this Authority, received on January 24, 2024, regarding the draft provision concerning “Coordinated analysis of the markets for fixed network access services pursuant to article 89 of the Code,” the Authority for the Guarantee of Competition and the Market, in its meeting of February 20, 2024, resolved to make the following considerations pursuant to article 78, paragraph 1, of Legislative Decree No. 259 of August 1, 2003.</w:t>
        <w:br/>
        <w:t>General considerations</w:t>
        <w:br/>
        <w:t>The draft resolution for the analysis of the wholesale fixed network access markets presents an extremely broad analytical framework. The procedures for identifying the local network access service markets and the dedicated capacity line rental services (so-called terminating) are indeed carried out jointly. In this regard, the Authority wishes to first express its appreciation for the analytical work carried out. In this opinion, we will essentially address the aspects that may potentially have competitive effects.</w:t>
        <w:br/>
        <w:t>The renewal of the access market analysis cycle, on this occasion, highlights a degree of intrinsic complexity, mainly due to two factors: the increasing competitive dynamics of the wholesale access service markets, triggered in recent years by the entry into the market of a competing infrastructure operator to Tim S.p.A. (hereinafter, “TI”); the prospect of the sale of TI's business unit concerning the fixed network, which will lead to a new competitive structure in the sector, with the vertical separation of ownership between upstream network activities and downstream service provision.</w:t>
        <w:br/>
        <w:t>In such a context, defining a functional regulatory framework that can adequately balance the regulatory objectives of countering discriminatory conduct and incentivizing investments in innovative networks does not appear to be a simple task. On this point, we believe it is appropriate to express agreement with the overall structure of the draft provision, which appears to be balanced.</w:t>
        <w:br/>
        <w:t>In particular, the significant reductions in regulatory obligations and the provision of a series of transitional clauses that gradually guide the market towards less rigidity in obligations seem conducive to a perspective of growth and promotion of the level of competition in the fixed network access service markets.</w:t>
        <w:br/>
        <w:t>Resolutions No. 348/19/CONS and 330/20/CONS, which currently define the regulatory framework for wholesale service markets, are based on market data dating back to 2017-18, which has now been</w:t>
      </w:r>
    </w:p>
    <w:p>
      <w:r>
        <w:rPr>
          <w:b/>
        </w:rPr>
        <w:t>[Pages 55–57]</w:t>
      </w:r>
    </w:p>
    <w:p>
      <w:r>
        <w:t>BULLETIN NO. 11 OF MARCH 18, 2024 57</w:t>
        <w:br/>
        <w:t>to be considered completely outdated by the rapid and massive development of next-generation networks and connections that has occurred in Italy in recent years.</w:t>
        <w:br/>
        <w:t>For example, one only needs to think of the significant reduction in broadband line volumes, which fell from about 9.2 million in 2018 to about 3.5 million in 2022, corresponding to a 62% reduction over five years. In fact, in absolute terms, TI's broadband lines decreased by approximately 52% between 2018 and 2022, dropping from 4.3 million to 2.0 million1. During the same period, there was a strong increase in ultra-broadband lines, which rose from about 7.9 million in 2018 to about 15.1 million in 2022, with a 90% increase over 5 years2. Therefore, compared to the assessments that could be made in 2017-2018, which were then included in resolution 348/19/CONS, some services that were practically unused or at the initial stage of market diffusion (for example, VULA FTTH) have since become of primary importance, while services that were central (for example, ULL, VULA FTTC) are beginning to lose relevance.</w:t>
        <w:br/>
        <w:t>Due to the significant changes experienced by the market since the last market analysis was prepared, it is deemed necessary to define a renewed regulatory framework in order to provide the sector with an element of certainty regarding the basic rules. It therefore seems appropriate to conclude the current market analysis procedure, in order not to generate an additional factor of uncertainty regarding the purchasing and investment choices of the sector, which is already facing the anticipation of the outcomes of the sale of TI's network.</w:t>
        <w:br/>
        <w:t>In any case, while it seems necessary to ensure the market a regulatory framework that provides an element of certainty, it is equally impossible to ignore the perspective of the sale of TI's fixed network. In this sense, it is deemed functional to design a resolution scheme that includes a strong degree of dynamism, reserving to this Authority the possibility to promptly address the needs for revising the framework of regulatory obligations that will arise from the vertical separation of TI.</w:t>
        <w:br/>
        <w:t>The relevant markets, significant market power, and regulatory obligations</w:t>
        <w:br/>
        <w:t>In general, the analysis of the markets presented in the draft resolution is shared. For both market 1 and market 2, in fact, the division between areas of the territory that are now fully competitive and areas where TI is still able to exert significant market power appears justified, in light of the evolution of TI's position and that of its direct competitors. This analysis acknowledges the transformation of the competitive landscape in certain local areas, primarily due to the entry of an alternative infrastructure operator and the consequent investments in coverage with competing networks.</w:t>
        <w:br/>
        <w:t>The municipalities included in market 1A appear characterized by intense and consolidated infrastructural competition. In these municipalities, there is often an offer of access services from Open Fiber S.p.A., with FTTH networks: in a few years, TI's market share has significantly decreased while Open Fiber S.p.A. has become the leading operator. In the municipalities of market 1A, already covered by Open Fiber S.p.A., investments in FTTH coverage by TI are also expected in the coming years.</w:t>
        <w:br/>
        <w:t>1 See Document V, attached to the draft resolution Agcom.</w:t>
        <w:br/>
        <w:t>2 See Document V, attached to the draft resolution Agcom.</w:t>
      </w:r>
    </w:p>
    <w:p>
      <w:r>
        <w:t>58 BULLETIN NO. 11 OF MARCH 18, 2024</w:t>
        <w:br/>
        <w:t>In market 1B, however, there is a more diversified competitive situation. There are indeed municipalities where competition is already at more advanced levels, where the role of Open Fiber S.p.A. and other operators seems destined to consolidate, pending the completion of TI's FTTH coverage plans, and other municipalities where TI's presence is still clearly dominant. Appropriately, in continuity with what was decided in 2019, the draft resolution outlines a differentiated remedy framework at the geographical level within market 1B, with a relaxation of the price control obligation in non-contestable municipalities.</w:t>
        <w:br/>
        <w:t>In this last aspect, it would be desirable for the resolution to include mechanisms for agile and periodic review of the competitive conditions of contestable municipalities, so that such municipalities can be quickly removed from market 1B and re-entered into market 1A, without having to wait for the end of the current market analysis cycle.</w:t>
        <w:br/>
        <w:t>In market 2, overall, TI's position is less strong in terms of market power compared to market 1. It is therefore appreciated that the selection of municipalities subject to geographical differentiation in this market is limited to those municipalities that have more than fifty active lines in the market. Similarly, the removal of regulatory obligations for terminating services on SDH circuits is also shareable.</w:t>
        <w:br/>
        <w:t>Regarding the choice of indicators for selecting contestable municipalities in market 2, only the criterion of the coverage rate of the "wholesale only" operator's network &gt;70% UI3 has been used. This is because the take-up rates at the municipal level would be an indicator characterized by excessive variability and low reliability4.</w:t>
        <w:br/>
        <w:t>However, a similar assessment does not seem to have been carried out regarding the qualification of the municipalities falling within market 2A, that is, the municipalities where competition is mature and regulatory obligations are removed. In fact, in this last competitive area, the municipalities where regulatory obligations are removed are those that meet the following conditions: TI's market share in market 2 with self-production &lt; 30%; coverage of the municipality by the "wholesale only" operator's network &gt;60% UI; materiality threshold &gt;50 active lines in the municipality. Therefore, to remove the obligations (municipalities of market 2A), reference is also made to a criterion regarding TI's market share, that is, to a market penetration indicator, and not only to the coverage rate achieved by Open Fiber S.p.A. To identify contestable municipalities within market 2B, however, only a criterion related to the coverage rate achieved by TI's competing operator (greater than 70%) is used.</w:t>
        <w:br/>
        <w:t>Therefore, the combination of the two threshold grids seems to make a lower coverage rate (60%) sufficient for the removal of obligations compared to the coverage rate required for a municipality to be considered contestable but still regulated. From this point of view, it seems appropriate to realign the criteria for identifying competitive municipalities and contestable municipalities, for example by evaluating a criterion related to TI's market share also for the identification of contestable municipalities.</w:t>
        <w:br/>
        <w:t>Compared to the previous resolution no. 330/20/CONS, still with reference to market 2, it is noted that the development of digital services and the abnormal growth of data flows that transit on mobile networks do not allow for the exclusion that radio bridges may no longer be suitable to meet the increasing transmission needs of Base Station Controllers (hereinafter, “BSC”). In all cases, therefore, where it proves impossible or very inefficient to resort to the radio bridge, wholesale access to mobile network device interconnection services through fixed network infrastructures would become essential for the protection of competition in the downstream market for mobile telephony services.</w:t>
        <w:br/>
        <w:t>The Authority suggests evaluating in the future the opportunity to conduct an analysis aimed at identifying the areas of the territory where mobile operators have no alternatives, in the short to medium term, to purchasing leased line services from TI for the interconnection of BSCs and a deepening regarding the dynamic substitutability of radio bridge technologies compared to interconnection services with fixed network infrastructures, especially in light of the development of 5G networks.</w:t>
        <w:br/>
        <w:t>Regarding the old market 3b, the choice of this Authority to ensure an adequate time frame during which the prices and conditions of offer of the services in question approved for 2023 will remain valid is appreciated. On the other hand, as noted from the data reported in the draft resolution5, it appears that the use of regulated bitstream services on TI's network has been essentially stable since 2018, indeed slightly increasing. In the last two years, there has been a substitution of the "legacy" bitstream services provided on copper networks, which have undergone a reduction of about 60%, with the corresponding NGA bitstream services. Especially smaller operators, unable to purchase VULA services, have overall increased their use of such services (approximately +10% over two years)6.</w:t>
        <w:br/>
        <w:t>Therefore, while bitstream lines account for about 7% of the total active fixed lines at the national level, that is, they concern a wholesale service that, as rightly noted in the resolution, is not driving the growth of ultra-broadband connections7, the Authority nonetheless considers it appropriate to continue monitoring the commercial comparison taking place in this market. Specifically, it is deemed necessary to verify the market and price dynamics that will develop both during and after the transitional phase guaranteed by the draft resolution, especially with reference to the actual presence of a widespread offer of bitstream services alternative to that of TI.</w:t>
        <w:br/>
        <w:t>Finally, regarding the declination of the price control obligation, the choice of this Authority to treat distinct situations differently is commendable8. It is important that, pending the consolidation of competitive comparison for the offer of services for which the cost orientation is removed, a constant monitoring of the proposals is carried out.</w:t>
        <w:br/>
        <w:t>5 See Document IV attached to the draft market analysis resolution.</w:t>
        <w:br/>
        <w:t>6 See Document IV attached to the draft market analysis resolution.</w:t>
        <w:br/>
        <w:t>7 See Document IV attached to the draft market analysis resolution.</w:t>
        <w:br/>
        <w:t>8 The draft resolution distinguishes between: (i) competitive municipalities, (ii) contestable municipalities, and (iii) non-contestable municipalities. In case (i), regulatory obligations are completely revoked; for municipalities under (ii), only the prices of laying infrastructure, adduction, termination segment, and some copper services remain cost-oriented; in municipalities under (iii), the cost orientation of some important fiber services, such as semi and full GPON, is removed.</w:t>
      </w:r>
    </w:p>
    <w:p>
      <w:r>
        <w:rPr>
          <w:b/>
        </w:rPr>
        <w:t>[Pages 58–60]</w:t>
      </w:r>
    </w:p>
    <w:p>
      <w:r>
        <w:t>60 BULLETIN NO. 11 OF MARCH 18, 2024</w:t>
        <w:br/>
        <w:t>commercial activities of TI. It will indeed be necessary to accompany the transition towards the definitive abandonment of the cost orientation through a constant verification activity of compliance with the criteria of non-discrimination, fairness, and reasonableness. This is particularly relevant for access services offered in non-contestable municipalities, for which Agcom proposes the removal of cost orientation; in these territorial areas, in fact, based on the results of the analysis contained in the draft resolution, TI still appears to have considerable market power.</w:t>
        <w:br/>
        <w:t>Conclusions</w:t>
        <w:br/>
        <w:t xml:space="preserve">The analysis carried out by this Authority appears commendable, as it intervenes at a time when the fixed telecommunications markets are undergoing significant changes. As is known, the sector could indeed experience a significant competitive reshaping once the sale of the business branch concerning TI's fixed network is completed. </w:t>
        <w:br/>
        <w:t>In such a phase of transformation of the sector, it is deemed necessary to ensure an element of certainty in the market. From this perspective, therefore, it is important that the resolution subject to this opinion is approved and that the market analysis procedure is not interrupted pending the completion of the sale of TI's network.</w:t>
        <w:br/>
        <w:t>On the merits, the Authority agrees with the removal of regulatory obligations in municipalities where the competitive penetration of Open Fiber S.p.A. is now consolidated and the easing of price control obligations for access services in "contestable" municipalities, where the process of developing infrastructure competition is quite advanced but not yet sufficient to consider the removal of regulatory obligations possible. For many services, in these municipalities, it is decided to abandon the cost orientation criterion for price definition, leaving TI more freedom in the pricing policies of wholesale services.</w:t>
        <w:br/>
        <w:t>In light of a general appreciation for the work done, the Authority suggests some insights on certain aspects of the draft resolution: a) to provide for agile and periodic review mechanisms of the competitive conditions of contestable municipalities, so as to remove them from markets 1B and 2B even before the end of the current market analysis cycle; b) to realign, for market 2, the criteria for identifying competitive municipalities, for which regulation is removed (market 2A) and the criteria used to identify contestable municipalities in market 2B; c) still with reference to market 2, to reflect on the possibility of conducting, in the future, an analysis on the degree of significant market power regarding fiber optic binding services of mobile network base stations; d) to continue monitoring the evolution of the competitive structure and price dynamics in market 3b; e) to carry out careful monitoring of TI's commercial proposals for services whose prices will no longer be cost-oriented, especially in non-contestable municipalities.</w:t>
        <w:br/>
        <w:t>In conclusion, the Authority hopes that the observations made can be usefully taken into account in the definitive issuance of the measure in question.</w:t>
      </w:r>
    </w:p>
    <w:p>
      <w:r>
        <w:t>BULLETIN NO. 11 OF MARCH 18, 2024 61</w:t>
        <w:br/>
        <w:t>This opinion will be published in the bulletin of the Antitrust Authority. Any confidentiality needs must be communicated to the Authority within thirty days of receiving this document, specifying the reasons.</w:t>
        <w:br/>
        <w:t>THE PRESIDENT</w:t>
        <w:br/>
        <w:t>Roberto Rustichelli</w:t>
      </w:r>
    </w:p>
    <w:p>
      <w:r>
        <w:t>62 BULLETIN NO. 11 OF MARCH 18, 2024</w:t>
        <w:br/>
        <w:t>UNFAIR COMMERCIAL PRACTICES</w:t>
        <w:br/>
        <w:t>IP367 – MULPOR-INTERNATIONAL FAIRS DIRECTORY</w:t>
        <w:br/>
        <w:t>Notice of adoption of the initiation of proceedings</w:t>
        <w:br/>
        <w:t>ANTITRUST AUTHORITY</w:t>
        <w:br/>
        <w:t>Notice of adoption of the measure to initiate proceedings, pursuant to article 19, paragraphs 2 and 3, of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IP367.</w:t>
        <w:br/>
        <w:t>The publication of this notice in the weekly bulletin of the Antitrust Authority - followed by the measure to initiate proceedings pursuant to article 27, paragraph 12, of the Consumer Code against Mulpor Company S.r.l. and IBCM International Business Convention Management Ltd. - is carried out pursuant to and for the effects of article 19, paragraphs 2 and 3 of the Regulation, given the unsuccessful outcome of the attempt to transmit the same measure, carried out on December 14, 2023, by requesting cooperation from the Embassy of Italy in Nicosia (Cyprus). The Embassy has indeed represented that it was not possible to notify the act at the company's registered office.</w:t>
        <w:br/>
        <w:t>For any communication addressed to the Authority regarding the case in question, please refer to the Directorate for credit, insurance, postal services, tourism, and sports of the Consumer Protection Department – 2 and reference IP367.</w:t>
      </w:r>
    </w:p>
    <w:p>
      <w:r>
        <w:rPr>
          <w:b/>
        </w:rPr>
        <w:t>[Pages 61–63]</w:t>
      </w:r>
    </w:p>
    <w:p>
      <w:r>
        <w:t>BULLETIN NO. 11 OF MARCH 18, 2024 63</w:t>
        <w:br/>
        <w:t>IP367 - MULPOR-INTERNATIONAL FAIRS DIRECTORY</w:t>
        <w:br/>
        <w:t>Decision No. 30995</w:t>
        <w:br/>
        <w:t>THE ANTITRUST AUTHORITY</w:t>
        <w:br/>
        <w:t>IN ITS MEETING of November 28, 2023;</w:t>
        <w:br/>
        <w:t>HEARD the Rapporteur, Saverio Valentino;</w:t>
        <w:br/>
        <w:t>HAVING REGARD to Part II, Title III, of Legislative Decree No. 206 of September 6, 2005,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Regulation (EU) 2017/2394 of the European Parliament and of the Council, of December 12, 2017, on cooperation between national authorities responsible for the enforcement of consumer protection laws and repealing Regulation (EC) No. 2006/2004, as referred to in Article 27, paragraph 2, of the Consumer Code and, in particular, Article 9, paragraph 3, letter b), of the aforementioned Regulation;</w:t>
        <w:br/>
        <w:t>HAVING REGARD to its resolution of February 6, 2019, No. 27552 (PS11138 - Mulpor-International Fairs Directory), with which the Authority established the unfairness, pursuant to Articles 21, 22, 24, 25, paragraph 1, letters d) and e), and 26, paragraph 1, letter f), of the Consumer Code, of the commercial practice carried out by Mulpor Company S.A., Mulpor Company S.r.l., Connect Publisher S.C., PayTrac Lda, Finad Economy Lda, IBCM International Business Convention Management Ltd, and Credit Collection Factoring s.r.o., consisting of requesting micro-enterprises to verify the business data present in a database in order to obtain, through misleading and aggressive methods, subscription to a paid advertising service on the International Fairs Directory website, erroneously implying that it originated from the organizing body of a trade fair and that the failure to update the database would result in the cancellation from such a significant advertising channel. The potential refusal to pay the amounts invoiced by PayTrac and Finad Economy on behalf of Mulpor and Connect Publisher for the unsolicited advertising service resulted in incessant solicitations from IBCM and CCF, tasked by Mulpor and Connect Publisher with the collection of the claimed amounts, along with simultaneous threats to initiate international legal actions for the forced recovery of the allegedly claimed credits;</w:t>
      </w:r>
    </w:p>
    <w:p>
      <w:r>
        <w:t>64 BULLETIN NO. 11 OF MARCH 18, 2024</w:t>
        <w:br/>
        <w:t>HAVING REGARD to its resolutions of March 30, 2021, No. 28625, and October 12, 2021, No. 29848 (IP343), with which the Authority contested that the behavior carried out by Mulpor Company S.r.l. (hereinafter also “Mulpor”), based in Costa Rica, and by IBCM International Business Convention Management Ltd (hereinafter also “IBCM”), based in Cyprus, constituted a violation of Article 27, paragraph 12, of the Consumer Code for failing to comply with the resolution of February 6, 2019, No. 27552, with reference to the profiles of unfairness contested therein;</w:t>
        <w:br/>
        <w:t>CONSIDERING that Mulpor and IBCM have never complied with the Authority's warning;</w:t>
        <w:br/>
        <w:t>CONSIDERING, furthermore, that the illegitimately claimed payments are made to foreign bank accounts held by institutions based in EU member countries;</w:t>
        <w:br/>
        <w:t>RECOGNIZING the need to ensure effectiveness and useful effect to the Authority's action;</w:t>
        <w:br/>
        <w:t>HAVING REGARD to the documents of the proceeding;</w:t>
        <w:br/>
        <w:t>CONSIDERING the following:</w:t>
        <w:br/>
        <w:t>1. With decision of February 6, 2019, No. 27552 (closure of proceeding PS11138), the Authority established the unfairness, pursuant to Articles 21, 22, 24, 25, paragraph 1, letters d) and e), and 26, paragraph 1, letter f), of the Consumer Code, of the commercial practice carried out by Mulpor Company S.A., Mulpor Company S.r.l., Connect Publisher S.C., PayTrac Lda, Finad Economy Lda, IBCM International Business Convention Management Ltd, and Credit Collection Factoring s.r.o., consisting of requesting micro-enterprises to verify the business data present in a database in order to obtain, through misleading and aggressive methods, subscription to a paid advertising service on the International Fairs Directory website, erroneously implying that it originated from the organizing body of a trade fair and that the failure to update the database would result in the cancellation from such a significant advertising channel. The potential refusal to pay the amounts invoiced by PayTrac and Finad Economy on behalf of Mulpor and Connect Publisher for the unsolicited advertising service resulted in incessant solicitations from IBCM and CCF, tasked by Mulpor and Connect Publisher with the collection of the claimed amounts, along with simultaneous threats to initiate international legal actions for the forced recovery of the allegedly claimed credits. In light of the above, the Authority prohibited the further dissemination of the commercial practice.</w:t>
        <w:br/>
        <w:t>2. With decision of October 12, 2021, No. 29848 (closure of proceeding IP343), notified to Mulpor Company S.r.l. on November 8, 2021, and to IBCM International Business Convention Management Ltd, pursuant to and for the effects of Article 19, paragraph 2, of the Regulation, in Bulletin No. 3 of January 17, 2022, the Authority established that the behavior carried out by them constituted a violation of its resolution of February 6, 2019, No. 27552. The Authority received numerous reports from micro-enterprises indicating that Mulpor continued to disseminate misleadingly structured communications, in form and content, as if they originated, contrary to the truth, from the organizing body of one or more trade fairs, the commercial purpose of which was concealed behind the apparent request to verify the business data entered in a database seemingly related to the aforementioned event, in order to avoid the cancellation of the micro-enterprise from it. Such communications have the same graphic design and the same misleading and omissive content as those already subject to censure in the aforementioned proceeding PS11138. Reports indicate that payment for the unsolicited service, which was unknowingly subscribed to, is requested by IBCM, which therefore appears to have continued, using the same methods already subject to censure in the aforementioned proceeding PS11138, to send deceived micro-enterprises reminders, warnings, and threats to proceed with the forced collection of the unjustly claimed amounts, using particularly threatening and aggressive tones.</w:t>
        <w:br/>
        <w:t>3. Finally, from the documentation on file, it emerges that Mulpor and IBCM request that payments of the amounts in question be made to IBANs held by companies based in the European Union (Finad Economy Lda, PayTrac Lda, Integra Esp S.L., and Integra Eco Kft).</w:t>
        <w:br/>
        <w:t>4. The commercial practices outlined above present the same profiles of unfairness for which a violation of Articles 21, 22, 24, 25, paragraph 1, letters d) and e), and 26, paragraph 1, letter f), of the Consumer Code has already been established (see decision No. 27552 of February 6, 2019) against, among others, Mulpor S.r.l. and IBCM, as well as for which non-compliance with said decision has been established by the same companies (see decision No. 29848 of October 12, 2021).</w:t>
        <w:br/>
        <w:t>5. In conclusion, the prerequisites for initiating the procedure provided for by Article 27, paragraph 12, of the Consumer Code aimed at the possible imposition of an administrative pecuniary sanction from €10,000 to €10,000,000 and the possible suspension of business activity for a period not exceeding thirty days are present;</w:t>
        <w:br/>
        <w:t>THEREFORE, CONSIDERING that the established facts constitute a case of repeated non-compliance with the Authority's decision of February 6, 2019, No. 27552, pursuant to Article 27, paragraph 12, of the Consumer Code;</w:t>
        <w:br/>
        <w:t>RESOLVES</w:t>
        <w:br/>
        <w:t>a) to contest to the companies Mulpor Company S.r.l. and IBCM International Business Convention Management Ltd the violation referred to in Article 27, paragraph 12, of the Consumer Code, for failing to repeatedly comply with the Authority's resolution of February 6, 2019, No. 27552;</w:t>
        <w:br/>
        <w:t>b) to initiate the procedure for the possible imposition of the sanctions provided for by Article 27, paragraph 12, of the Consumer Code;</w:t>
        <w:br/>
        <w:t>c) that the person responsible for the procedure is Dr. Elena Pauri;</w:t>
        <w:br/>
        <w:t>d) that the documents of the procedure can be viewed at the Directorate for Credit, Insurance, Postal Services, Tourism, and Sports of the Department for Consumer Protection - 2, of the Authority, by the legal representatives of the companies referred to in letter a), or by persons delegated by them;</w:t>
        <w:br/>
        <w:t>e) that within thirty days from the communication of this decision, the interested parties may submit defensive writings and documents to the Authority, as well as request to be heard;</w:t>
        <w:br/>
        <w:t>f) that the procedure must be concluded within one hundred twenty days from the date of communication of this decision.</w:t>
      </w:r>
    </w:p>
    <w:p>
      <w:r>
        <w:rPr>
          <w:b/>
        </w:rPr>
        <w:t>[Pages 64–66]</w:t>
      </w:r>
    </w:p>
    <w:p>
      <w:r>
        <w:t>66 BULLETIN NO. 11 OF MARCH 18, 2024</w:t>
        <w:br/>
        <w:t>This provision will be communicated to the interested parties and published in the Bulletin of the Authority for the Guarantee of Competition and the Market.</w:t>
        <w:br/>
        <w:t>THE SECRETARY GENERAL THE PRESIDENT</w:t>
        <w:br/>
        <w:t>Guido Stazi Roberto Rustichelli</w:t>
      </w:r>
    </w:p>
    <w:p>
      <w:r>
        <w:t>BULLETIN NO. 11 OF MARCH 18, 2024 67</w:t>
        <w:br/>
        <w:t>PS12543 - TIKTOK FRENCH SCAR</w:t>
        <w:br/>
        <w:t>Provision No. 31124</w:t>
        <w:br/>
        <w:t>THE AUTHORITY FOR THE GUARANTEE OF COMPETITION AND THE MARKET</w:t>
        <w:br/>
        <w:t>IN ITS MEETING of March 5, 2024;</w:t>
        <w:br/>
        <w:t>HEARD the Rapporteur Professor Elisabetta Iossa;</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March 14, 2023, which ordered the inspection, pursuant to article 27, paragraphs 2 and 3, of the Consumer Code, at TikTok Italy S.r.l.;</w:t>
        <w:br/>
        <w:t>VIEWED its provisions of August 1, October 24, 2023, and January 16, 2024, with which, pursuant to article 7, paragraph 3, of the Regulation, extensions of the deadline for concluding the procedure were ordered;</w:t>
        <w:br/>
        <w:t>VIEWED the acts of the procedure</w:t>
        <w:br/>
        <w:t>I. THE PARTIES</w:t>
        <w:br/>
        <w:t>1. TikTok Technology Limited as a professional, pursuant to article 18, paragraph 1, letter b), of the Consumer Code. The company, based in the Republic of Ireland, provides services for the creation, viewing, and sharing of short videos and content through a web platform and the app called “TikTok.” Users residing in the European Single Market enter into a contract with this company when they accept the general terms of the contract or otherwise use the platform1. The financial statements for the fiscal year 2021 report revenues of 200 million dollars, equivalent to approximately 180 million euros2.</w:t>
        <w:br/>
        <w:t>2. TikTok Italy S.r.l. as a professional, pursuant to article 18, paragraph 1, letter b), of the Consumer Code. The company is engaged in the sale of advertising space on the TikTok platform for the Italian market3. The financial statements for the fiscal year 2022 report revenues of approximately 20 million euros4.</w:t>
        <w:br/>
        <w:t>3. TikTok Information Technologies UK Limited as a professional, pursuant to article 18, paragraph 1, letter b), of the Consumer Code. The company, based in the United Kingdom, manages certain business lines of TikTok for users in the European Single Market, such as the sale and management of advertising space and the provision of value-added services, such as livestreaming, for the TikTok platform5. This company wholly owns TikTok Technology Limited and TikTok Italy S.r.l., which are included in the consolidation perimeter6; it is in turn controlled by TikTok Ltd, based in the Cayman Islands, and belongs to the Bytedance group, whose parent company Bytedance Ltd is also based in the Cayman Islands7.</w:t>
        <w:br/>
        <w:t>The consolidated financial statements for the fiscal year 2022 report revenues of approximately 2.6 billion dollars, equivalent to approximately 2.4 billion euros8.</w:t>
        <w:br/>
        <w:t>II. THE COMMERCIAL PRACTICE</w:t>
        <w:br/>
        <w:t>4. The procedure concerns the liability of TikTok Italy S.r.l., TikTok Technology Limited, and TikTok Information Technologies UK Limited (hereinafter also jointly referred to as TikTok or the Parties) in relation to the presence on the TikTok platform of content that may threaten the psycho-physical safety of users - such as those related to the so-called “french scar” challenge -, the insufficiency of the actions taken to prevent its dissemination, as well as its repeated proposal to users through 'content recommendation systems,' which may influence consumer choices, especially those of vulnerable individuals.</w:t>
        <w:br/>
        <w:t>III. THE OUTCOMES OF THE PROCEDURE</w:t>
        <w:br/>
        <w:t>1) The course of the procedure</w:t>
        <w:br/>
        <w:t>5. In relation to the aforementioned conduct, on March 21, 2023, the communication of the initiation of the investigative procedure PS12543 of March 14, 2023 (prot. 28014) was sent to TikTok Italy S.r.l., TikTok Technology Limited, and TikTok Information Technologies UK Limited, to verify the existence of an alleged unfair commercial practice in violation of articles 20, paragraphs 2 and 3, 21, paragraph 2, letter b) and paragraph 4, 25, paragraph 1, letter c), of the Consumer Code9.</w:t>
        <w:br/>
        <w:t>6. On March 21, 2023, an inspection was conducted at TikTok Italy S.r.l.</w:t>
        <w:br/>
        <w:t>7. On May 5, 2023, the professionals submitted commitments, pursuant to article 27, paragraph 7, of the Consumer Code, aimed at removing the unfairness profiles of the contested commercial practice10.</w:t>
        <w:br/>
        <w:t>These commitments were rejected by the Authority in its meeting of August 1, 2023. The decision of rejection was communicated to the professionals on August 2, 202311.</w:t>
        <w:br/>
        <w:t>5 Doc. 12 and 54.</w:t>
        <w:br/>
        <w:t>6 Doc. 54.</w:t>
        <w:br/>
        <w:t>7 https://www.bytedance.com/en/.</w:t>
        <w:br/>
        <w:t>8 Doc. 54.</w:t>
        <w:br/>
        <w:t>9 Doc. 5, 7, 8, and 9.</w:t>
        <w:br/>
        <w:t>10 Doc. 27.</w:t>
        <w:br/>
        <w:t>11 Doc. 45.</w:t>
      </w:r>
    </w:p>
    <w:p>
      <w:r>
        <w:rPr>
          <w:b/>
        </w:rPr>
        <w:t>[Pages 67–69]</w:t>
      </w:r>
    </w:p>
    <w:p>
      <w:r>
        <w:t>BULLETIN NO. 11 OF MARCH 18, 2024 69</w:t>
        <w:br/>
        <w:t>8. The professionals submitted defensive briefs on May 5, 202312 and on May 26, 2023, they responded to the request for information contained in the initiation act of the procedure13. On the same date, they provided feedback to the request for information made during the inspection14 and on July 31, 2023, they responded to the request for information dated June 19, 202315.</w:t>
        <w:br/>
        <w:t>9. Hearings with the professionals were held on July 13, 2023, and September 20, 202316.</w:t>
        <w:br/>
        <w:t>10. On July 12, 2023, the Director of the Complex Operational Unit of Child Neuropsychiatry of the IRCCS Pediatric Hospital Bambino Gesù in Rome was summoned for a hearing as an expert pursuant to Article 12, paragraph 2 of the Regulation, in order to gather instructive elements regarding the ability of certain TikTok content to influence the behaviors of children and adolescents17. The hearing took place on July 19, 202318.</w:t>
        <w:br/>
        <w:t>11. The professionals had access to the documents of the procedure on April 27, October 9, October 13, October 25, 2023, February 7, 2024, and February 21, 2024.</w:t>
        <w:br/>
        <w:t>12. On October 13, 2023, TikTok was notified of the conclusion date of the investigative phase pursuant to Article 16, paragraph 1, of the Regulation; in acceptance of the request of the Parties dated October 17, 202319, this date was extended to November 14, 202320. On November 15, 2023, the professionals submitted their final briefs21.</w:t>
        <w:br/>
        <w:t>13. On November 22, 2023, a request was sent to the Irish Competition and Consumer Protection Commission pursuant to Article 3, paragraph 4, letter b) of Directive 2000/31/EC22, transposed in Italy by Article 5, paragraph 3, letter a) of Legislative Decree April 9, 2003, no. 7023.</w:t>
        <w:br/>
        <w:t>14. On December 7, 2023, an opinion was requested from the Authority for Guarantees in Communications, pursuant to Article 27, paragraph 6 of the Consumer Code24.</w:t>
        <w:br/>
        <w:t>2) The evidence acquired</w:t>
        <w:br/>
        <w:t>a) The personalization of content viewed by users through a recommendation system based on algorithmic profiling</w:t>
        <w:br/>
        <w:t xml:space="preserve">15. From the documents of the procedure, it emerged that the most common way to consult TikTok content is by scrolling through the “for you” feed, within which short videos are automatically proposed rather than being chosen by the user. The videos are selected for each user by a “recommendation system” based on algorithmic profiling that identifies and selects personalized content based on a combination of factors aimed at capturing the preferences and interests of the individual25. These factors are processed by the recommendation system and are weighted according to their relevance to the user: indicators that signal strong interest carry more weight, and the weights vary dynamically. The content is then classified based on the likelihood that a user will be interested in it. Profiling becomes more precise the more actively the platform is used, as the system learns in a more detailed and comprehensive manner about preferences. Furthermore, as stated by the professional, the large amount of information acquired allows for the deduction of generalities, age range/gender of the user26. </w:t>
        <w:br/>
        <w:t xml:space="preserve">Another way to use TikTok is to consult the “Following” feed, where videos published by users whom the consumer has become a “follower” are found; in this regard, the professionals stated that even the content of the “Following” feed is proposed to users according to a recommendation system based on profiling27. In this case, personalization is expressed in the proposition of content from the circle of followed users in order of “interest” for the viewer, rather than in chronological order28. </w:t>
        <w:br/>
        <w:t>As a residual option, the consumer can proactively search for content on TikTok through a keyword search function, viewing what is posted on a specific profile of a selected user or clicking hashtags and links to audio content present in the videos, which redirect to other videos with similar content29.</w:t>
        <w:br/>
        <w:t>16. According to the data provided by the Parties, in 2022, the average number of Italian users of the platform was approximately [10–31]* million, and they uploaded about [700–1,000] million videos. The use of TikTok appears to be growing, having reached an average of [10–31] million Italian users in the first quarter of 202330.</w:t>
        <w:br/>
        <w:t xml:space="preserve">17. Some tools provided to users by TikTok to influence the recommendation system based on algorithmic profiling appear to be underutilized by users. These include, for example, the ability to indicate categories of interest, to select the “not interested” option in relation to specific content, to apply filters for keywords or #hashtags, as well as a tool that allows users to know the reasons why certain content is displayed on the “for you” feed. From October 2022 to January 2023, only [less than 2 million] Italian users used the keyword filter, corresponding to less than 1% of the total Italian users31. </w:t>
        <w:br/>
        <w:t>Furthermore, TikTok implemented a function during 2023 that allows users to reset the recommendation system of the “for you” feed, so that content is displayed as if the user had just signed up for the platform32. From January 2023 to July 2023, this function was used by only [less than 2 million] Italian users, corresponding to less than 0.5% of the total Italian users33.</w:t>
        <w:br/>
        <w:t xml:space="preserve">18. Starting from August 25, 2023, as part of the measures implemented pursuant to the Digital Services Act34, TikTok also introduced an option to eliminate the personalization of pages, including the “for you” feed. Through this new function, current and future users will be able to deactivate the personalization of the content proposed by TikTok in the feeds, which is the default setting of the platform; to do so, they must specifically activate their choice through an “opt-out” method. </w:t>
        <w:br/>
        <w:t xml:space="preserve">To deactivate personalization, one must click on “Profile” and then, within the commands at the top right, on “Settings and privacy,” where “Content preferences” must be selected. Then, an additional link must be selected that until September 2023 was called “Personalized ‘For You’ Page” and is now “Personalized Pages,” displaying a page previously titled “Manage ‘For You’ Page Personalization” and now “Manage Page Customization,” where users are informed that “your engagement on TikTok contributes to what you see. The more you interact, the more personalized your pages will be. You can deactivate the personalized ‘For You’ page at any time. This will partially change your experience, including changing the ‘For You’ section to ‘Popular,’ but will not affect the personalization of ads.” By clicking the “Activate” button, the “For You” page transforms into “Popular.” Even in this section, the initial reference to the “For You” page has now been generically changed to “Pages”35. An alternative path can be taken by pressing for a few seconds on a TikTok video content, until a menu appears at the bottom of the screen with the following options: “report, save video, </w:t>
        <w:br/>
        <w:t xml:space="preserve">30 Doc. 42 response 5. </w:t>
        <w:br/>
        <w:t xml:space="preserve">31 Doc. 42 elaborations on data provided by the Parties, question 8 and question 5. </w:t>
        <w:br/>
        <w:t xml:space="preserve">32 Doc. 29. </w:t>
        <w:br/>
        <w:t xml:space="preserve">33 Doc. 42 re-elaborations on data provided by the Parties, question 8 and question 5. </w:t>
        <w:br/>
        <w:t xml:space="preserve">34 Regulation (EU) No. 2022/2065 of the European Parliament and of the Council of October 19, 2022, on a single market for digital services (hereinafter also DSA). </w:t>
        <w:br/>
        <w:t>35 See Doc. 68 points 65 and following, where TikTok does not indicate when this change occurred.</w:t>
      </w:r>
    </w:p>
    <w:p>
      <w:r>
        <w:rPr>
          <w:b/>
        </w:rPr>
        <w:t>[Pages 70–72]</w:t>
      </w:r>
    </w:p>
    <w:p>
      <w:r>
        <w:t>72 BULLETIN NO. 11 OF MARCH 18, 2024</w:t>
        <w:br/>
        <w:t>manage page, essential view, playback speed.” By clicking on “manage page,” one is directed to the “Manage page customization” screen described above36.</w:t>
        <w:br/>
        <w:t>The consumer is thus informed that the new non-personalized version of the “for you” feed, once chosen, will only display the most “popular” videos. The professionals clarified in the briefs that these are the most popular videos in the user's geographical area, regardless of their age or other individual factors. The content is dynamically changed according to variations in popularity37.</w:t>
        <w:br/>
        <w:t>19. TikTok presents the described content personalization to the user as a positive factor that contributes to the discovery of the world, “which inspires creativity and brings joy,” identifying it as an enhancing system of the TikTok experience38.</w:t>
        <w:br/>
        <w:t>At the same time, TikTok itself, in response to an information request, indicates that it is “evaluating ways to better diversify the types of content that can be recommended in sequence, also testing ways to avoid recommending similar content in series which, although not in violation of its policies, could still inadvertently have a detrimental effect on the user if they become the majority of the content viewed, such as content related to loneliness or weight loss” (emphasis added). To do this, however, TikTok hypothesizes limiting itself to identifying individual potentially harmful videos (even if not formally in violation of its policies) that, if repeatedly shown, could generate harm “to reduce the frequency of related recommendations”39.</w:t>
        <w:br/>
        <w:t>b) The presence of dangerous content on TikTok, the insufficient initiatives taken regarding videos related to the French scar, and the re-proposition of content through the recommendation system</w:t>
        <w:br/>
        <w:t>20. The presence of dangerous content on TikTok and the negative impact of social media has gained media relevance and raises concerns among medical specialists40. Starting from February 5, 202341, the challenge related to the “French scar” has gone viral, involving the dissemination of videos of teenagers who inflict and teach how to inflict a visible and lasting red mark on the cheekbone, as if it were a large scar.</w:t>
        <w:br/>
        <w:t>36 Doc. 68 point 71.</w:t>
        <w:br/>
        <w:t>37 Doc. 51.</w:t>
        <w:br/>
        <w:t>38 TikTok states the following: “TikTok's mission is to inspire creativity and bring joy. We're building a global community where you can create and share authentically, discover the world, and connect with others. The For You feed is part of what enables that connection and discovery. It's central to the TikTok experience and where most of our users spend their time” (available at the following address: https://newsroom.tiktok.com/en-us/how-tiktok-recommends-videos-for-you).</w:t>
        <w:br/>
        <w:t>39 Doc. 29 p. 11.</w:t>
        <w:br/>
        <w:t>40 Cf. for example CCDH-Deadly-by-Design_120922.pdf; https://counterhate.com/blog/coalition-of-charities-and-advocacy-groups-demand-action-from-tiktok-on-the-mental-health-and-well-being-of-children/; https://www.hhs.gov/sites/default/files/sg-youth-mental-health-social-media-advisory.pdf; https://www.gamberorosso.it/notizie/food-trend-fsu-tik-tok-rischio-salute-giovani/; https://www.trend-online.com/marketing-digitale/tiktok-sfide-piu-pericolose-e-assurde/; French scar, the new TikTok trend scares parents of teenagers: "It's a form of self-harm" - Il Fatto Quotidiano; https://www.agendadigitale.eu/cultura-digitale/i-danni-dellalgoritmo-di-tiktok-sugli-adolescenti-i-dati-oltre-il-clamore/; https://www.sciencedirect.com/science/article/pii/S1053811921004134#.</w:t>
        <w:br/>
        <w:t>41 Doc. 42 question 17.</w:t>
      </w:r>
    </w:p>
    <w:p>
      <w:r>
        <w:t>BULLETIN NO. 11 OF MARCH 18, 2024 73</w:t>
        <w:br/>
        <w:t>21. The information acquired during the proceedings from a child neuropsychiatry expert42 highlights that non-suicidal self-harming behaviors, such as those related to the French scar, can still pose a danger to vulnerable individuals, given that even mild self-harming behavior constitutes the primary risk factor for further, suicidal behaviors. The same considerations emerge in a 2023 report from the U.S. Surgeon General, the principal spokesperson for the federal government on health43.</w:t>
        <w:br/>
        <w:t>More generally, the need for stringent control over TikTok content arises from the cognitive mechanisms of children and adolescents, and from the importance for young people to belong to a group through the adoption of emulative behaviors of “leaders,” even virtual ones. Adolescents have a limited ability to evaluate the consequences of their actions; the capacity for discernment, in fact, is acquired neurologically only in adulthood, considering that the nervous system reaches the peak of its development around the age of 30. Young people also have greater difficulties than adults in distinguishing reality from the suggestions of fiction; given the absence of generational inhibition tools, young people tend to make more reckless decisions than adults, driven also by their sense of omnipotence.</w:t>
        <w:br/>
        <w:t>Neurologically, dependence on electronic devices is similar to that of substance abuse. To derive pleasure, there is a need for increasing use of the device, with compulsive seeking (so-called craving); the areas of the brain activated in cases of withdrawal from electronic devices are similar to those involved in withdrawal from substances.</w:t>
        <w:br/>
        <w:t>In recent years, the average daily use of electronic devices is 7-8 hours, which raises concerns, considering that the phenomenon of self-harm among young people has seen a huge increase: before the pandemic, self-harming behaviors were found in only 20% of young people, while subsequently the percentage rose to 40%. Furthermore, requests for help regarding the mental health of young people have significantly increased: in 2013, the related ambulance accesses to the emergency room of the Bambino Gesù Hospital in Rome were 180, while in 2022 they rose to 1800 per year44.</w:t>
        <w:br/>
        <w:t>22. In this context, on June 29, 2023, the Parties, conducting a search with the sole keyword in Italian “cicatrice francese,” found the presence of 589 videos on TikTok45. The five videos showing the execution of the French scar, which were the most popular in Italy, were viewed over 5 million times and were included by TikTok based on its algorithmic profiling systems in about 4 million “for you” feeds. As for the factors that determined the inclusion of such videos in the aforementioned 4 million “for you” feeds, the Parties stated that they were unable to provide information, nor to quantify the value of the advertising revenue associated with their dissemination46.</w:t>
        <w:br/>
        <w:t>The videos related to the French scar passed the automated review process that will be described later as, according to the Parties, they do not contain content that violates the Guidelines47. Only after the media relevance assumed by the phenomenon in France and Italy were the videos subjected to manual review and, even as a result of this analysis, it was deemed that they should not be removed from the platform as they were not contrary to the Guidelines regarding acts of self-harm. This is because such videos would not promote behaviors that endanger human life and would not show gestures related to mental health issues, but would reproduce a behavior induced by the mere desire to appear interesting48.</w:t>
        <w:br/>
        <w:t>Starting from [omitted] - only when the phenomenon gained media relevance - TikTok implemented “as a precautionary measure” the following measures:</w:t>
        <w:br/>
        <w:t>- it excluded the aforementioned videos reported from the “for you” feed;</w:t>
        <w:br/>
        <w:t>- it prevented access to them for users under 18 years of age;</w:t>
        <w:br/>
        <w:t>- it included for users over 18 years of age a “warning label” at the bottom of the screen, which warns that “participation in this activity may cause dangers to you or others”49.</w:t>
        <w:br/>
        <w:t>These initiatives only concerned the videos “reported” by users or “proactively selected” by TikTok50.</w:t>
        <w:br/>
        <w:t>23. The potential harmful effects of the content present on TikTok, amplified by the repeated presentation of similar content to the same user, have also been directly represented by representatives of the medical field and operators in the field of artificial intelligence ethics (such as the International Association for Suicide Prevention and the Digital Wellness Lab of Boston Children’s Hospital51).</w:t>
        <w:br/>
        <w:t>A study conducted by the Center for Countering Digital Hate in December 2022 shows that teenagers who, based on interactions on the TikTok platform, show an interest in videos related to suicidal impulses, self-harm, mental illness/depression, or eating disorders, are presented with videos containing similar content at a frequency far greater than that of adolescents who have not shown such initial interest. In other words, vulnerable adolescents are</w:t>
        <w:br/>
        <w:t>46 Doc. 42 questions 20 and 21.</w:t>
        <w:br/>
        <w:t>47 Doc. 42 question 19.</w:t>
        <w:br/>
        <w:t>48 Inspection document no. 5 of February 13, 2023. “The TnS team confirmed that the content brought to their attention can’t be withdrawn under the policy Suicide and Self-harm, the policy being focused on acts impacting mental health. The goal here is more to ‘look cool’. ‘Videos brought to our attention don’t violate our Community Guidelines as there is no promotion of activities nor behavior encouraging or normalizing self-harming or suicide’. ‘As background info: Videos don’t promote a behavior that can endanger user’s lives. Videos are showing people punching cheek’.</w:t>
        <w:br/>
        <w:t>49 Doc. 27, 20 and 42 question 23.</w:t>
        <w:br/>
        <w:t>50 Doc. 51 where TikTok also states that “it has adopted a proactive approach in Italy based on a keyword strategy aimed at automatically identifying and reporting to moderators content related to the French scar”.</w:t>
        <w:br/>
        <w:t>51 Doc. 29 p. 11, in which it is considered that TikTok “is also evaluating ways to better diversify the types of content that can be recommended in sequence, also testing ways to avoid recommending similar content in series which, although not in violation of its policies, could still inadvertently have a detrimental effect on the user if they become the majority of the content viewed, such as content related to loneliness or weight loss.”</w:t>
      </w:r>
    </w:p>
    <w:p>
      <w:r>
        <w:rPr>
          <w:b/>
        </w:rPr>
        <w:t>[Pages 73–75]</w:t>
      </w:r>
    </w:p>
    <w:p>
      <w:r>
        <w:t>BULLETIN NO. 11 OF MARCH 18, 2024 75</w:t>
        <w:br/>
        <w:t>are exposed more frequently to harmful content, and this occurs based on TikTok's recommendation system52.</w:t>
        <w:br/>
        <w:t>Figure 1</w:t>
        <w:br/>
        <w:t>c) TikTok's interest in maximizing user presence and activity on its platform</w:t>
        <w:br/>
        <w:t>24. The model of strong content personalization on which the TikTok platform is based translates into more time spent by individual users on this social media platform compared to the average time spent on competing platforms53, as illustrated in the following Figure 2.</w:t>
        <w:br/>
        <w:t>52 December 2022 report from the Center for Countering Digital Hate, TikTok pushes harmful content promoting eating disorders and self-harm into users’ feeds, available at the following address: https://counterhate.com/wp-content/uploads/2022/12/CCDH-Deadly-by-Design_120922.pdf. The report is based on simulations conducted with accounts in the United States, United Kingdom, Canada, and Australia.</w:t>
        <w:br/>
        <w:t>53 On TikTok's business model, see also the article published in The Economist, The all-conquering quaver, July 9, 2022, available at the following address: https://www.economist.com/interactive/briefing/2022/07/09/the-all-conquering-quaver.</w:t>
      </w:r>
    </w:p>
    <w:p>
      <w:r>
        <w:t>76 BULLETIN NO. 11 OF MARCH 18, 2024</w:t>
        <w:br/>
        <w:t>Figure 2</w:t>
        <w:br/>
        <w:t>The increased time spent by individual users on the platform implies an increase in TikTok's revenues, as the income derived from advertising collection crucially depends on user views and interactions. In particular, advertising revenues grow with the number of "impressions" (appearances on the screen), views (for at least 6 seconds), clicks on links contained in the advertisement, as well as "impressions" of selected users based on the likelihood that they have an interest in the advertised content54.</w:t>
        <w:br/>
        <w:t>Advertisers, in turn, can target advertising communication through a specific control panel, using fields such as the geographical location of users, gender, age group, language, spending power, and interests55.</w:t>
        <w:br/>
        <w:t>25. The expansion of the subscriber base and the increase in the time spent by each user on the platform allow TikTok not only to increase the quantity of content published or potentially publishable but also to attract the maximum number of additional users thanks to network effects (the user's interest in using the platform grows with the number of users using it); furthermore, the increase in user activity on the platform amplifies the profitability of advertising spaces because the greater use of TikTok provides the algorithmic recommendation system with more information about user preferences, allowing for a more accurate profiling, and possibly also ensuring a constant improvement of the algorithm that organizes and manages the proposition of the same content to various users.</w:t>
        <w:br/>
        <w:t>26. A comparison between the growth data of the number of users of the platform and the revenue from advertising collection at a global level shows that the latter is not proportional to the increase in the number of users but is largely linked to the progressive increase in the time spent by individual users on TikTok; confirming the fact that the personalization model on which the platform is based – which, as seen, records an average time spent by individual users significantly greater than other social media platforms – generates an effect of addiction.</w:t>
      </w:r>
    </w:p>
    <w:p>
      <w:r>
        <w:rPr>
          <w:b/>
        </w:rPr>
        <w:t>[Pages 76–78]</w:t>
      </w:r>
    </w:p>
    <w:p>
      <w:r>
        <w:t>78 BULLETIN NO. 11 OF MARCH 18, 2024</w:t>
        <w:br/>
        <w:t>Figures 3 and 4</w:t>
      </w:r>
    </w:p>
    <w:p>
      <w:r>
        <w:t>BULLETIN NO. 11 OF MARCH 18, 2024 79</w:t>
        <w:br/>
        <w:t>27. According to Statista, the growth in the time spent by individual users on TikTok is 18% between 2021 and 202256.</w:t>
        <w:br/>
        <w:t>TikTok's specific economic interest is the monetization of this addiction effect of the individual user and the network effects, to derive a benefit in terms of advertising revenue, as described above. Furthermore, the re-presentation of content such as that related to challenges allows TikTok to gain additional economic benefits from commercial promotion and/or marketing activities specifically directed at them, such as the purchase of virtual items used to express appreciation for the content in question.</w:t>
        <w:br/>
        <w:t>28. In Italy, users under the age of 16 cannot be subject to targeted advertising57. In July 2023, TikTok extended this ban to minors under 18, as part of the implementation of the measures provided for by the DSA58. TikTok's monetization of the advertisements viewed by minors is therefore linked to the increasing time spent by them on the platform59.</w:t>
        <w:br/>
        <w:t>d) Gaps in the application of the Community Guidelines</w:t>
        <w:br/>
        <w:t>29. TikTok has adopted "Community Guidelines" (hereinafter also CG), which "define a set of rules and a code of conduct aimed at making the platform a safe and welcoming space for all," and include the removal of "any content – video, audio, live, images, comments, links, and text that violates our Guidelines," with specific attention to "the protection of minors" against "dangerous acts and challenges" and "suicide, self-harm, and unhealthy eating." Regarding the protection of younger individuals, the CG states that "We are deeply committed to ensuring the protection of minors on our platform [...]. Any content [...] that represents the abuse, exploitation, or dangerous situations involving minors constitutes a violation of our platform and will be removed as soon as detected."</w:t>
        <w:br/>
        <w:t>The regulation regarding "Dangerous acts and challenges" provides that "We do not allow users to share content that depicts, promotes, normalizes, or glorifies dangerous acts that could cause serious injury or death. Furthermore, we do not allow content that promotes or supports collective participation in dangerous activities in violation of any part of our Community Guidelines"60.</w:t>
        <w:br/>
        <w:t>30. The current Guidelines have been expanded compared to previous ones with the clarification that content aimed at "Showing activities that can be imitated and that can lead to physical harm" is subject to "Age Restrictions (minimum 18 years)"; content aimed at "Showing activities that involve visible or imminent moderate physical harm or promoting activities that are likely to cause moderate physical harm" is deemed "Not suitable for You"61.</w:t>
        <w:br/>
        <w:t>31. The control of content present on the platform occurs according to a progressive process that can be summarized as follows:</w:t>
        <w:br/>
        <w:t>i) videos uploaded to the platform undergo an "automated review" that examines information related to text, audio, and video content, also detecting objects and symbols; if as a result of this review their content is found to be contrary to the Guidelines, they are either removed directly or subjected to a subsequent phase of "manual review"62. The automated assessment is based on a binary system for specific danger thresholds, beyond which manual intervention is triggered. The Parties have not provided the probability values associated with these thresholds, merely stating that they vary dynamically based on the type of dangerous content being monitored, and that stricter values are set for content that presents a greater potential danger63;</w:t>
        <w:br/>
        <w:t>ii) the "manual review" is carried out by a "team of moderators" composed of individuals (Trust and Safety team), who focus on contextual areas such as misinformation, harassment, eating disorders, challenges64.</w:t>
        <w:br/>
        <w:t>32. In 2022, approximately 400 million videos were removed worldwide, representing less than 1% of the approximately 50 billion videos uploaded globally during the same period. In the period from January to March 2023, the percentage of videos removed compared to posted videos is similarly less than 1%65.</w:t>
        <w:br/>
        <w:t>With reference to videos uploaded only by Italian users, the percentage of deleted videos compared to those uploaded during the cited period is even lower than that observed globally66.</w:t>
        <w:br/>
        <w:t>33. The Parties themselves state that automated review is more effective for cases where there is a clear violation of the Guidelines. In cases where violations are less evident and/or related to continuously evolving scenarios (such as misinformation, hate speech, harassment, or challenges), the greater complexity of the content requires an active role of human review67. This appears to be confirmed by the evidence collected. In fact, the majority of videos removed by TikTok worldwide in 2022 and in the first quarter of 2023 relate to the categories that the Parties have defined as "child safety," "explicit violent content," "nudity"61.</w:t>
      </w:r>
    </w:p>
    <w:p>
      <w:r>
        <w:rPr>
          <w:b/>
        </w:rPr>
        <w:t>[Pages 79–81]</w:t>
      </w:r>
    </w:p>
    <w:p>
      <w:r>
        <w:t>BULLETIN NO. 11 OF MARCH 18, 2024 81</w:t>
        <w:br/>
        <w:t>and illegal activities,” while only 5% of removals concerned “dangerous acts and challenges”68. For this latter category, moreover, removal occurs over longer periods, rarely before user viewing or within 24 hours of uploading69.</w:t>
        <w:br/>
        <w:t>34. Although human moderation is particularly relevant for content whose inadequacy is less immediate, the documents indicate that members of the “Moderation Team” are selected based on generic requirements such as “attention to social issues,” “familiarity with laws and regulations related to the internet,” and “ability to work different shifts”70. Moderators are trained through internal courses on the application of the Guidelines which, as per the documents, appear to focus more on violent, illegal, or sexual content rather than on challenges and acts dangerous for minors71. Furthermore, the total number of moderators is dynamic depending on TikTok's needs, which also recruits them through third parties flexibly according to requirements72.</w:t>
        <w:br/>
        <w:t>35. Finally, regarding the specific ability of TikTok's control procedures to supervise the impact of videos disseminated in Italian, it is noted that the automated review system for Italian language content seems less effective than for English language content, since during 2022, [30-35%] of English language videos removed by TikTok were removed solely through automation, while for Italian language videos this percentage drops to approximately [22-27%]73. Additionally, the removal of videos related to “dangerous acts and challenges” uploaded by Italian users occurs with less timeliness compared to those uploaded elsewhere in the world74.</w:t>
        <w:br/>
        <w:t>e) The ineffectiveness of the tools provided and the interventions made to protect minors</w:t>
        <w:br/>
        <w:t>36. Access to the platform is prohibited for users under 13 years of age. TikTok has provided some tools to limit the exposure of users aged 13-18 to potentially inappropriate content, as well as to limit the visibility of content they publish. TikTok has stated that content created by users under 16 years of age is not included in the “for you” feed and cannot be reached through search tools75. However, on the “Following” page, content posted by users under 16 years of age whom the user has followed is visible simply by activating the “follow” button present on each profile76. Finally:</w:t>
        <w:br/>
        <w:t>68 Doc. 42 point 2 and Doc. 27 point G.</w:t>
        <w:br/>
        <w:t>69 For example, in the first quarter of 2023, while overall, about 98% of videos were removed proactively, without waiting for third-party reports, and over 90% were removed within 24 hours of publication, for “dangerous acts and challenges” these percentages drop to 71% and 85%, respectively. See doc. 42 point 2.</w:t>
        <w:br/>
        <w:t>70 Doc. 42 question 7.</w:t>
        <w:br/>
        <w:t>71 Doc. 42 attachment 7.</w:t>
        <w:br/>
        <w:t>72 Doc. 51.</w:t>
        <w:br/>
        <w:t>73 Doc. 42 question 6.</w:t>
        <w:br/>
        <w:t>74 Doc. 42 point 4. For 2022, for Italian users, removals of “dangerous acts and challenges” carried out before any viewing stand at [20-40%] of cases for Italian users and within 24 hours of uploading at [45-65%] of cases.</w:t>
        <w:br/>
        <w:t>75 Doc 29.</w:t>
        <w:br/>
        <w:t>76 Doc. 42 question 12 and doc. 68 point 48.</w:t>
      </w:r>
    </w:p>
    <w:p>
      <w:r>
        <w:t>BULLETIN NO. 11 OF MARCH 18, 2024 83</w:t>
        <w:br/>
        <w:t>- restrictions may be imposed on the content included in the “for you” and “following” feeds of individuals under 18 or 16 years of age according to a video classification system established by TikTok starting from July 2022;</w:t>
        <w:br/>
        <w:t>- parents, through parental control tools, can impose time and content limits on their children;</w:t>
        <w:br/>
        <w:t>- accounts of users under 16 are by default “private,” meaning they can only be seen by those who have been accepted as “friends”77;</w:t>
        <w:br/>
        <w:t>- in Italy, TikTok has undertaken specific initiatives aimed at promoting a culture of safe platform use78.</w:t>
        <w:br/>
        <w:t>37. In order to identify possible users aged between 13 and 18 who register in the app as adults, TikTok primarily uses systems based on detailed reports from other users79. Moderators analyze reported profiles and, for suspicious cases, TikTok sets stricter filtering thresholds for the “for you” feed. Regarding the request to provide numerical data on the effects of this type of control, the Parties indicate that they “are not sure what data is available on this monitoring activity”80.</w:t>
        <w:br/>
        <w:t>38. It appears significant, according to the data provided by the Parties, based on the information entered by users in their TikTok profiles, that in 2022, Italian users under 18 years of age (“under 18”) would have averaged [less than 2 million], which is only [2-7%] of the total average users. These minors would also have uploaded only [6-11%] of the videos. Users under 16 years of age (“under 16”) would have been about [less than 2 million], which is only [1-6%] of the total users in Italy: these latter would have uploaded [1-6%] of the videos in 2022. The percentages remain similar when considering the data from the first quarter of 2023 reported by the Parties, although there is a significant increase in the total number of users81. Comparing the data produced with Istat statistics on the Italian population, it would follow that in Italy only [28-33%] of young people aged between 13 and 18 use TikTok82. This does not appear consistent with what is reported by various sources, according to which teens use social media extensively and pervasively and would be the main users of the platform83. These conclusions remain substantially unchanged even considering that, lastly, the Parties stated that to obtain the total number of users under 18 years of age from the data they provided, it is necessary to add the category labeled “under 18” with the category labeled “under 16”; even in this case, the percentage of minor users is still low, around [3-9%]84.</w:t>
        <w:br/>
        <w:t>3) The defensive arguments of the Parties</w:t>
        <w:br/>
        <w:t>On the Authority's jurisdiction</w:t>
        <w:br/>
        <w:t>39. Preliminary, TikTok contests a lack of jurisdiction on the part of the Authority, under the following profiles:</w:t>
        <w:br/>
        <w:t>a) the Authority would have invaded the non-delegable allocation of responsibilities outlined by Regulation (EU) No. 2065/2022 (hereinafter also “Digital Service Act”) concerning “Very Large Online Platforms,” aimed at ensuring diligent and responsible behavior of intermediary service providers, the application of which is entrusted to institutions other than the Authority;</w:t>
        <w:br/>
        <w:t>b) the proceeding would pursue purposes foreign to the protection of the economic interests of the market and consumers, such as the right to health, with the consequent failure to identify the commercial decision affected by the conduct. Furthermore, no commercial transaction would be configurably present in cases where personal data is provided by the user without any transactional exchange, since personal data are fundamental rights and cannot constitute a consideration;</w:t>
        <w:br/>
        <w:t>c) the imposition by the Authority of standards of professional diligence on online service provider platforms would represent a violation of the country of origin principle as per Directive 2000/31/EC, as stated by the Court of Justice of the EU in case C-376/22 of November 9, 2023, concerning, among others, TikTok. There, the Court stated that Article 3, paragraph 4, of Directive 2000/31/EC must be interpreted as meaning that: “general and abstract measures, concerning a category of certain information society services described in general terms, and applicable indiscriminately to any provider of such a category of services, do not fall within the notion of ‘measures taken concerning a specific information society service,’ within the meaning of that provision.”</w:t>
        <w:br/>
        <w:t>d) the Authority's sanctioning power would have lapsed due to the failure to timely contest the unlawful act, in violation of Article 14 of Law No. 689/1981 and Article 6.3(a) ECHR, as</w:t>
        <w:br/>
        <w:t>83 Among the studies reporting that TikTok is one of the most used social media by adolescents and the high percentages of social media use by them, consider, by way of example: https://www.commonsensemedia.org/sites/default/files/research/report/8-18-census-integrated-report-final-web_0.pdf; https://www.pewresearch.org/internet/2022/08/10/teens-social-media-and-technology-2022/#:~:text=YouTube%20stands%20out%20as%20the,%25; https://www.ofcom.org.uk/__data/assets/pdf_file/0015/245004/children-user-ages-chart-pack.pdf; https://www.marketingdive.com/news/tiktok-social-marketing-teens-snap-instagram-piper-sandler/646930/; https://www.infodata.ilsole24ore.com/2022/08/21/quasi-meta-dei-teenager-usa-internet-quasi-costantemente/#?refresh_ce=1.</w:t>
        <w:br/>
        <w:t>84 Doc. 68.</w:t>
      </w:r>
    </w:p>
    <w:p>
      <w:r>
        <w:rPr>
          <w:b/>
        </w:rPr>
        <w:t>[Pages 82–84]</w:t>
      </w:r>
    </w:p>
    <w:p>
      <w:r>
        <w:t>84 BULLETIN NO. 11 OF MARCH 18, 2024</w:t>
        <w:br/>
        <w:t>in the communication of the end of the investigation phase, it is stated that “periodically, the presence of dangerous content on TikTok gains media relevance.”</w:t>
        <w:br/>
        <w:t>On the merits of the allegations</w:t>
        <w:br/>
        <w:t>40. TikTok believes that the investigative activity conducted presents critical issues and that the evidence in the records would confirm the correctness of its actions according to standards of professional diligence.</w:t>
        <w:br/>
        <w:t>41. Firstly, it is asserted that TikTok Italy S.r.l. and TikTok Information Technologies UK Limited are unrelated to the conduct subject to the proceedings, as consumers who are part of the SEE establish a contractual relationship only with TikTok Technology Limited, which would qualify as the sole responsible party for the operation of the platform, monitoring systems, application of the Guidelines, and development of the recommendation system.</w:t>
        <w:br/>
        <w:t>42. In relation to the allegations pursuant to article 20 of the Consumer Code, TikTok complains that the parameters for each of the individual violations alleged have not been identified to define the level of "professional diligence" against which the conduct should be assessed. In any case, the obligation to carry out a preventive ex ante control on the content would be excluded by TikTok's nature as a “passive hosting provider,” with the consequent exemption from liability for the content and the absence of a general obligation of supervision, as established by EU legislation on electronic commerce and confirmed in articles 4-8 of the DSA.</w:t>
        <w:br/>
        <w:t>43. The reasons regarding the inadequacy of TikTok's moderation system and other initiatives aimed at making the platform safe would be lacking, as no elements related to industry standards would be provided and the elements produced by TikTok during the proceedings would not have been objectively assessed. The professionals highlight some data provided during the proceedings that would not have been adequately valued by the offices, asserting that the number of videos removed, the speed of their removal, the articulated series of measures taken, as well as a comparison with measures adopted by other platforms would have been omitted. In this regard, in the final briefs, the Parties refer to information related to the “statements of reasons” from the “DSA Transparency Database”85, in order to assert the superiority of TikTok's activities compared to other platforms in monitoring content. Furthermore, the number of videos removed related to the category “dangerous acts and challenges” and the French scar would have been assessed as insufficient without reference to any objective comparison parameter. The evaluations expressed in the communication of the investigative findings regarding the selection methods of the moderators would be based on a mistaken interpretation of the information provided by the Parties; this, along with the fact that human moderation has had more impact than automated removal, would render the allegation regarding the presence of deficiencies in the implementation methods of human moderation unfounded.</w:t>
        <w:br/>
        <w:t>44. With particular reference to the case concerning the French scar, the Parties produce the expert opinion of a forensic doctor86 who states that from a biological point of view, participation in the challenge in question produces only ephemeral, reversible, and non-dangerous effects on health. There would be no inducement to self-harm because there is no injury in a legal sense. In any case, TikTok believes it has intervened immediately to completely prevent young users from viewing the content in question.</w:t>
        <w:br/>
        <w:t>45. The evidence would show, both in the general operation of the platform and in the case of the French scar, TikTok's diligent application of its Guidelines aimed at maximizing the protection of its users, particularly young users, also through the implementation of a complex and articulated system of measures to protect users. Therefore, the allegation pursuant to article 21, paragraph 2, letter b) of the Consumer Code would also be unfounded. Regarding the failure to censor content contrary to common cultural and psychological sensitivities, TikTok recalls the need to achieve a balance between consumer protection and freedom of expression, as established by the Court of Justice.</w:t>
        <w:br/>
        <w:t>46. The allegation regarding the dissemination of content capable of threatening the safety of children, in violation of article 21, paragraph 4 of the Consumer Code, would overlap with those pursuant to articles 20 and 21. In any case, TikTok would have developed effective tools for parental supervision of children and a neutral interface for the so-called age gate, and would have adopted a content classification system based on user maturity, as well as promoted initiatives to raise awareness among younger users87.</w:t>
        <w:br/>
        <w:t>47. The aggressive nature of its conduct pursuant to articles 24 and 25 of the Consumer Code would not be configurably established as undue conditioning should occur prior to the conclusion of the contract, representing a defect of consent in a pre-contractual phase. Instead, TikTok's recommendation system, described in the Terms of Service, is a service that arises from a contract already concluded. In any case, there would be no evidence regarding the ability of this recommendation system to compress the user's ability to freely make a commercial decision. In fact, videos related to the French scar would have been viewed by a limited number of users. There would be no described link between content recommendation and advertising personalization: in fact, disabling personalization will not affect the personalization of advertisements, as the management of the latter follows a different and autonomous path. Moreover, no advertising content related to the French scar has been detected.</w:t>
        <w:br/>
        <w:t>48. The Parties believe that the “turn off” of the recommendation system has been adopted in a manner perfectly aligned with what is provided for in article 38 of the DSA. The Commission would have identified a standard of diligence consisting of merely deactivating the personalization system and it would not be lawful to override the principles established at the European level.</w:t>
        <w:br/>
        <w:t>49. Finally, from a procedural standpoint, TikTok believes that the opinion of Prof. Vicari was acquired in the absence of contradiction between the parties in violation of the procedure dictated by article 13 of the Regulation on investigative procedures concerning consumer protection88.</w:t>
        <w:br/>
        <w:t>87 Doc. 68 points 181 and following.</w:t>
        <w:br/>
        <w:t>88 Doc. 61.</w:t>
      </w:r>
    </w:p>
    <w:p>
      <w:r>
        <w:t>86 BULLETIN NO. 11 OF MARCH 18, 2024</w:t>
        <w:br/>
        <w:t>IV. OPINION OF THE AUTHORITY FOR GUARANTEES IN COMMUNICATIONS</w:t>
        <w:br/>
        <w:t>50. Since the commercial practice subject to this provision has been disseminated via the internet, on December 7, 2023, the opinion of the Authority for Guarantees in Communications was requested, pursuant to article 27, paragraph 6, of the Consumer Code.</w:t>
        <w:br/>
        <w:t>51. In a communication received on January 4, 2024, the aforementioned Authority transmitted its resolution stating “not to proceed with the issuance of the requested opinion,” considering that the case falls within its exclusive competencies. According to Agcom, in fact, the profiles of the contested conduct “do not appear to be connected to any commercial practice”; the alleged violations would therefore not constitute the elements of an unfair commercial practice, rather configuring as a direct violation of the Consolidated Text of Audiovisual and Radio Services (TUSMA) – sector legislation under the competence of Agcom itself – being linked to the failure to adopt “adequate measures to protect a specific and restricted group of users, which allowed the dissemination of content objectively capable of causing evident harm” to minors89.</w:t>
        <w:br/>
        <w:t>V. EVALUATIONS</w:t>
        <w:br/>
        <w:t>52. The present proceeding is part of a context of increasing attention towards the phenomenon of social media that generates the need to ensure a high level of protection in the digital environment, especially for minors and vulnerable individuals. In this sense, the recent “Resolution of the European Parliament of December 12, 2023, on the design of online services that create addiction and on consumer protection in the EU single market”90 (hereinafter also Resolution) considers that many digital services design their systems to exploit users' vulnerabilities in order to capture their attention and increase the amount of time they spend on the platforms (considering A)91, and that “some services, products, or functions that potentially have no effect on adults can instead be extremely risky and harmful to minors and create addiction in them” (considering D). In this context, it is also considered that certain recommendation systems, based on personalization and interaction, can contribute to the functioning of platforms to improve social interaction, but often aim to retain users on the platform92. The Resolution also acknowledges how academics are increasingly agreeing on the existence of phenomena such as “social media addiction”93. The same awareness and possible negative effects on minors are reported in the aforementioned report of the U.S. Surgeon General94.</w:t>
        <w:br/>
        <w:t>89 Doc. 76.</w:t>
        <w:br/>
        <w:t>90 https://www.europarl.europa.eu/doceo/document/TA-9-2023-0459_IT.html.</w:t>
        <w:br/>
        <w:t>91 The aforementioned Resolution concludes that the European Parliament is “alarmed that some platforms … exploit psychological vulnerabilities to design, for commercial interests, digital interfaces that maximize the frequency and duration of user visits, in order to prolong the use of online services and create engagement with the platform [and] emphasizes that addictive design can cause harm to physical and psychological health, as well as material harm to consumers” (point 3).</w:t>
        <w:br/>
        <w:t>92 Point M of the cited Resolution.</w:t>
        <w:br/>
        <w:t>93 Point A of the cited Resolution.</w:t>
        <w:br/>
        <w:t>94 Cf. U.S. Surgeon General, Social Media and Youth Mental Health, 2023, available at https://www.hhs.gov/sites/default/files/sg-youth-mental-health-social-media-advisory.pdf where it is also indicated, on page 16,</w:t>
      </w:r>
    </w:p>
    <w:p>
      <w:r>
        <w:rPr>
          <w:b/>
        </w:rPr>
        <w:t>[Pages 85–87]</w:t>
      </w:r>
    </w:p>
    <w:p>
      <w:r>
        <w:t>BULLETIN NO. 11 OF MARCH 18, 2024 87</w:t>
        <w:br/>
        <w:t>53. The behaviors subject to this provision concern the following aspects:</w:t>
        <w:br/>
        <w:t>a) violation of the obligations of diligent application of its Guidelines communicated to users;</w:t>
        <w:br/>
        <w:t>b) undue conditioning of users through the re-proposition of content that exploits the vulnerability of certain groups of consumers;</w:t>
        <w:br/>
        <w:t>c) inadequacy of the control and monitoring measures adopted by TikTok on the content published by users, with particular reference to the protection of minors and vulnerable individuals;</w:t>
        <w:br/>
        <w:t>d) dissemination of content capable of threatening the psycho-physical safety of children and adolescents.</w:t>
        <w:br/>
        <w:t>Preliminary Issues</w:t>
        <w:br/>
        <w:t>54. As a preliminary matter, the exception raised by TikTok regarding the Authority's lack of competence to assess the behaviors subject to this proceeding cannot be accepted, claiming that they would only be assessable under the DSA. In fact, the scope of application of the Consumer Code, due to its horizontal nature and the breadth of the notion of commercial practice, extends to all activities carried out by professionals towards users of digital services before, during, and after the commercial operation. Moreover, Article 2 of the DSA expressly preserves European law regarding consumer protection95 (see also recital 10) and therefore the principle set forth in Article 3, paragraph 4, of Directive 2005/29/EC, as interpreted by the Court of Justice96, must be considered applicable, according to which the “conflict” between the provisions of that directive and other community rules exists only where the latter regulate specific aspects of unfair commercial practices imposing on professionals, without any margin of maneuver, obligations incompatible with those established by Directive 2005/29/EC. In terms of enforcement, Article 27, paragraph 1-bis, of the Consumer Code, which constitutes the transposition of this European norm, identifies a general criterion for the preventive allocation of competencies between AGCM and the Regulatory Authorities in all regulated sectors, exclusively assigning to AGCM the enforcement regarding all behaviors that give rise to an unfair commercial practice, including those that simultaneously constitute a violation of a sector rule. The competence of the sector Regulatory Authorities is residual, confined to cases where the behavior does not simultaneously constitute an unfair commercial practice.</w:t>
        <w:br/>
        <w:t>Moreover, the aforementioned Resolution of the European Parliament, acknowledging the various regulatory provisions already in force including the DSA (expressly referenced in the recitals), considers it possible to prohibit such behaviors within the current consumer protection regulatory framework (point 6).</w:t>
        <w:br/>
        <w:t>55. Regarding the alleged irrelevance of the contested behaviors concerning the purpose of protecting the economic interests pursued by the Consumer Code, it is noted that, contrary to what the professionals claim, the informational asset constituted by the data of TikTok users, used for the profiling of the users themselves for commercial purposes, as well as for the functioning of the recommendation system, acquires, precisely because of such use, an economic value suitable to configure the existence of a consumer relationship between the professionals and the users themselves, even in the absence of monetary compensation.</w:t>
        <w:br/>
        <w:t>In this regard, it is worth recalling the now consolidated orientation of the European Commission aimed at recognizing that “[p]ersonal data, consumer preferences, and other user-generated content have de facto economic value”97. In line with this approach, the administrative judge has explicitly highlighted the “capitalization” of personal data, typical of the new economies of digital markets, and the consequent applicability of consumer law, stating that “the informational asset constituted by the data of users and the profiling of the users themselves for commercial use and for marketing purposes (…) acquires precisely because of such use, an economic value suitable (…) to configure the existence of a consumer relationship between the Professional and the user”98. The judge also specified that “the capitalization of personal data (…) constitutes the result of the intervention of companies (Note: Facebook) through the provision of the data - and the profiling of the user - for commercial purposes”99.</w:t>
        <w:br/>
        <w:t>56. Finally, TikTok's observation regarding the principles established by the recent ruling of the Court of Justice100 concerning the application of Directive 2000/31/EC also appears unfounded, as the Authority does not adopt a general and abstract provision applicable indiscriminately to any provider of a category of information society services but, on the contrary, a “necessary” and “proportionate” measure for the safeguarding of a specific interest, namely consumer protection, rendered against a specific professional and concerning a “specific” service (the TikTok platform). This is expressly permitted by Article 3, paragraph 4, of Directive 2000/31/CE101.</w:t>
        <w:br/>
        <w:t>57. Regarding the challenge related to the acquisition of the statements of Prof. Vicari, it is noted that the Parties' reference to the procedure under Article 13 of the Regulation does not appear relevant in this case. In fact, no assignment was given to conduct investigations comparable to a technical consultancy or expert opinion on specific elements provided, but objective knowledge data was requested from a representative of the scientific community, derived from the experience gained in the exercise of the medical-specialist profession, regarding the influence of content present on social media like TikTok on children and adolescents, as well as regarding possible non-physical prejudices arising from videos such as those related to the French scar. This falls within the investigative powers of the Authority, pursuant to Article 12 of the Regulation on investigative procedures, according to which “the responsible party acquires during the investigation any useful element for the assessment of the case and, for this purpose, may request information and documents from any public or private entity.” The use of this investigative means has not, in any case, infringed TikTok's right to fully exercise its right of defense, as the professional had access to the relevant minutes and has countered what was reported therein102. In any case, these are issues raised by other representatives of the scientific community, as mentioned above103.</w:t>
        <w:br/>
        <w:t>58. Finally, while acknowledging the authoritative opinion expressed by the expert consulted by the Parties, it is highlighted that even in the aforementioned Resolution of the EU Parliament it is stated that the use of the internet can have side effects similar to those of substance addiction, that frequent users of digital media are twice as likely to develop mental health problems, including risk factors for suicide and self-harm, and that children and young people are more vulnerable to such symptoms104. Similar considerations are made in the cited report of the U.S. Surgeon General.</w:t>
        <w:br/>
        <w:t>Substantive Assessments</w:t>
        <w:br/>
        <w:t>a) The attribution of commercial practices</w:t>
        <w:br/>
        <w:t>59. The behaviors subject to this proceeding are attributed to TikTok Technology Limited with which users residing in the European Single Market enter into a contract when they accept the general terms and conditions present on the website and the App, of which the Community Guidelines are an integral part; the company is also responsible for the operation of the platform, the systems for monitoring content and preventing the dissemination of dangerous content, as well as the development and functioning of the recommendation system105.</w:t>
        <w:br/>
        <w:t>The behaviors are also attributed to TikTok Italy S.r.l. as this company deals with the sale and management of advertising spaces for the Italian market and therefore has an interest in the presence on the platform of content that attracts the largest number of users to maximize their interactions and time spent on it.</w:t>
        <w:br/>
        <w:t>TikTok Information Technologies UK Limited is also responsible for the contested behaviors, as it sells and manages advertising spaces and provides value-added services, such as livestreaming, for the TikTok platform. In any case, since it fully controls TikTok Technology 102 Council of State, September 24, 2012, No. 5070, PS 306 Freeze. It falls within the discretion of AGCM to “assess the appropriateness of using the information acquisition tool pursuant to Article 12 of the aforementioned regulation, or a true technical consultancy or expert opinion pursuant to Article 13 of the regulation, taking into account all the circumstances of the case.” In this case, the request for information addressed to the dermatological institute cannot be assimilated to a technical consultancy as “the subject of the information pertained to the possibility of recognizing the substances contained in the cosmetic product [...], the advertised effects [...] so that the Institute (IDI) was not assigned the task of conducting specific technical investigations comparable to a technical consultancy, but rather that of acquiring objective knowledge data, known to the scientific community, regarding the effectiveness of the substances present in the advertised product,” it follows that “the investigative means used is, therefore, attributable to the application scope of the institute of information acquisition from third parties pursuant to Article 12 of [...] with the consequent inapplicability of the discipline relating to the different investigative means of expert opinion or technical consultancy, contained in the subsequent Article 13.” Furthermore, Lazio TAR, January 21, 2015, No. 994, PS6410 and IP198 – MSC Cruises. There is no “burden on the administration to continuously update the party regarding the acquisitions made,” as “the knowledge of the pendency of the proceeding allowed the appellant to access the acts of the same at any time.”</w:t>
        <w:br/>
        <w:t>103 Cf. U.S. Surgeon General, Social Media and Youth Mental Health, 2023, available at https://www.hhs.gov/sites/default/files/sg-youth-mental-health-social-media-advisory.pdf.</w:t>
        <w:br/>
        <w:t>104 Letter D of the Resolution.</w:t>
        <w:br/>
        <w:t>105 Doc. 68 p. 4.</w:t>
      </w:r>
    </w:p>
    <w:p>
      <w:r>
        <w:rPr>
          <w:b/>
        </w:rPr>
        <w:t>[Pages 88–90]</w:t>
      </w:r>
    </w:p>
    <w:p>
      <w:r>
        <w:t>90 BULLETIN NO. 11 OF MARCH 18, 2024</w:t>
        <w:br/>
        <w:t>Limited and TikTok Italy S.r.l. benefit economically from the behaviors examined herein. In this regard, the principle established by jurisprudence is recalled, according to which “[i]n antitrust matters […] in the presence of a company that holds 100% of the share capital of another company, it is presumed that the controlling company exerts a decisive influence on the conduct of the controlled company, such that it is considered responsible for the unlawful acts materially carried out by the latter.” The aforementioned jurisprudence identifies the reasons why this principle must also be applied in the context of sanctions for unfair commercial practices. In fact, the diversity of the two regulatory frameworks (antitrust and consumer protection) does not eliminate the common matrix and rationale of both, which, even from different perspectives, pertain to the protection of the dyad constituted by the market and the freedom of competition106. Therefore, the behaviors subject to the proceedings must also be attributed to TikTok Information Technologies UK Limited as it is capable of exercising, due to total control, a decisive influence on the activities of TikTok Technology Limited and TikTok Italy S.r.l.</w:t>
        <w:br/>
        <w:t>b) The gaps in the application of the Community Guidelines, in violation of Article 21, paragraph 2 letter b)</w:t>
        <w:br/>
        <w:t>60. The TikTok Guidelines, accessible on the platform, contain statements aimed at reassuring users about the provision of a protected virtual environment, aimed at making the platform “a safe and welcoming space for all,” promising pervasive controls regarding a wide range of issues and contemplating the removal of “any content – videos, audio, live streams, images, comments, links, and text that violate our Guidelines.” There is also a declared attention to young users and vulnerable individuals, allegedly aimed at ensuring the “protection of minors on our platform,” as well as a specific concern regarding “dangerous acts and challenges” and “suicide, self-harm, and unhealthy eating.”</w:t>
        <w:br/>
        <w:t>61. In reality, the Guidelines appear to constitute a declination of virtuous principles that are subject to discretionary and incomplete interpretation and application by professionals, resulting in an evasion of the very principles stated.</w:t>
        <w:br/>
        <w:t>62. The Guidelines, in fact, categorize as dangerous content only those that present a manifest unlawfulness, but not those contrary to common cultural and psychological sensibility, as emerges from the case concerning the “French scar challenge.” In this regard, it is noted that representatives of the medical field assert that the damages resulting from exposure to such content should also be appreciated from the perspective of desensitization to self-harm, which can lead to episodes of potentially larger scale and greater severity107.</w:t>
        <w:br/>
        <w:t>The Parties assert the correctness and effectiveness of both “automated review” and “manual review” for the successful outcome of the moderation process. Regarding the former, it is noteworthy that it has not prevented the proliferation of the aforementioned videos on the platform; the latter, carried out through specific evaluations by moderators, concluded for the consistency of the videos with the Guidelines. According to TikTok, the “French scar challenge” would not fall within the category of “self-harm,” which includes only physical injuries that can be qualified as such from a legal standpoint.</w:t>
        <w:br/>
        <w:t>63. TikTok has therefore decided to take moderation measures on videos related to the French scar only as a result of the media relevance they have gained. These measures, however, did not result in the removal of content but only limited its dissemination and concerned only some videos selected by TikTok or reported by users. Only after the initiation of the proceedings were the Guidelines expanded, including the possibility of limiting the “for you” page of minors by avoiding the display of content likely to cause “moderate” physical harm.</w:t>
        <w:br/>
        <w:t>64. From the collected elements, gaps have also emerged in the tools used for monitoring content, which limit the effectiveness of the moderation process provided for in the Guidelines. Automated moderation proves less effective in cases where violations are more complex to interpret and relate to continuously evolving sectors, such that human moderation becomes particularly relevant for evaluating content whose inadequacy is less immediate. Nevertheless, the recruitment of members of the “Moderation Team” appears to be carried out based on generic requirements, and their internal training focuses solely on manifestly illegal, violent, or sexual content. The analysis of the number of videos removed in different languages also suggests that the automated review system is less effective for videos disseminated in Italian.</w:t>
        <w:br/>
        <w:t>65. Although TikTok adopts some specific measures to shield minors and vulnerable individuals from the visibility of certain content, these find a significant limit in the possibility that users provide false information about their age during the registration phase on the platform, which is left, in TikTok's own words, to mere self-declaration.</w:t>
        <w:br/>
        <w:t>66. The professionals lament the inadequate consideration of the number of videos removed from the platform. The considerations raised on this point, contrary to what TikTok claims, do not concern the absolute number of videos removed, but their relevance concerning the case at hand. In fact, such data, for the purposes of this assessment, prove numerically insignificant when considered in percentage terms relative to the total number of videos disseminated on the platform. In any case, it is well known that unfair commercial practices are unlawful acts of danger, the existence of which is independent of a detailed analysis of the spread of the conduct.</w:t>
        <w:br/>
        <w:t>67. In conclusion, the Guidelines - while providing for various types of controls on content and attributing to the TikTok platform the character of a “safe place” - have been subject, in practice, to incomplete application. This can influence the economic choice of the consumer to register on TikTok and use the social media service, leading them to believe that content likely to harm users, especially vulnerable ones, will not be displayed, in violation of Article 21, paragraph 2, letter b), of the Consumer Code.</w:t>
        <w:br/>
        <w:t>In the case of videos related to the French scar, the control interventions carried out based on the criteria found in the Guidelines did not take into account the vulnerability of adolescents, characterized by peculiar cognitive mechanisms from which derive, for example, the difficulty in distinguishing reality from fiction, the absence of inhibition tools, and the tendency to emulate group behaviors. While some services or functions may not have an equivalent effect on adults, they can be more risky and harmful for minors and create addiction, also due to the cumulative impact of a combination of multiple functions or prolonged effects over time108. Therefore, in the best interest of the latter, it is necessary for content controls in application of the Guidelines to be more stringent.</w:t>
        <w:br/>
        <w:t>c) The undue conditioning of users, particularly minors and vulnerable individuals, through the recommendation system based on algorithmic profiling in violation of Article 25, paragraph 1, letter c)</w:t>
        <w:br/>
        <w:t>68. In the outlined context, TikTok uses a recommendation system based on algorithmic profiling techniques that exploit the vulnerability of consumer groups and appears to generate undue conditioning of users.</w:t>
        <w:br/>
        <w:t>69. TikTok indeed proposes a service experience, presented as an “experience,” which is based on the personalization of views and therefore constantly selects which content to allocate to each user through an “algorithmic recommendation system.” This is in order to pursue the specific economic interest of increasing interactions between users and their time spent on the platform, thereby enhancing the profitability of advertising revenues and similar. The presence on TikTok of potentially dangerous content for users, therefore, appears functional to profit maximization objectives, implemented through the dissemination of engaging videos according to the tastes of each specific user, thus increasingly stimulating the use of the platform.</w:t>
        <w:br/>
        <w:t>70. The potential harm to minors and vulnerable individuals arises not only from the proposal of individual dangerous videos to a wide number of users but is amplified by the repeated presentation, by the recommendation system, of similar videos in succession to each individual user. Although the personalized recommendation system is presented to the user as a positive factor that contributes to the discovery of the world, “which inspires creativity and brings joy,” TikTok is aware that the sequential recommendation of certain content can create detrimental effects, particularly for minors and vulnerable individuals109. It indeed appears that TikTok's interest in generating a significant addiction effect prevails, which it is able to monetize, even for these categories of users.</w:t>
        <w:br/>
        <w:t>71. The fact that TikTok provides users with systems to actively select the content to view and to partially escape the operation of the recommendation system (such as keyword search criteria or the possibility to reset the recommendation system) does not seem sufficient to limit the effects of using the content profiling model, as evidenced by the fact that such tools are poorly utilized by users.</w:t>
        <w:br/>
        <w:t xml:space="preserve">72. The introduction, starting from August 25, 2023, of an option to use a “system of </w:t>
        <w:br/>
        <w:t>108 Cf. EU Parliament Resolution cited point D.</w:t>
        <w:br/>
        <w:t>109 The same European Commission in the aforementioned Guidelines (2021/C 526/01), with reference to unfair commercial practices based on data, emphasizes that these are practices that can have “a more significant effect on vulnerable consumers,” as some consumers may be “particularly sensitive to personalized persuasion practices in the digital environment.” According to the European Commission, “the use of information regarding the vulnerabilities of specific consumers or a group of consumers” could constitute a form of manipulation in which “the professional exerts an ‘undue conditioning’ on the consumer, resulting in an aggressive commercial practice prohibited under Articles 8 and 9 of the directive.”</w:t>
      </w:r>
    </w:p>
    <w:p>
      <w:r>
        <w:rPr>
          <w:b/>
        </w:rPr>
        <w:t>[Pages 91–93]</w:t>
      </w:r>
    </w:p>
    <w:p>
      <w:r>
        <w:t>BULLETIN NO. 11 OF MARCH 18, 2024 93</w:t>
        <w:br/>
        <w:t>alternative “recommendation,” not based on profiling, due to the manner in which it has been introduced and proposed to consumers.</w:t>
        <w:br/>
        <w:t>First of all, the consumer is not informed of the existence and effects of this option, as there is no evidence of this new possibility and its implications during a usual navigation path on the app. To discover this option and evaluate whether to activate it, various steps and different commands are necessary, without any information about the purpose of the path from the very beginning. There is no clear information even when reaching the last step called “Manage page customization.” It is not specified how the flow of images visible in the non-personalized version of the pages will be selected: for the “for you” feed, it is merely indicated that it will be named “Popular,” while no information is provided for the “Following” feed.</w:t>
        <w:br/>
        <w:t>Furthermore, the fact that the user, upon signing up for TikTok, is provided by default with a recommendation system featuring personalized content, represents a limitation of the consumer's freedom of choice. TikTok, in fact, imposes on users a pre-established option for using the platform, forcing them to take action to deactivate it, according to an opt-out choice mechanism. Essentially, the consumer can only exercise the contrary option through specific active behavior, which in turn depends on the information provided to the user and the ease of access to the relevant command. Such a pre-setting mechanism, operating in a generalized and preventive manner, represents – as confirmed by the practice and jurisprudence of the Consumer Code110 – a compression of the faculty of choice.</w:t>
        <w:br/>
        <w:t>Therefore, the choice of personalization as a default option does not seem adequate to remove the aforementioned profiles of undue conditioning of minor and vulnerable users linked – as seen – not only to the viewing of dangerous videos but also to the repeated re-presentation, by TikTok's algorithm, of similar content to the same minor/vulnerable user, capable of generating a phenomenon of sequential viewing by the same user, which amplifies the potentially harmful impact of the content.</w:t>
        <w:br/>
        <w:t>73. The described behaviors appear capable of unduly conditioning the choices of consumers, particularly minors and vulnerable users, regarding the time and manner of using the service offered by TikTok, limiting their ability to make an informed decision and altering their consumption decision in violation of article 25, paragraph 1, letter c) of the Consumer Code.</w:t>
        <w:br/>
        <w:t>74. The objections of the Parties regarding the fact that for the configuration of aggressive conduct, undue conditioning must necessarily occur before the establishment of the contractual bond, appear unfounded. In this case, no consideration is required at the time of registration on the platform, but the consumer, during their use, provides TikTok with data, which is used by it to generate profit. The undue conditioning of the consumer occurs precisely in relation to their continuous choice regarding the timing and manner of using the platform, which involves data transfer111. In this sense, the cited</w:t>
        <w:br/>
        <w:t>110 Tar Lazio, I, November 18, 2022, no. 15326, PS11147 - Google.</w:t>
        <w:br/>
        <w:t>111 Cf. Tar Lazio, March 22, 2018, no. 3186, PS6853 - Autostrade per l’Italia-Information on Traffic in Critical Conditions. Aggressive practice is to be defined as an invasive conduct, for the pressures it concretely consists of, on the consumer's freedom of choice, a conduct that can take place, even during the contractual relationship, as well as in the phase of establishing the contractual bond.</w:t>
      </w:r>
    </w:p>
    <w:p>
      <w:r>
        <w:t>94 BULLETIN NO. 11 OF MARCH 18, 2024</w:t>
        <w:br/>
        <w:t>EU Resolution, where it is stated that the “commercial decision” contained in the Directive on unfair commercial practices includes the continuous use of the service, the scrolling of a feed, or the viewing of advertising content112.</w:t>
        <w:br/>
        <w:t>75. Furthermore, contrary to what the Parties claim, the distinction between deactivation of content personalization and personalization of advertising is quite clear. What should be emphasized, however, is that TikTok has an interest in content personalization in order to induce the user to spend more time on the platform and in a more active manner, with the indirect effect of generating greater visibility of advertisements (even non-targeted), increasing the value of advertising collection or generating other economic benefits linked to prolonged use of the platform.</w:t>
        <w:br/>
        <w:t>d) The inadequacy of control measures in violation of articles 20, paragraphs 2 and 3</w:t>
        <w:br/>
        <w:t>76. The failure to adopt adequate measures and procedures, despite being available to the professional, aimed at preventing and removing the dissemination of potentially dangerous content, violates article 20, paragraphs 2 and 3, of the Consumer Code. Such conduct, contrary to the professional diligence required of social media platforms, is capable of appreciably distorting the economic behavior of the consumer.</w:t>
        <w:br/>
        <w:t>77. In the context under examination, a particular diligence is required from professionals in order to protect minors in the digital environment, especially prejudiced if exposed to repeated and massive consumption of content. The monitoring systems adopted by TikTok have not been adequate to oversee the circulation of dangerous content related to the French scar. Rather, TikTok appears to adopt a specific commercial strategy that does not contemplate the removal of particularly seductive content for certain user groups, even where it exploits their vulnerability: this strategy is indeed aimed at attracting as many consumers as possible, maximizing their time spent on the platform and their engagement, in order to increase the profitability of advertising revenues113.</w:t>
        <w:br/>
        <w:t>78. The mere comparison between the number of “statements of reasons” extracted from the DSA Transparency Database – proposed by the Parties in the latest briefs to assert their “superior” level of diligence – appears of little significance in the context of this proceeding. These data indeed concern the totality of measures adopted and self-reported (statements of reasons) by 16 platforms, aggregated for 14 categories of violations, over a limited period of time. There is a wide heterogeneity among the platforms considered, which offer services and have business models different from those of TikTok, in terms of the type of content, methods of dissemination, target users, recommendation systems, profiling, and moderation mechanisms. Some platforms do not disseminate content similar to that subject to this proceeding at all.</w:t>
        <w:br/>
        <w:t>79. Finally, TikTok's reference to the liability exemption principle provided by the DSA and the so-called hosting provider defense under Legislative Decree 70/2003, which would imply the absence of a general obligation to monitor hosted content, appears unfounded. In fact, this defensive exception, based on the unknowability of the content, seems incompatible with the active role played by TikTok in selecting videos to be assigned to each consumer through a personalized recommendation system based on algorithmic profiling. Furthermore, the commitment expressed by TikTok in its Guidelines to limit the dissemination of dangerous content presupposes the concrete knowability of the same and its ability to influence them.</w:t>
        <w:br/>
        <w:t>e) The dissemination of dangerous content for minors, in violation of article 21, paragraph 4</w:t>
        <w:br/>
        <w:t>80. The described conduct of the professionals, as reconstructed above, constitutes a violation of article 21, paragraph 4, of the Consumer Code as it is capable of harming the psycho-physical health of certain groups of users and, in particular, of indirectly threatening the safety of children and adolescents.</w:t>
        <w:br/>
        <w:t>f) Conclusions: the commercial practice</w:t>
        <w:br/>
        <w:t>81. In light of the above, the conduct of the professional Parties to the proceeding overall constitutes an unfair commercial practice that violates articles 20, paragraphs 2 and 3, 21, paragraph 2 letter b), 21, paragraph 4, 25, paragraph 1, letter c) of the Consumer Code with reference, respectively, to the following profiles:</w:t>
        <w:br/>
        <w:t>a) inadequacy of the control and monitoring measures adopted by TikTok on the content published by users, with particular reference to the protection of vulnerable subjects;</w:t>
        <w:br/>
        <w:t>b) violation of the obligations of diligent application of its Guidelines communicated to users;</w:t>
        <w:br/>
        <w:t>c) dissemination of content capable of threatening the psycho-physical safety of children and adolescents;</w:t>
        <w:br/>
        <w:t>d) undue conditioning of users through the re-presentation of content that exploits the vulnerability of certain groups of consumers.</w:t>
        <w:br/>
        <w:t>All the aforementioned profiles have the effect of increasing the time spent by the user on the platform, resulting in an increase in TikTok's revenues.</w:t>
        <w:br/>
        <w:t>82. As for the position of Agcom, which decided not to proceed with the issuance of the requested opinion, considering that the profiles of contestation of the conduct do not constitute the elements of an unfair commercial practice, it is worth recalling the notion of commercial practice outlined in the “Guidelines,” according to which it must be “directly connected to the promotion, sale, or provision of a good or service to the consumer”114.</w:t>
        <w:br/>
        <w:t>83. As extensively described, the conduct carried out by TikTok consists of the dissemination on its platform of videos related to the so-called “French scar” challenge as a result of the insufficiency of actions taken to prevent its circulation, as well as the use of ‘recommendation systems’ of content that amplify its dissemination, despite the reassuring principles stated in the professional's Guidelines.</w:t>
        <w:br/>
        <w:t>84. The “commercial” nature of the practice in question is attributable to the relationship between TikTok and its users, within which the provision of the social network service finds as a counterpart the transfer of consumers' personal data. Such data are used by TikTok for the profiling of users for commercial use as well as for the functioning of the recommendation system to the benefit of the platform's profitability. As argued above, the data transferred by consumers</w:t>
        <w:br/>
        <w:t>114 Communication from the Commission — Guidelines on the interpretation and application of Directive 2005/29/EC of the European Parliament and of the Council concerning unfair commercial practices of businesses towards consumers in the internal market (2021/C 526/01); point 2.3.</w:t>
      </w:r>
    </w:p>
    <w:p>
      <w:r>
        <w:rPr>
          <w:b/>
        </w:rPr>
        <w:t>[Pages 94–96]</w:t>
      </w:r>
    </w:p>
    <w:p>
      <w:r>
        <w:t>96 BULLETIN NO. 11 OF MARCH 18, 2024</w:t>
        <w:br/>
        <w:t>acquire, precisely because of their use by TikTok, an economic value suitable to configure the existence of a consumer relationship between the professionals and the users themselves, even in the absence of monetary compensation. Furthermore, the practice in question has a specific and continuous impact on the consumer relationship linked precisely to the circumstance that it has the effect of increasing the time spent by the user on the platform.</w:t>
        <w:br/>
        <w:t>85. In this context, TikTok can be classified as a professional pursuant to Article 18 of the Consumer Code and is responsible for the contested practice as it plays an active role in the targeted proposal of content circulating on the platform, which presupposes concrete knowledge on the part of the professionals, as outlined above.</w:t>
        <w:br/>
        <w:t>86. The contested behaviors translate into violations of the specific norms of the Consumer Code mentioned above and appear capable of determining an alteration of the economic choice of the consumer regarding the methods of enjoyment of the services offered by the platform.</w:t>
        <w:br/>
        <w:t>87. The behaviors subject to this proceeding, therefore, collectively integrate the elements of unfair commercial practice. Therefore, pursuant to Article 27, paragraph 1-bis of the Consumer Code, the competence to intervene lies exclusively with the AGCM. The consumer protection regulations do not apply “only when provisions external to the latter, governing specific aspects of unfair commercial practices, impose on professionals, without any margin of maneuver, obligations incompatible with those established by Directive 2005/29” (Court of Justice EU, September 13, 2018, C-54/17 and C/55/17, cited)115.</w:t>
        <w:br/>
        <w:t>VI. QUANTIFICATION OF THE SANCTION</w:t>
        <w:br/>
        <w:t>88. Pursuant to Article 27, paragraph 9, of the Consumer Code, with the provision that prohibits the unfair commercial practice, the Authority imposes an administrative pecuniary sanction from 5,000 to 10,000,000 euros, taking into account the severity and duration of the violation.</w:t>
        <w:br/>
        <w:t>89. In this regard, it is noted that, for the reasons described above, the conduct in question has continued even after the entry into force, on April 2, 2023, of the new sanctioning regime, which increased the maximum penalty for consumer protection from 5 to 10 million euros. This conduct is comparable to a case of permanent or continuous offense, with respect to which, by virtue of the principle tempus regit actum, the sanctioning regime in force at the time when the administration proceeds to impose the sanction itself applies, namely the new version of the aforementioned Article 27, paragraph 9, of the Consumer Code.</w:t>
        <w:br/>
        <w:t>90.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91. With regard to the severity of the violation, account is taken in the case at hand of the failure by the professional to adopt adequate measures and procedures to remove potentially dangerous content from the platform - such as those related to the French scar - capable of threatening the psycho-physical safety of children and adolescents. In this respect, the detected behaviors pertain to cases for which the Consumer Code provides for enhanced protection pursuant to Article 21, paragraph 4. Furthermore, although TikTok has adopted Guidelines that promised a protected virtual environment, the control over content has proven insufficient as such Guidelines have been found to be subject to interpretation and discretionary application that translate into inadequate protection of minors and vulnerable individuals. The severity must also be assessed with regard to the undue conditioning generated by the use of a recommendation system based on algorithmic profiling techniques that exploit the vulnerability of groups of consumers to increase interactions and induce the user to spend more time on the platform, with the indirect effect of increasing the value of advertising revenue or generating other economic benefits linked to prolonged use of the platform.</w:t>
        <w:br/>
        <w:t>92. Additionally, the high offensive potential of the case must be considered, given the enormous popularity of the platform, which reached an average of [10–31] million Italian users in the first quarter of 2023 and is constantly growing.</w:t>
        <w:br/>
        <w:t>93. Finally, account is taken of the economic size of the Professionals. In fact, the companies TikTok Italy S.r.l., TikTok Technology Limited, and TikTok Information Technologies UK Limited belong to a group (Bytedance) that operates globally in the social media sector. They have generated significant revenues, amounting to approximately 20 million euros (financial statement of TikTok Italy S.r.l. for 2022), 180 million euros (financial statement of TikTok Technology Limited for 2021), and 2,400 million euros (consolidated financial statement of TikTok Information Technologies UK Limited). The EBITDA emerging from the same financial statements is approximately 1.6 million euros and 18 million euros for TikTok Italy S.r.l. and TikTok Technology Limited, while TikTok Information Technologies UK Limited presents a negative EBITDA of approximately 458 million euros. The net profit of TikTok Italy S.r.l. and TikTok Technology Limited is approximately 994,000 euros and 14.5 million euros, respectively; TikTok Information Technologies UK Limited shows a net loss of 493 million euros.</w:t>
        <w:br/>
        <w:t>94. Regarding the harm suffered by consumers, it is noted that the practice in question is primarily capable of threatening the psycho-physical safety of younger and more vulnerable users; furthermore, it should be considered that it concerns a social media service that uses the informational assets constituted by user data for their profiling for commercial use as well as for the functioning of the recommendation system, with the consequent assumption by such data of a specific economic value. The use of the recommendation system to increase interactions and induce the user to spend more time on the platform entails a greater transfer of such data.</w:t>
        <w:br/>
        <w:t xml:space="preserve">95. As for the duration of the violation, from the elements available in the records, it appears that the behaviors in question have been carried out at least since February 5, 2023116 and are still ongoing. </w:t>
        <w:br/>
        <w:t>116 Date provided by the Parties regarding the dissemination of the first video related to the French scar, found on the platform as of July 31, 2023. See doc. 42 point 17.</w:t>
      </w:r>
    </w:p>
    <w:p>
      <w:r>
        <w:t>98 BULLETIN NO. 11 OF MARCH 18, 2024</w:t>
        <w:br/>
        <w:t>In fact, although on February 16, 2024117 the Parties communicated that Agcom, in exercising its powers, initiated on January 22, 2024, a proceeding that concluded with archiving, following removal initiatives of the videos spontaneously undertaken by TikTok, there is currently no certainty that all videos related to the French scar present on TikTok have been removed. In any case, the broad scope of the practice contested by the Authority also involves the adequacy of the control system for potentially harmful content for younger users.</w:t>
        <w:br/>
        <w:t>96. Based on the entirety of these elements, and taking into account the necessary deterrent function of the sanction, as well as the overall economic size of the parent group, it is deemed appropriate to determine the amount of the administrative pecuniary sanction applicable jointly to the companies TikTok Italy S.r.l., TikTok Technology Limited, and TikTok Information Technologies UK Limited in the amount of 10 million euros.</w:t>
        <w:br/>
        <w:t>THEREFORE, CONSIDERING, in deviation from the opinion of the Authority for Guarantees in Communications and based on the above considerations, that the commercial practice in question is unfair pursuant to Articles 20, paragraphs 2 and 3, 21, paragraph 2 letter b), 21, paragraph 4, 25, paragraph 1, letter c) of the Consumer Code as it is contrary to professional diligence and capable, through inadequate supervision of the content published by users, such as those related to the French scar, as well as the repeated proposal of such content to consumers, particularly minors and vulnerable individuals, through recommendation systems based on profiling, to appreciably distort the economic behavior of the average consumer and the vulnerable consumer in relation to the service offered by the professionals, as well as to indirectly threaten the safety of children and adolescents;</w:t>
        <w:br/>
        <w:t>RESOLVES</w:t>
        <w:br/>
        <w:t>a) that the commercial practice described in point II of this provision, carried out by the companies TikTok Technology Limited, TikTok Italy S.r.l., and TikTok Information Technologies UK Limited constitutes, for the reasons and within the limits set forth in the motivation, an unfair commercial practice pursuant to Articles 20, paragraphs 2 and 3, 21, paragraph 2 letter b), 21, paragraph 4, and 25, paragraph 1, letter c), of the Consumer Code, and prohibits its continuation;</w:t>
        <w:br/>
        <w:t>b) to impose jointly on the companies TikTok Technology Limited, TikTok Italy S.r.l., and TikTok Information Technologies UK Limited an administrative pecuniary sanction of 10,000,000 € (ten million euros);</w:t>
        <w:br/>
        <w:t>c) that the professionals communicate to the Authority, within ninety days from the notification of this provision, the initiatives taken in compliance with the injunction referred to in point a).</w:t>
        <w:br/>
        <w:t>If the administrative sanction imposed is paid by TikTok Italy S.r.l., the payment must be made within thirty days from the notification of this provision, using the tax codes indicated in the attached model F24 with identifying elements, pursuant to Legislative Decree No. 241/1997. The payment must be made</w:t>
        <w:br/>
        <w:t>117 Doc. 86.</w:t>
      </w:r>
    </w:p>
    <w:p>
      <w:r>
        <w:rPr>
          <w:b/>
        </w:rPr>
        <w:t>[Pages 97–99]</w:t>
      </w:r>
    </w:p>
    <w:p>
      <w:r>
        <w:t>BULLETIN NO. 11 OF MARCH 18, 2024 99</w:t>
        <w:br/>
        <w:t>payment must be made within thirty days from the notification of this provision, using the tax codes indicated in the attached F24 model with identifying elements, pursuant to Legislative Decree No. 241/1997. Payment must be made telematically by debiting one's bank or postal account, through home banking and CBI services provided by banks or by Poste Italiane S.p.A., or by using the telematic services of the Revenue Agency, available on the website www.agenziaentrate.gov.it. If the payment is made by TikTok Technology Limited or TikTok Information Technologies UK Limited, the imposed penalty must be paid within the same thirty-day period from the notification of this provision, via bank transfer (in euros) to the Treasury, using the IBAN code IT04A0100003245348018359214 (BIC code: BITAITRRENT), which corresponds to the accounting number 18/3592/14.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payment interest accrued during the same period. Immediate notification of the payment must be given to the Authority by sending the documentation certifying the payment made. This provision will be notified to the interested parties and published in the Bulletin of the Competition and Market Authority. Pursuant to article 27, paragraph 12, of the Consumer Code, in case of non-compliance with the provision, the Authority applies an administrative monetary penalty from €10,000 to €10,000,000. In cases of repeated non-compliance, the Authority may order the suspension of business activity for a period not exceeding thirty days. 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Guido Stazi Roberto Rustichelli</w:t>
      </w:r>
    </w:p>
    <w:p>
      <w:r>
        <w:t>100 BULLETIN NO. 11 OF MARCH 18, 2024</w:t>
        <w:br/>
        <w:t>UNFAIR CLAUSES</w:t>
        <w:br/>
        <w:t>CV235 - TOSCANO MUTUI - EXCLUSIVITY CLAUSES</w:t>
        <w:br/>
        <w:t>Provision No. 31100</w:t>
        <w:br/>
        <w:t>THE COMPETITION AND MARKET AUTHORITY</w:t>
        <w:br/>
        <w:t>IN ITS MEETING of February 27, 2024;</w:t>
        <w:br/>
        <w:t>HEARD the Rapporteur Professor Elisabetta Iossa;</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resolutions of March 7, 2023, May 2, 2023, June 28, 2023, August 29, 2023, October 31, 2023, and December 19, 2023, by which, pursuant to article 7, paragraph 3, of the Regulation, the deadline for concluding the procedure was extended;</w:t>
        <w:br/>
        <w:t>VIEWED the acts of the procedure;</w:t>
        <w:br/>
        <w:t>CONSIDERED the following</w:t>
        <w:br/>
        <w:t>I. THE PARTY</w:t>
        <w:br/>
        <w:t>1. Toscano Mutui S.r.l., a limited liability company with a sole shareholder (hereinafter, also Toscano Mutui or the Professional or the Company), belonging to Gruppo Toscano Holding S.r.l. The Company is active in the sector of intermediation and consultancy activities related to the granting of mortgages and personal loans. The Company's financial statements for the fiscal year ending December 31, 2022, report revenues of €996,4291.</w:t>
        <w:br/>
        <w:t>II. THE CLAUSES SUBJECT TO EVALUATION</w:t>
        <w:br/>
        <w:t>2. The clauses subject to investigation are contained in the contractual model called “Credit Mediation Contract” that the Professional uses for carrying out its credit intermediation activity aimed at finding the lending institution for the conclusion of mortgage contracts by consumers, published on the Company's website2 (hereinafter “Credit Mediation Contract” or “Contractual Module”).</w:t>
        <w:br/>
        <w:t>3. The clauses contained in the aforementioned Contractual Module and transcribed below are the subject of this evaluation:</w:t>
        <w:br/>
        <w:t>1 See Doc. 44 of the File Index (Document acquisition report of 02/14/2024 - 2022 Financial Statements of Toscano Mutui).</w:t>
        <w:br/>
        <w:t>2 https://www.toscanomutui.it.</w:t>
      </w:r>
    </w:p>
    <w:p>
      <w:r>
        <w:t>BULLETIN NO. 11 OF MARCH 18, 2024 101</w:t>
        <w:br/>
        <w:t>A) “2.2.) Exclusivity. This assignment is conferred to Toscano Mutui S.r.l. on an exclusive basis, in order to exclude the possibility of submitting concurrent financing requests or creditworthiness checks, visible in the databases of the Bank of Italy and/or other entities that could jeopardize the successful outcome of the request”;</w:t>
        <w:br/>
        <w:t>B) “3.3.) Fee for consultancy and assistance activities. Only in cases where the client withdraws from the contract beyond the legal deadline, or in the event that the mediating company withdraws from the contract pursuant to clause 2.4, the client shall be obliged to pay Toscano Mutui S.r.l., as compensation for the consultancy and assistance activities provided in execution of the assignment, an amount of € ... (plus VAT), without prejudice to Toscano Mutui S.r.l.'s right to compensation for any damage caused, in the event of a breach attributable to the client”;</w:t>
        <w:br/>
        <w:t>C) “Pursuant to article 33 et seq. of Legislative Decree No. 206/2005, the client declares that the clauses set forth in points 1.3. (Declarations and Documentation - Due diligence), 2.2. (Exclusivity of the mediation assignment), 2.5 (Competent forum for the consumer client), 3.2. (Conclusion of the deal), 3.3 (Fee for consultancy and assistance activities), have been the subject of individual negotiation and expressly declares to approve them pursuant to articles 1341 and 1342 of the Consumer Code”.</w:t>
        <w:br/>
        <w:t>4. With reference to clause A), the Professional has been challenged for the alleged unfairness of the same pursuant to article 33, paragraphs 1 and 2, letter t) of the Consumer Code, as such clause would have the object or effect of imposing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such clause would still be capable of constituting a violation of article 33, paragraph 1, of the Consumer Code as it is likely to create a significant imbalance in the rights and obligations arising from the contract, to the detriment of the adhering consumers.</w:t>
        <w:br/>
        <w:t>5. With reference to clause B), the Professional has been challenged for the alleged unfairness of the same pursuant to article 33, paragraphs 1 and 2, letter t) of the Consumer Code, as such clause would impose on the consumer “limitations on the ability to raise objections” and “restrictions on contractual freedom in relations with third parties” even in the presence of objectively justified reasons. In any case, such clause would still be capable of constituting a violation of article 33, paragraph 1, of the Consumer Code as it is likely to create a significant imbalance in the rights and obligations arising from the contract, to the detriment of the adhering consumers.</w:t>
        <w:br/>
        <w:t>6. With reference to clause C), the Professional has been challenged for the alleged unfairness of the same pursuant to article 33, paragraphs 1 and 2, letter t) of the Consumer Code, as the reference to article 33 of the Consumer Code lends itself to being interpreted as a reversal of the burden of proof, aimed at relieving the Professional from the burden, expressly provided for by article 34, paragraph 5, of the Consumer Code, to prove that the clauses unilaterally prepared by the same have been the subject of specific negotiation with the consumer in order to avoid the judgment of unfairness, thus determining a limitation of the consumer's ability to raise objections. Therefore, such clause would be capable of constituting a violation of article 33, paragraph 1, of the Consumer Code as it is likely to create</w:t>
      </w:r>
    </w:p>
    <w:p>
      <w:r>
        <w:rPr>
          <w:b/>
        </w:rPr>
        <w:t>[Pages 100–102]</w:t>
      </w:r>
    </w:p>
    <w:p>
      <w:r>
        <w:t>102 BULLETIN NO. 11 OF MARCH 18, 2024</w:t>
        <w:br/>
        <w:t>a significant imbalance of the rights and obligations arising from the contract, to the detriment of the adhering consumers.</w:t>
        <w:br/>
        <w:t>III. THE INSTRUCTIONAL RESULTS</w:t>
        <w:br/>
        <w:t>a) The procedure's course</w:t>
        <w:br/>
        <w:t>7. Based on a report received on August 16, 2022, from a consumer3, on October 12, 2022, the procedure CV235 was initiated against Toscano Mutui4.</w:t>
        <w:br/>
        <w:t>8. Concurrently with the communication of the initiation of the procedure, a request for information was made to Toscano Mutui, pursuant to article 12, paragraph 1 of the Regulation, also requesting elements to overcome the presumption of unfairness referred to in article 33, paragraph 2, letter t) of the Consumer Code.</w:t>
        <w:br/>
        <w:t>9. On October 12, 2022, after informing the Authority, a notice for public consultation regarding unfair clauses was published for 30 days on the Authority's official website (www.agcm.it) pursuant to article 37-bis, paragraph 1, of the Consumer Code and article 23, paragraph 6, of the Regulation. The public consultation concluded on November 11, 2022, and on the same date, observations were received from the consumer associations Codacons and U.Di.Con.5.</w:t>
        <w:br/>
        <w:t>10. On November 24, 20226, Toscano Mutui's response to the request for information made in the initiation communication was received, containing a simultaneous request for a hearing and a proposal for commitments, pursuant to article 27, paragraph 7, of the Consumer Code and article 9 of the Regulation, aimed at removing the contested profiles of illegality in the initiation communication.</w:t>
        <w:br/>
        <w:t>11. On December 19, 2022, Toscano Mutui was heard in a hearing7.</w:t>
        <w:br/>
        <w:t>12. On January 9, 2023, the Professional submitted the appropriate form for the presentation of the commitments already proposed with the aforementioned communication of November 24, 20228.</w:t>
        <w:br/>
        <w:t>13. The commitments presented by the Company on November 24, 2022, were rejected by the Authority in its meeting on March 21, 2023. This decision was communicated to the Professional on March 24, 20239.</w:t>
        <w:br/>
        <w:t>14. On April 18, 202310, a request for information was sent to the Professional, which was responded to by the Company with a communication on June 14, 202311, also containing supplementary measures to the commitments already proposed with the aforementioned communication of November 24, 2022. At the same time, the Company requested to be heard in a hearing.</w:t>
        <w:br/>
        <w:t>15. On June 21, 2023, Toscano Mutui transmitted the contractual forms containing a new formulation of the clauses12.</w:t>
        <w:br/>
        <w:t>16. On August 1, 2023, the hearing of the Professional13 took place, during which a request for information was made, to which the Professional responded on August 10, 2023, proposing further modifications to the commitments already proposed and requesting an extension of the deadline for concluding the procedure14.</w:t>
        <w:br/>
        <w:t>17. In its meeting on September 12, 2023, the Authority decided to confirm its decision to reject the commitments concerning the measures presented by the Company on June 14, 2023, and supplemented on August 10, 2023, aimed at modifying the proposal for corrective measures already rejected by the Authority on March 21, 2023. This decision was communicated to the Professional on September 13, 202315.</w:t>
        <w:br/>
        <w:t>18. On October 16, 202316, Toscano Mutui submitted a new proposal for commitments, pursuant to article 27, paragraph 7, of the Consumer Code and article 9 of the Regulation.</w:t>
        <w:br/>
        <w:t>19. In the meeting of October 31, 2023, the Authority decided to confirm its decision to reject the commitments presented by the Company, and this decision was communicated to the Professional on November 2, 202317.</w:t>
        <w:br/>
        <w:t>20. On November 6, 2023, the hearing of the Body for the management of the lists of Agents and Credit Mediators (hereinafter, OAM) requested by the aforementioned Body took place to provide the Authority with its contribution for the assessments related to the cases subject to this procedure18.</w:t>
        <w:br/>
        <w:t>21. On November 17, 2023, the Professional transmitted the modified version of the contractual model for the assignment of credit mediation and the related information sheet19.</w:t>
        <w:br/>
        <w:t>22. On December 19, 2023, Toscano Mutui was informed of the conclusion date of the instructional phase pursuant to article 16, paragraph 1, as referred to in article 23, paragraph 1, of the Regulation20.</w:t>
        <w:br/>
        <w:t>23. On January 15, 202421, Toscano Mutui submitted a request for an extension of the deadline set for the submission of final briefs. With communication on January 16, 202422, this request was accepted, and the new deadline for concluding the instructional phase was communicated to the Party pursuant to article 16, paragraph 1, as referred to in article 23, paragraph 1, of the Regulation.</w:t>
        <w:br/>
        <w:t>24. On January 26, 2024, Toscano Mutui transmitted its final brief23.</w:t>
        <w:br/>
        <w:t>b) The outcomes of the consultation on the Authority's website</w:t>
        <w:br/>
        <w:t>25. During the consultation, on November 11, 2022, U.Di.Con. noted the unfairness of the clauses contested in the initiation communication, highlighting the sensitivity of the sector they aim to regulate and emphasizing that the aforementioned clauses are likely to create a serious imbalance in the contractual exchange, granting the Professional every broader margin of action and limiting the negotiating rights of the consumer. In particular, U.Di.Con. noted that individual negotiation on contractual clauses must always be demonstrated and cannot be assumed to have occurred merely by the inclusion of a clause within a contract form unilaterally prepared by the professional.</w:t>
        <w:br/>
        <w:t>26. On November 11, 2022, Codacons also noted the unfairness of the clauses in question, highlighting that the clauses included in the contracts of Toscano Mutui impose a heavy burden on the user, as well as being unjustified. In particular, Codacons emphasized that the exclusivity clause appears unfair to the extent that it prevents the customer from seeking more favorable and faster financing; this contractual provision, together with the penalty provided in case of early withdrawal, imposes an unjustified burden on the contracting party.</w:t>
        <w:br/>
        <w:t>c) The evidence acquired</w:t>
        <w:br/>
        <w:t>27. From the documentation in the records, it emerged that the number of credit mediation contracts related to the granting of mortgage loans concluded by Toscano Mutui in 2022 was [100–1,000]*24 and that during the same period the Company received revenues, in the form of commissions, of [less than 1 million euros]25.</w:t>
        <w:br/>
        <w:t>28. Regarding clause A), during the investigation it emerged that, with reference to the activity subject to the credit mediation assignment carried out with an exclusivity obligation by Toscano Mutui, article 1.1 of the Contractual Model provides that such activities consist of: a) informing the client about the characteristics of financial products capable of meeting their financing needs, b) connecting the client with Banks or other Intermediaries capable of satisfying the aforementioned need, c) assisting in the collection of information and documents necessary to appreciate the proposed financial product and to submit the financing application, d) informing the client of the determinations of the lender and/or any other</w:t>
        <w:br/>
        <w:t xml:space="preserve">21 V. Doc. 39 of the File Index (prot. n. 0012748 - Request for extension of the deadline for final briefs). </w:t>
        <w:br/>
        <w:t>22 V. Doc. 40 of the File Index (prot. n. 0013163 - Acceptance of the extension request and communication of the new deadline for the conclusion of the instructional phase).</w:t>
        <w:br/>
        <w:t>23 V. Doc. 43 of the File Index (prot. n. 0016107 - Final brief).</w:t>
        <w:br/>
        <w:t>* In this version, some data are omitted, as elements of confidentiality or secrecy of the information were deemed to exist.</w:t>
        <w:br/>
        <w:t>24 V. Doc. 19 cited, p. 2.</w:t>
        <w:br/>
        <w:t>25 Ibidem.</w:t>
      </w:r>
    </w:p>
    <w:p>
      <w:r>
        <w:rPr>
          <w:b/>
        </w:rPr>
        <w:t>[Pages 103–105]</w:t>
      </w:r>
    </w:p>
    <w:p>
      <w:r>
        <w:t>BULLETIN NO. 11 OF MARCH 18, 2024 105</w:t>
        <w:br/>
        <w:t>request coming from the same; e) in the event of a favorable determination for the granting of financing, in assisting the client until the signing of the contract, in relations with the financier and with the notary.</w:t>
        <w:br/>
        <w:t>29. In consideration of the activities described above, the Professional has estimated that for each consultancy carried out preventively, a gross cost can be quantified in euros [1,000–10,000], net of the costs incurred by the agents for the first consultancy services provided during the pre-contractual phase. The average value of the commission fees per case has been indicated by the Professional as euros [1,000–10,000]26.</w:t>
        <w:br/>
        <w:t>30. In relation to the type of financial products that the Company offers to its clients, it has emerged that there are no products subject to exclusive agreements with credit institutions or conditions of particular advantage for the client, as these are financial products with which each of the consulted credit institutions competes in the market27. The criteria for identifying the financing institutions proposed to the client mainly depend on the compliance of the financial products offered by such institutions with the specific credit needs of the client and the specific credit policies of the banking institutions.</w:t>
        <w:br/>
        <w:t>31. Regarding the duration of the exclusive assignment of the credit mediation task, it is set at 180 days from the date of signing the contract as per article 2.1 of the Contractual Module. However, concerning the time required to carry out and complete the activities subject to the credit mediation assignment, including the disbursement of the requested financing, the Professional has indicated an average actual time of [10-100] days from the assignment, with 20% of cases concluding within [10-100] days, 45% concluding within [10-100] days, and 35% concluding within [100-500] days28.</w:t>
        <w:br/>
        <w:t>32. Regarding clause sub B), it has emerged, based on what was stated by the Professional, that the amount of the “fee for consultancy and assistance activities” provided for in article 3.3 of the Contractual Module in the event of withdrawal by the company for breach of the exclusivity agreement by the client is determined, from time to time, based on the specific agreement reached with the client and, in principle, would be oriented towards the average costs that Toscano Mutui incurs for managing a mediation case, being aimed at compensating the Company in a lump sum for the activity carried out29. This average cost, as noted above, has been estimated by the Company at euros [1,000–10,000], net of the costs incurred by the agents for the first consultancy services provided during the pre-contractual phase.</w:t>
        <w:br/>
        <w:t>33. From the analysis of the documentation transmitted by the Professional30, it has emerged that in the credit mediation contracts signed in 2022, Toscano Mutui set the aforementioned “fee” at an average percentage of about 66% of the expected compensation; however, in about 19% of these contracts, the amount of this fee is equal to or greater than 90% of the compensation, reaching in one case 100% of the commission31.</w:t>
        <w:br/>
        <w:t>26 See Doc. 19, p. 2</w:t>
        <w:br/>
        <w:t>27 See Doc. 19 cited, p. 5.</w:t>
        <w:br/>
        <w:t>28 See Doc. 5 cited, p. 33.</w:t>
        <w:br/>
        <w:t>29 See Doc. 19 cited, p. 3.</w:t>
        <w:br/>
        <w:t>30 See Doc. 5 cited, Annex 2.</w:t>
        <w:br/>
        <w:t>31 See Doc. 5 cited, Annex 2, n. 53.</w:t>
      </w:r>
    </w:p>
    <w:p>
      <w:r>
        <w:t>106 BULLETIN NO. 11 OF MARCH 18, 2024</w:t>
        <w:br/>
        <w:t>34. With reference to any complaints related to the clause in question and to what was actually received by the Company as a penalty, Toscano Mutui initially represented that it had not received any complaints from clients regarding all credit mediation contracts signed during the period 2020 – 2022 and that, even in the presence of a breach of the exclusivity agreement, the Company has never requested payment of the amount established for the remuneration of the services offered anyway32. However, the Professional – contradicting these statements – later declared that he had received contractual penalty revenues of euros [10,000-50,000] in 2022 and [less than euros 10,000] in 2023, specifying that these amounts would be lower than those agreed in the contract, having been mostly determined equitably/settlement33.</w:t>
        <w:br/>
        <w:t>35. Regarding clause sub C), the evidence collected confirms the use of the contractual provision in question by the Professional during the period under investigation.</w:t>
        <w:br/>
        <w:t>d) The arguments made by Toscano Mutui and the elements provided by the professional during the proceedings</w:t>
        <w:br/>
        <w:t>36. On the merits of the evaluation of the individual clauses affected by the communication initiating the present proceedings, Toscano Mutui made considerations aimed at justifying the rationale for their inclusion in the contractual module, as well as clarifying their content, denying their unfair nature.</w:t>
        <w:br/>
        <w:t>37. In particular, with reference to clause sub A), Toscano Mutui represented that, in exchange for the exclusive assignment, the Company undertakes to perform additional services compared to those primarily aimed at concluding the deal, which are expressly indicated in article 1.1 of the Contractual Module and consist of assisting the client until the signing of the contract in all relations with the financier and with the notary, in the event of a favorable determination for the granting of financing. Furthermore, Toscano Mutui waives the right to reimbursement of expenses incurred, expressly provided for in favor of the mediator by article 1756 of the civil code, in the event that the deal is not concluded.</w:t>
        <w:br/>
        <w:t>38. The Professional also highlighted that the clause in question serves to facilitate the successful outcome of the financing request, as the client's mortgage application is recorded in specific databases (Centrale Rischi of Banca d’Italia and CRIF) established precisely to make the client's credit behavior and current and potential exposure visible to credit providers. Therefore, in almost all cases, a concurrent mortgage application – resulting in an increase in the client's current and potential debt exposure – would reduce the creditworthiness of the applicant and, therefore, the likelihood of a successful outcome of the individual mortgage application or, in any case, slow down the process if the credit institution requested the waiver of concurrent applications.</w:t>
        <w:br/>
        <w:t>32 See Doc. 5 cited, p. 4 (“We note that, regarding all the mediation assignments reported for the period 2020 – 2022, the number of client complaints concerning the granting of the exclusive mandate and/or the application of the penalty for alleged breach of exclusivity is zero. To our knowledge, no disputes regarding the exclusivity clause have ever emerged; moreover, even in the presence of a breach of exclusivity, the Company has never requested payment of the amount established for the remuneration of the services offered anyway”).</w:t>
        <w:br/>
        <w:t>33 See Doc. 19 cited, p. 3.</w:t>
      </w:r>
    </w:p>
    <w:p>
      <w:r>
        <w:t>BULLETIN NO. 11 OF MARCH 18, 2024 107</w:t>
        <w:br/>
        <w:t>39. With reference to the duration of the contract and, therefore, the exclusivity obligation, the Company emphasized that duration clauses do not fall among those that can have an unfair nature, pertaining to the normal regulation of the contract.</w:t>
        <w:br/>
        <w:t>40. During the proceedings, with communication dated November 17, 2023, Toscano Mutui represented that it had modified the exclusivity clause, introducing a dual contractual regime, which allows the client to choose between an exclusive assignment and a non-exclusive assignment, also reducing the duration of the assignment to 120 days34 and providing – in the case of a non-exclusive assignment and the conclusion of the deal through other intermediaries or independently – a commission proportional to the activity carried out35.</w:t>
        <w:br/>
        <w:t xml:space="preserve">41. In this regard, in its concluding memorandum, the Company highlighted that the consumer who decides to avail themselves of the exclusive assignment is not required to make any economic outlay during the investigative phase of the assignment (being required to pay only when the mediation is successful), while in the non-exclusive assignment, a flat fee is requested. </w:t>
        <w:br/>
        <w:t>34 “2.1) Duration. The contract has a duration of 120 days from the date of signing this module. The client can confer the assignment choosing between an exclusive assignment in favor of the appointed company, as regulated in the subsequent point 2.2) or not conferring exclusivity to the appointed company, pursuant to the provisions of the subsequent point 2.3). The choice is manifested by specifically marking under either exclusive 2.2) or non-exclusive 2.3).</w:t>
        <w:br/>
        <w:t>2.2) Exclusive. When the client opts for the exclusive assignment, they commit, for the duration of the contract, not to confer a similar assignment to third parties, nor to operate personally, for the search and conclusion of the financing from the date following the signing of this contract, also in order to exclude the possibility of submitting concurrent financing requests or creditworthiness checks, visible in the databases of Banca d’Italia and/or other entities, which could jeopardize the successful outcome of said request. By virtue of this exclusivity obligation, the appointed company waives the reimbursement of expenses incurred as provided for by article 1756 of the civil code, making its professional organization available and assuming all related burdens.</w:t>
        <w:br/>
        <w:t>2.3) Non-exclusive. When the client opts for the non-exclusive assignment, they may assign third parties to carry out a similar assignment, or may operate personally for the search and conclusion of the financing, concurrently with the validity of the contract. In the event that the client obtains a favorable bank decision for the disbursement of financing, through another mediator or independently, before the appointed company has obtained a decision from a financier and therefore before the conclusion of the deal, as defined in the subsequent point 3.3), the appointed company will be entitled exclusively to the remuneration referred to in point 3.2), within the limits of the activity actually carried out and therefore net of the reimbursement regulated in point 3.5. (…)”.</w:t>
        <w:br/>
        <w:t>35 “3.2) Compensation for activities carried out in the absence of exclusivity. In the case of an assignment in the absence of exclusivity, the client will be required to pay the appointed company for the execution of the assignment and for all activities provided for in point 1.1, letters a), b), c), and d), an amount equal to 30% of the compensation referred to in article 3.1, which the client undertakes to pay at the time of signing this assignment, without prejudice to the further commission compensation referred to in point 3.1). In the event of the conclusion of the deal through the appointed company (successful outcome of the mediation as defined in the subsequent article 3.3.), this compensation will be credited as an advance against the commission compensation referred to in the previous point 3.1) (and therefore deducted from the amount due as compensation).</w:t>
        <w:br/>
        <w:t>3.4) Non-exclusive - Decision obtained without the intervention of the appointed company - In the case of an assignment conferred without the obligation of exclusivity, without prejudice to the remuneration referred to in the previous point 3.2), nothing will be due from the client if they have accepted, using third-party intermediaries or independently, thus in the absence of any causal link with the activity of the appointed company, a favorable decision for the granting of the requested financing, on a day prior to the date of successful mediation as defined above (the “previous decision”). The client has the burden of providing the appointed company, without delay, proof of the previous decision based on suitable documentary evidence. It is understood that this provision does not apply if the previous decision is issued by credit institutions with which a financing application initiated by the appointed company on behalf of the client was already pending.</w:t>
        <w:br/>
        <w:t>3.5) Non-exclusive – Decision obtained without the intervention of the appointed company - partial reimbursement of the amount paid pursuant to point 3.2. - The client will be entitled to a partial reimbursement of the amount paid pursuant to point 3.2 (paid at the time of signing the contract in the absence of exclusivity), if they obtain a previous decision before the appointed company has carried out all the activities indicated in article 1.1.</w:t>
        <w:br/>
        <w:t>§ in particular, if the appointed company has carried out the activities referred to in points a) and b) of article 1.1, the appointed company will reimburse the client 50% of the amount paid pursuant to article 3.2.</w:t>
        <w:br/>
        <w:t>§ if the appointed company has carried out the activities referred to in points a), b), and c) of article 1.1, the appointed company will reimburse the client 20% of the amount paid pursuant to article 3.2.”.</w:t>
      </w:r>
    </w:p>
    <w:p>
      <w:r>
        <w:rPr>
          <w:b/>
        </w:rPr>
        <w:t>[Pages 106–108]</w:t>
      </w:r>
    </w:p>
    <w:p>
      <w:r>
        <w:t>108 BULLETIN NO. 11 OF MARCH 18, 2024</w:t>
        <w:br/>
        <w:t>partial coverage of the costs of the brokerage services performed (which will be deducted from the amount of the final remuneration in case of successful mediation). Therefore, the Company believes that there is an economic incentive for the client who avails themselves of the exclusivity, since in this case, for the entire duration of the assignment, they will not be required to make any outlay and the Company assumes all the risk of any failure of the mediation activity.</w:t>
        <w:br/>
        <w:t>42. The Company has also indicated its intention to remove from the text of the new clause, where it refers to the purpose of excluding the possibility of submitting concurrent financing requests or negative creditworthiness checks, the phrase “and such as to jeopardize the successful outcome of the request”36.</w:t>
        <w:br/>
        <w:t>43. Regarding the clause under B) (“remuneration for consultancy and assistance activities”) contained in article 3.3 of the Contractual Module, the Professional believes that it does not present characteristics of unfairness, since the Company through this clause would be requesting remuneration for the activity performed, even if the deal does not materialize due to facts attributable to the client.</w:t>
        <w:br/>
        <w:t>44. Regarding the amount of this remuneration, the Company noted that it left the relevant amount blank - which is therefore not unilaterally determined by the company preparing the module but left to the determination of the parties at the time of the contract signing - and that this circumstance would indicate that at least the amount of this remuneration is subject to specific negotiation between the parties and constitutes an element of informational guarantee in favor of the client, which is added to the mediation contract, to the “summary document” contained therein, and to the information sheet.</w:t>
        <w:br/>
        <w:t>45. With regard to the absence of a provision regarding the non-application of the penalty in the presence of just cause, Toscano Mutui observed that, regardless of the more or less reasonable causes that the client may raise, the company has performed, in the meantime, an activity, bearing the related costs, which in the event of the client's early withdrawal would be legitimately attributable to them, even if on a flat-rate basis.</w:t>
        <w:br/>
        <w:t>46. Finally, the Company highlighted that only a minimal percentage of the contracts examined during the investigation provided for a value of the remuneration in question comparable to the amount of the commission due in case of a positive outcome of the mediation, while in the majority of cases the fixed value was found to be lower than the commission37.</w:t>
        <w:br/>
        <w:t>47. Toscano Mutui, in its concluding memorandum, also emphasized that, in relation to the years 2022 and 2023, in most cases where the conditions arose to request clients for payment of the “remuneration for consultancy and assistance activities,” the Company waived such payments, requesting them only in 6 cases in 2022 and in 4 cases in 2023 and, moreover, negotiating with clients an amount lower than that contractually agreed. In no case, moreover, would the Company have ever pursued the amount due in court based on the clause in question. Such circumstances would demonstrate, in the opinion of the Company, the substantial non-unfairness of the clause in the specific case or, in any case, an application of the same as a remuneration clause for an activity actually performed, given that the assessment of the abusiveness of the clause could not disregard an evaluation of its concrete application at least during the period subject to the proceedings38.</w:t>
        <w:br/>
        <w:t>48. During the proceedings, with the aforementioned communication of November 17, 2023, Toscano Mutui represented that it had modified the clause in question by introducing a “penalty” (so defined in the new formulation of the clause), equal to a percentage of the fee, graduated in proportion to the activities performed and providing for its non-application in case of early withdrawal by the client for legally relevant reasons39.</w:t>
        <w:br/>
        <w:t>49. In this regard, the Company represented that the payment requested in case of unjustified withdrawal or violation of exclusivity would not present the characteristics of a contractual penalty, being graduated based on the activity actually performed and therefore aimed at remunerating, even if in a flat-rate manner, the activity carried out.</w:t>
        <w:br/>
        <w:t>50. Regarding the clause under C) contained in the Contractual Model, Toscano Mutui represented during the proceedings, with the already mentioned communication of November 17, 2023, that it had adopted a new version of the clause in question that would remove the profiles of unfairness contested in the communication initiating the present proceedings to the extent that any reference to an individual negotiation regarding such clauses has been eliminated40.</w:t>
        <w:br/>
        <w:t>IV. CONCLUDING EVALUATIONS</w:t>
        <w:br/>
        <w:t>51.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the power in negotiations and the level of information, a situation that leads them to adhere to the conditions set without being able to influence their content. Therefore, the aforementioned regulatory framework is aimed at providing incisive and significant protection to that party, the consumer, generally endowed with less bargaining power, through the assertion of a contractual balance capable of restoring equality between the professional and the consumer.</w:t>
        <w:br/>
        <w:t>52. The evaluations that follow concern the clauses indicated in paragraph II of this provision that present profiles of unfairness pursuant to the discipline of article 33 of the Consumer Code. At the initiation of the proceedings, Toscano Mutui was informed that, for the clauses attributable to the list referred to in article 33, paragraph 2, of the Consumer Code, a presumption of unfairness is provided with a simultaneous reference to the burden of the Party to provide elements that constitute evidence to the contrary of this presumption, and Toscano Mutui did not provide suitable elements to overcome this presumption.</w:t>
        <w:br/>
        <w:t>53. Therefore, we proceed to evaluate the individual profiles of unfairness for each relevant contractual provision.</w:t>
        <w:br/>
        <w:t>A. Clause for the assignment of the credit mediation mandate with exclusivity agreement</w:t>
        <w:br/>
        <w:t>54. In clause A), described in point II of this provision, the assignment to Toscano Mutui is provided for exclusively, as the only mode of assignment, with the consequence that the Professional can count on the fact that the client does not conclude the same financing through other mediators, while the consumer is precluded from the possibility of independently seeking other forms of financing for the entire duration of the assignment.</w:t>
        <w:br/>
        <w:t>55. For the purposes of evaluating the unfairness of this clause, it is considered that, first of all, it cannot be overlooked that the average type of consumer who avails themselves of financial intermediation services also includes consumers with a lower level of financial education or with characteristics that determine a lower creditworthiness, who - in consideration of the particular complexity of the financial sector, characterized by significant informational asymmetry - are, for these reasons, willing to bear, within a real estate purchase operation and financing of the same purchase, also the additional economic burden associated with financial intermediation services. Also considering this type of average consumer, and therefore the significant informational asymmetry that characterizes the sector in which the Professional operates, it is believed that the disadvantage that the consumer receives from granting the exclusive assignment (the impossibility of obtaining the financing they need in another way) must be adequately compensated by the credit mediator who, from this option, receives, on the other hand, the advantage of not running the risk of seeing their work nullified by the competing activity carried out by other intermediaries or by the client themselves.</w:t>
        <w:br/>
        <w:t>56. It is also considered important to emphasize that the significant imbalance that arises from the contractual arrangement examined above must also be evaluated in light of the dynamics of the real estate purchase process, often characterized by essential terms imposed on the purchasing party, the failure to comply with which produces irreparable legal effects (for example, the loss of the deposit paid at the signing of the preliminary contract). Therefore, in the case of signing the exclusivity clause, the consumer who finds themselves needing to obtain financing for the purchase of a property by a certain deadline would not be able to turn to other operators for the provision of financing, whereas the credit mediator to whom they have turned and/or</w:t>
      </w:r>
    </w:p>
    <w:p>
      <w:r>
        <w:rPr>
          <w:b/>
        </w:rPr>
        <w:t>[Pages 109–111]</w:t>
      </w:r>
    </w:p>
    <w:p>
      <w:r>
        <w:t>BULLETIN NO. 11 OF MARCH 18, 2024 111</w:t>
        <w:br/>
        <w:t>the credit institution intermediated would not be able to meet that deadline. It is evident, therefore, that such a disadvantage cannot fail to receive an adequate balance (by way of mere example, one might think of greater economic accessibility of the service, the possibility of receiving financial products otherwise unavailable in the market, or, again, the indication by the mediator of shorter terms within which the client can receive information on the granting of the financing, a greater specification of the economic conditions of the requested financing), in the absence of which an inevitable imbalance of rights and obligations between the contractual parties would arise.</w:t>
        <w:br/>
        <w:t>57. That said, the assessment of the unfairness of this clause is carried out in light of its combination with other contractual elements, such as the presence of a penalty in case of violation of the exclusivity agreement, the duration of the contract, and the definiteness of the contractual obligations placed on the credit mediator.</w:t>
        <w:br/>
        <w:t>58. In this case, the significant imbalance in favor of the Professional arising from the exclusivity clause is determined by the provision of a term for the duration of the assignment, and consequently of the exclusivity obligation, equal to 180 days from the date of signing the contract (article 2.1 of the Contractual Model), which is excessively long compared to the average time for obtaining the loan as represented by the same Company (averaging [10-100] days). This imbalance is exacerbated by the provision of a penalty applicable to the consumer in case of violation of the exclusivity agreement and by the fact that the contractual text lacks suitable advantages for the consumer and/or specific obligations on the part of the Professional aimed at ensuring balance between the parties.</w:t>
        <w:br/>
        <w:t>59. The reasons put forward by the Professional do not justify the imbalance described above. The credit mediator's need to be compensated for the activity made available to the client (a compensation that, on the other hand, would be lost if the client obtained the necessary financing in another way) can indeed be satisfied through alternative means to the exclusivity agreement, such as the provision for the payment, by the client, of a fee proportional to the activity carried out up to that point, as has been provided by Toscano Mutui in modifying the clause. Nor is this imbalance considered justifiable by the request to avoid that concurrent loan applications may jeopardize the successful outcome of the requested financing, since this is not a condition that obstructs the granting of the financing, as demonstrated by the fact that there are operators in the market who operate even without exclusivity and that the same Professional, during the proceedings, modified its contractual form to also include this possibility.</w:t>
        <w:br/>
        <w:t>60. The significant imbalance in favor of the Professional arising from the aforementioned contractual arrangement does not appear to be overcome, contrary to what Toscano Mutui claims, by the Professional's waiver of reimbursement for expenses incurred in the event of failure to conclude the deal, since it seems far more burdensome that the consumer remains, for a long period of time (180 days), unable to meet their financing needs in any other way, without having any sufficient benefit to compensate for such restriction and without having tools that allow them to assess the correctness and timeliness of the Professional's actions.</w:t>
        <w:br/>
        <w:t>61. In light of the above considerations, the contractual provision under examination constitutes a case under article 33, paragraph 2, letter t) of the Consumer Code, as such a clause would have as its object or effect to impose on the consumer “restrictions on contractual freedom in relations with third parties” and Toscano Mutui has not provided suitable elements to overcome this presumption. In any case, this clause appears to be capable of constituting a violation of article 33, paragraph 1, of the Consumer Code as it, based on the observations made above, is likely to create a significant imbalance of rights and obligations arising from the contract, to the detriment of the adhering consumers.</w:t>
        <w:br/>
        <w:t>62. As mentioned above, Toscano Mutui has represented, during the proceedings, that it has adopted a new version of the exclusivity clause (article 2.2 of the Credit Mediation Contract) introducing a dual contractual regime, which allows the client to choose between an exclusive assignment and a non-exclusive assignment, reducing the duration of the assignment to 120 days and providing – in the case of a non-exclusive assignment and the conclusion of the deal through other intermediaries or on their own - a commission proportional to the activity carried out, while if the consumer assigns the task exclusively, the client will benefit from not having to advance any expenses for the entire duration of the assignment, so that the Company assumes the economic risk of any failure of the mediation activity.</w:t>
        <w:br/>
        <w:t>63. That said, the new version of the exclusivity clause does not constitute a case of an unfair clause under article 33, paragraphs 1 and 2, letter t), of the Consumer Code, given the introduction of the alternative option of a non-exclusive assignment, along with the simultaneous reduction of the contractual duration as well as the provision of an economic benefit that the consumer would not receive in the case of a non-exclusive assignment.</w:t>
        <w:br/>
        <w:t>B. Penalty Clause</w:t>
        <w:br/>
        <w:t>64. In clause B), described in point II of this provision, it is provided that the consumer is obliged to pay an amount to the Professional at the moment the consumer withdraws from the contract beyond the legal deadline or the Professional withdraws from the assignment for the cases contemplated in article 2.4 of the Contractual Model, namely for violation by the client of the exclusivity obligation, for the client's waiver of the requested financing, for the failure to transmit by the client the information and documents indicated in point 1.3 of the Contractual Model and in all cases of non-financing due to the client's actions and faults.</w:t>
        <w:br/>
        <w:t>65. This contractual provision creates an imbalance to the detriment of the consumer in that it does not provide for the assignor's exemption from payment of this penalty where the cases contemplated by the aforementioned article 2.4 have occurred for objectively justified reasons, which may arise especially considering the long duration of the assignment, with the effect of limiting the contractual freedom of the consumer in relations with third parties and restricting their ability to raise objections.</w:t>
        <w:br/>
        <w:t>66. In this regard, the argument put forward by the Professional regarding the nature of this compensation, which would be aimed at compensating an activity carried out by the Professional, is not shareable, since the amount in question is not at all commensurate with the activity performed and the Professional can demand payment without providing any documentation of that activity.</w:t>
        <w:br/>
        <w:t>67. On this point, the Agents and Brokers Organization (OAM) has noted that, while considering reasonable the provision of a cost for assistance and preliminary consultancy activities, “if actually provided and resulting from the documentation files of the individual client,” in cases where mediation costs are indicated in the mediation contract, also due from the client for cases of early withdrawal occurring before the completion of the “relationship establishment” service, “the same costs should always be correlated to activities actually performed and illustrated ex ante to the consumer in the detailed content of each agreed service”41. With specific reference to the provisions of penalties applicable in case of withdrawal and/or violation of the exclusivity agreement, the OAM has stated that “The amounts provided for the client in case of withdrawal must be commensurate with the activity actually performed by the mediation company before the withdrawal or, in any case, at least not coincide with the entire amount that would be provided for a mediation service rendered in full, where such activity has only been partially performed (i.e. penalty equal to 100% of the mediation fee). Conversely, an amount of the penalty equal to 100% of the fee would instead be justified in cases where the mediation activity has actually resulted in the final decision on the financing or, in any case, has already been fully completed at the time of withdrawal”42.</w:t>
        <w:br/>
        <w:t>68. In light of all the above, the contractual provision under examination constitutes a case under article 33, paragraph 2, letter t) of the Consumer Code as such a clause imposes on the consumer “limitations on the ability to raise objections” and “restrictions on contractual freedom in relations with third parties” even in the presence of objectively justified reasons and Toscano Mutui has not provided suitable elements to overcome this presumption. In any case, this clause appears to be capable of constituting a violation of article 33, paragraph 1, of the Consumer Code as it, based on the observations made above, is likely to create a significant imbalance of rights and obligations arising from the contract, to the detriment of the adhering consumers.</w:t>
        <w:br/>
        <w:t>69. As mentioned above, Toscano Mutui has represented, during the proceedings, that it has adopted a new version of the clause in question (article 3.6 of the Credit Mediation Contract) introducing a penalty equal to a percentage of the fee, graduated in proportion to the activities performed and providing for the non-application of the same in case of early withdrawal by the client for legally relevant reasons.</w:t>
        <w:br/>
        <w:t>70. That said, the new version of the penalty clause does not constitute a case of an unfair clause under article 33, paragraphs 1 and 2, letter t), of the Consumer Code, given the provision for the non-application of the penalty in case of early withdrawal by the consumer for legally relevant reasons (such as job loss, serious illness) and the graduated penalty based on the activity actually performed by Toscano Mutui up to the moment of its application. It is also appreciated that, in the current version, the provision for the payment of a sum of money linked to a breach is correctly defined as a penalty and no longer “compensation for consultancy and assistance activities,” the latter definition which could negatively impact the actual economic and legal meaning of the clause.</w:t>
        <w:br/>
        <w:t>C. Declaration of Individual Negotiation</w:t>
        <w:br/>
        <w:t>71. In clause C), described in point II of this provision, the assignor declares that certain clauses of the Contractual Model have been the subject of individual negotiation, which concern, 41 See Doc. 33 of the Index of the File (Minutes of document acquisition of the OAM contribution of November 15, 2023). 42 See Doc. 33 cited.</w:t>
      </w:r>
    </w:p>
    <w:p>
      <w:r>
        <w:rPr>
          <w:b/>
        </w:rPr>
        <w:t>[Pages 112–114]</w:t>
      </w:r>
    </w:p>
    <w:p>
      <w:r>
        <w:t>114 BULLETIN NO. 11 OF MARCH 18, 2024</w:t>
        <w:br/>
        <w:t>among others, also the exclusivity of the mediation assignment and the fee for consultancy and assistance activities in case of withdrawal of the mediator for the cases contemplated in article 2.4 of the same Contractual Module.</w:t>
        <w:br/>
        <w:t>72. In this regard, it is noted that the reference to article 33 of the Consumer Code contained in the aforementioned clause can be interpreted as a reversal of the burden of proof, aimed at relieving the Professional from the burden, expressly provided for by article 34, paragraph 5, of the Consumer Code, to prove that the clauses unilaterally prepared by the same have been the subject of specific negotiation with the consumer in order to avoid the judgment of unfairness, thus determining a limitation of the consumer's ability to raise objections.</w:t>
        <w:br/>
        <w:t>73. Therefore, the contractual provision under examination constitutes a case under article 33, paragraph 1, of the Consumer Code as it, based on the above observations, appears capable of creating a significant imbalance in the rights and obligations arising from the contract, to the detriment of the adhering consumers.</w:t>
        <w:br/>
        <w:t>74. As mentioned above, Toscano Mutui represented, during the proceedings, that it has adopted a new version of the clause placed at the bottom of the Credit Mediation Contract in which all references to an individual negotiation on the contractual clauses have been eliminated.</w:t>
        <w:br/>
        <w:t>75. That said, the new version of the clause placed at the bottom of the Credit Mediation Contract, with which the client declares to specifically approve certain contractual clauses also pursuant to articles 1341 and 1342 of the Civil Code, does not constitute a case of an unfair clause pursuant to article 33, paragraph 1, of the Consumer Code, as all references to an individual negotiation regarding such clauses have been eliminated.</w:t>
        <w:br/>
        <w:t>V. QUANTIFICATION OF THE SANCTION</w:t>
        <w:br/>
        <w:t>Pursuant to article 27, paragraph 9, of the Consumer Code, as referenced by article 37-bis of the Consumer Code, the Authority, with the provision that establishes the violation of the regulation on unfair clauses in contracts concluded with consumers, orders the application of an administrative pecuniary sanction from €5,000 to €10,000,000, taking into account the severity and duration of the violation and also the economic and financial conditions of the professional.</w:t>
        <w:br/>
        <w:t>For the purposes of quantifying the sanction, it is noted that article 27, paragraph 9, of the Consumer Code applies to the cases referred to in article 33 of the same Code starting from February 1, 2022, and that the violations in question were found to be in effect on April 2, 2023, the date of entry into force of Legislative Decree No. 26 of March 7, 2023, thus applying to the case at hand the limits provided for by this.</w:t>
        <w:br/>
        <w:t>In the case of proceedings concerning a plurality of established administrative offenses, the jurisprudence has clarified that in the presence of a plurality of offenses with structural and functional autonomy, attributed to the responsibility of the professionals, the criterion of material cumulation of sanctions applies, instead of legal cumulation (see among others, Council of State, Section VI, judgment No. 209 of January 19, 2012).</w:t>
        <w:br/>
        <w:t>Regarding the quantification of the sanction, account must be taken, where appropriate, of the criteria indicated in paragraph 2-ter of article 37-bis and, as applicable, of the criteria identified by article 11 of Law No. 689/81, by virtue of the reference provided for in article 37-bis, paragraph 2-quater, of the Consumer Code: in particular, the severity of the violation, the efforts made by the company to eliminate or mitigate the infringement, the personality of the agent, as well as the economic conditions of the company itself.</w:t>
        <w:br/>
        <w:t>Clause A)</w:t>
        <w:br/>
        <w:t>Regarding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the economic size of the Company (as of December 31, 2022, revenues amounted to €996,429), and its belonging to the Toscano Holding Group S.r.l.</w:t>
        <w:br/>
        <w:t>Regarding the duration of the violation, from the available elements in the records, it appears that the clause described in paragraph II, letter A), of this provision has been adopted since July 2018; for the purposes of applying the sanction, however, account is taken of the applicability of article 27, paragraph 9, of the Consumer Code to the cases referred to in article 33 of the same Code starting from February 1, 2022; it is also noted that the clause was modified after the initiation of the present proceedings, with the violation ceasing in November 2023.</w:t>
        <w:br/>
        <w:t>Based on these elements, it is deemed appropriate to determine the base amount of the administrative pecuniary sanction applicable to Toscano Mutui S.r.l. in the amount of €9,942 (nine thousand nine hundred forty-two euros).</w:t>
        <w:br/>
        <w:t>Considering that there exists, in this case, a mitigating circumstance, taking into account the economic situation of the Professional, which presents unfavorable economic conditions with a loss-making balance sheet, it is deemed appropriate to determine the amount of the administrative pecuniary sanction applicable to Toscano Mutui S.r.l. in the amount of €7,953 (seven thousand nine hundred fifty-three euros).</w:t>
        <w:br/>
        <w:t>Clause B)</w:t>
        <w:br/>
        <w:t>Regarding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the economic size of the Company (as of December 31, 2022, revenues amounted to €996,429), its belonging to the Toscano Holding Group S.r.l., as well as the reduced number of cases in which the penalty has been applied during the reference period.</w:t>
        <w:br/>
        <w:t>Regarding the duration of the violation, from the available elements in the records, it appears that the clause described in paragraph II, letter B), of this provision has been adopted since July 2018; for the purposes of applying the sanction, however, account is taken of the applicability of article 27, paragraph 9, of the Consumer Code to the cases referred to in article 33 of the same Code starting from February 1, 2022; it is also noted that the clause was modified after the initiation of the present proceedings, with the violation ceasing in November 2023.</w:t>
        <w:br/>
        <w:t>Based on these elements, it is deemed appropriate to determine the base amount of the administrative pecuniary sanction applicable to Toscano Mutui S.r.l. in the amount of €9,942 (nine thousand nine hundred forty-two euros).</w:t>
        <w:br/>
        <w:t>Considering that there exists, in this case, a mitigating circumstance, taking into account the economic situation of the Professional, which presents unfavorable economic conditions with a loss-making balance sheet, it is deemed appropriate to determine the amount of the administrative pecuniary sanction applicable to Toscano Mutui S.r.l. in the amount of €7,953 (seven thousand nine hundred fifty-three euros).</w:t>
        <w:br/>
        <w:t>Clause C)</w:t>
        <w:br/>
        <w:t>Regarding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the economic size of the Company (as of December 31, 2022, revenues amounted to €996,429), and its belonging to the Toscano Holding Group S.r.l.</w:t>
        <w:br/>
        <w:t>Regarding the duration of the violation, from the available elements in the records, it appears that the clause described in paragraph II, letter C), of this provision has been adopted since July 2018; for the purposes of applying the sanction, however, account is taken of the applicability of article 27, paragraph 9, of the Consumer Code to the cases referred to in article 33 of the same Code starting from February 1, 2022; it is also noted that the clause was modified after the initiation of the present proceedings, with the violation ceasing in November 2023.</w:t>
        <w:br/>
        <w:t>Based on these elements, it is deemed appropriate to determine the base amount of the administrative pecuniary sanction applicable to Toscano Mutui S.r.l. in the amount of €9,942 (nine thousand nine hundred forty-two euros).</w:t>
        <w:br/>
        <w:t>Considering that there exists, in this case, a mitigating circumstance, taking into account the economic situation of the Professional, which presents unfavorable economic conditions with a loss-making balance sheet, it is deemed appropriate to determine the amount of the administrative pecuniary sanction applicable to Toscano Mutui S.r.l. in the amount of €7,953 (seven thousand nine hundred fifty-three euros).</w:t>
        <w:br/>
        <w:t>CONSIDERING that for the clauses referred to in paragraph II, sub letters A), B) and C) of this provision, there is a legal presumption of unfairness ex article 33, paragraph 2, letter t), of the Consumer Code and that Toscano Mutui has not provided fully sufficient elements to overcome this presumption;</w:t>
      </w:r>
    </w:p>
    <w:p>
      <w:r>
        <w:rPr>
          <w:b/>
        </w:rPr>
        <w:t>[Pages 115–117]</w:t>
      </w:r>
    </w:p>
    <w:p>
      <w:r>
        <w:t>BULLETIN NO. 11 OF MARCH 18, 2024 117</w:t>
        <w:br/>
        <w:t>CONSIDERED, in particular, based on the above considerations, that the clauses described in paragraph II, subsections A), B) and C) of this provision, are unfair pursuant to articles 33, paragraphs 1 and 2, letter t) of the Consumer Code as they create, to the detriment of the consumer, a significant imbalance of rights and obligations arising from the contract;</w:t>
        <w:br/>
        <w:t>CONSIDERED that the new clauses contained in the Credit Mediation Contract model used by Toscano Mutui since November 2023, reformulated according to the version submitted in the records, are not unfair pursuant to articles 33, paragraphs 1 and 2, letter t), of the Consumer Code;</w:t>
        <w:br/>
        <w:t>CONSIDERED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that of the Professional</w:t>
        <w:br/>
        <w:t>RESOLVES</w:t>
        <w:br/>
        <w:t>a) that the clause referred to in article 2.2 (“Exclusivity”) of the Credit Mediation Contract, adopted by Toscano Mutui S.r.l., described in point II of this provision, constitutes a case of an unfair clause pursuant to article 33, paragraphs 1 and 2, letter t), of the Consumer Code, for the reasons and within the limits stated in the motivation, and prohibits its re-proposal;</w:t>
        <w:br/>
        <w:t>b) that the new formulation of the clause referred to in article 2.2 (“Exclusivity”) of the Credit Mediation Contract, in the version submitted in the records with communications of November 24, 2022, January 9, 2023, June 15, 2023, August 10, 2023, and October 16, 202349 is not unfair pursuant to article 33, paragraphs 1 and 2, letter t), of the Consumer Code, for the reasons and within the limits stated in the motivation;</w:t>
        <w:br/>
        <w:t>c) that the clause referred to in article 3.3 (“Fee for consultancy and assistance activities”) of the Credit Mediation Contract, adopted by Toscano Mutui S.r.l., described in point II of this provision, constitutes a case of an unfair clause pursuant to article 33, paragraphs 1 and 2, letter t), of the Consumer Code, for the reasons and within the limits stated in the motivation, and prohibits its re-proposal;</w:t>
        <w:br/>
        <w:t>d) that the new formulation of the clause referred to in article 3.6 (“Penalty”) of the Credit Mediation Contract, in light of the clause referred to in article 2.5 (“Withdrawal for legally relevant reasons after the 14-day period”) of the Credit Mediation Contract, in the versions submitted in the records with communications of November 24, 2022, January 9, 2023, June 15, 2023, August 10, 2023, and October 16, 2023, is not unfair pursuant to article 33, paragraphs 1 and 2, letter t), of the Consumer Code, for the reasons and within the limits stated in the motivation;</w:t>
        <w:br/>
        <w:t>49 See Docs. 5, 10, 19, 23, and 27 cited.</w:t>
      </w:r>
    </w:p>
    <w:p>
      <w:r>
        <w:t>118 BULLETIN NO. 11 OF MARCH 18, 2024</w:t>
        <w:br/>
        <w:t>e) that the clause containing the declaration of individual negotiation, placed at the end of the Credit Mediation Contract, adopted by Toscano Mutui S.r.l., described in point II of this provision, constitutes a case of an unfair clause pursuant to article 33, paragraph 1, of the Consumer Code, for the reasons and within the limits stated in the motivation, and prohibits its re-proposal;</w:t>
        <w:br/>
        <w:t>f) that the new formulation of the clause containing the specific approval declaration of certain contractual clauses also pursuant to articles 1341 and 1342 of the Civil Code placed at the end of the Credit Mediation Contract, in the version submitted in the records with communications of November 24, 2022, January 9, 2023, June 15, 2023, August 10, 2023, and October 16, 202350, is not unfair pursuant to article 33, paragraphs 1, of the Consumer Code, for the reasons and within the limits stated in the motivation;</w:t>
        <w:br/>
        <w:t>g) to impose on Toscano Mutui S.r.l. for the violation referred to in letter a) an administrative pecuniary sanction of €7,953 (seven thousand nine hundred fifty-three euros);</w:t>
        <w:br/>
        <w:t>h) to impose on Toscano Mutui S.r.l. for the violation referred to in letter c) an administrative pecuniary sanction of €7,953 (seven thousand nine hundred fifty-three euros);</w:t>
        <w:br/>
        <w:t>i) to impose on Toscano Mutui S.r.l. for the violation referred to in letter e) an administrative pecuniary sanction of €7,953 (seven thousand nine hundred fifty-three euros).</w:t>
        <w:br/>
        <w:t>ORDERS</w:t>
        <w:br/>
        <w:t>a) that the company Toscano Mutui S.r.l. publish, at its own expense, an extract of the provision pursuant to article 37-bis of the Consumer Code and article 21, paragraph 8, of the Regulation, according to the following modalities:</w:t>
        <w:br/>
        <w:t>1) the text of the extract of the provision is that reported in the annex to this provision;</w:t>
        <w:br/>
        <w:t>2) the text of the extract of the provision must be published for ten consecutive days on the homepage of the website www.toscanomutui.it with adequate graphic prominence, within twenty days from the communication of the adoption of this provision;</w:t>
        <w:br/>
        <w:t>b) that the publication of the text of the extract of the provision must be preceded by communication to the Authority of the date on which it will take place and must be followed, within three days, by the sending to the Authority of a copy of the aforementioned extract as published on the homepage of the website www.toscanomutui.it;</w:t>
        <w:br/>
        <w:t>c) the publication must fully reflect the setting, structure, and appearance of the extract attached to this provision; the writing, printing, and dissemination methods must not be such as to nullify the effects of the publication; in particular, on the webpage of the publication of the extract, as well as on the remaining pages, no messages should be reported that contradict the content of the extract or that tend to diminish its scope and meaning.</w:t>
        <w:br/>
        <w:t>50 See Docs. 5, 10, 19, 23, and 27 cited.</w:t>
      </w:r>
    </w:p>
    <w:p>
      <w:r>
        <w:t>BULLETIN NO. 11 OF MARCH 18, 2024 119</w:t>
        <w:br/>
        <w:t>Pursuant to article 37-bis, paragraph 2, of the Consumer Code, in case of non-compliance with the publication obligation according to the aforementioned modalities, the Authority applies an administrative pecuniary sanction from €5,000 to €50,000.</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Pursuant to article 27, paragraph 12, of the Consumer Code, in case of non-compliance with the warning referred to in points a), c), and e) of the device of this provision, the Authority applies an administrative pecuniary sanction from €10,000 to €10,000,000. In cases of repeated non-compliance, the Authority may order the suspension of business activity for a period not exceeding thirty days.</w:t>
        <w:br/>
        <w:t>Against this provision, an appeal may be submitted to the TAR of Lazio, pursuant to article 37-bis, paragraph 4, and article 135, paragraph 1, letter b), of the Administrative Procedure Code (Legislative Decree No. 104 of July 2, 2010), within sixty days from the date of notification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opinion itself.</w:t>
        <w:br/>
        <w:t>This provision will be notified to the interested parties and published in the Bulletin of the Antitrust Authority.</w:t>
      </w:r>
    </w:p>
    <w:p>
      <w:r>
        <w:rPr>
          <w:b/>
        </w:rPr>
        <w:t>[Pages 118–120]</w:t>
      </w:r>
    </w:p>
    <w:p>
      <w:r>
        <w:t>120 BULLETIN NO. 11 OF MARCH 18, 2024</w:t>
        <w:br/>
        <w:t>The extract of the provision is also published, within twenty days from the communication of its adoption, in a specific section of the institutional website of the Authority.</w:t>
        <w:br/>
        <w:t>THE SECRETARY GENERAL THE PRESIDENT</w:t>
        <w:br/>
        <w:t>Guido Stazi Roberto Rustichelli</w:t>
        <w:br/>
        <w:t>__________________________________________________________________________</w:t>
      </w:r>
    </w:p>
    <w:p>
      <w:r>
        <w:t>BULLETIN NO. 11 OF MARCH 18, 2024 121</w:t>
        <w:br/>
        <w:t>CV235 - TOSCANO MUTUI - EXCLUSIVITY CLAUSES</w:t>
        <w:br/>
        <w:t>Attached to the provision of the Authority for the Protection of Competition and the Market of February 27, 2024, regarding administrative protection against unfair clauses pursuant to article 37 bis of the Consumer Code.</w:t>
        <w:br/>
        <w:t>[OMISSIS]</w:t>
        <w:br/>
        <w:t>The clauses subject to investigation are contained in the contractual model called “Credit Mediation Contract” that the Professional uses for the performance of their credit mediation activity aimed at finding the lending credit institution for the conclusion of loan contracts by consumers, published on the Professional's website (hereinafter “Credit Mediation Contract” or “Contractual Module”).</w:t>
        <w:br/>
        <w:t>The clauses contained in the aforementioned Contractual Module and transcribed below are the subject of this evaluation:</w:t>
        <w:br/>
        <w:t>A) “2.2.) Exclusivity. This assignment is granted to Toscano Mutui S.r.l. on an exclusive basis, in order to exclude the possibility of submitting concurrent financing requests or creditworthiness checks, visible in the databases of the Bank of Italy and/or other entities that could jeopardize the successful outcome of the request”;</w:t>
        <w:br/>
        <w:t>B) “3.3.) Fee for consultancy and assistance activities. Only in the cases where the client withdraws from the contract beyond the legal term, or in the event that the mediation company withdraws from the contract pursuant to clause 2.4, the client shall be obliged to pay Toscano Mutui S.r.l., as a fee for the consultancy and assistance activities provided in execution of the assignment, a sum of € ... (plus VAT), without prejudice to the right of Toscano Mutui S.r.l. to compensation for any damage caused, in the event of a breach attributable to the client”;</w:t>
        <w:br/>
        <w:t>C) “Pursuant to art. 33 et seq. of Legislative Decree 206/2005, the client declares that the clauses set forth in points 1.3. (Declarations and Documentation - Due diligence), 2.2. (Exclusivity of the mediation assignment), 2.5 (Competent forum for the consumer client), 3.2. (Conclusion of the deal), 3.3 (Fee for consultancy and assistance activities), have been the subject of individual negotiation and expressly declares to approve them pursuant to articles 1341 and 1342 of the Consumer Code”.</w:t>
        <w:br/>
        <w:t>With reference to clause A), the Professional has been challenged regarding the alleged unfairness of the same pursuant to article 33, paragraphs 1 and 2, letter t) of the Consumer Code, as such clause would have the object or effect of imposing on the consumer “restrictions on contractual freedom in relations with third parties” considering the provision of a particularly long duration term, also in light of the provision of a penalty applicable to the consumer in case of violation of the exclusivity agreement and the observation that the contractual text lacks suitable advantages aimed at ensuring balance between the parties; in any case, such clause would still be capable of constituting a violation of article 33, paragraph 1, of the Consumer Code as it is likely to create a significant imbalance of the rights and obligations arising from the contract, to the detriment of the adhering consumers.</w:t>
      </w:r>
    </w:p>
    <w:p>
      <w:r>
        <w:t>122 BULLETIN NO. 11 OF MARCH 18, 2024</w:t>
        <w:br/>
        <w:t>With reference to clause B), the Professional has been challenged regarding the alleged unfairness of the same pursuant to article 33, paragraphs 1 and 2, letter t) of the Consumer Code, as such clause would impose on the consumer “limitations on the ability to raise exceptions” and “restrictions on contractual freedom in relations with third parties” even in the presence of objectively justified reasons. In any case, such clause would still be capable of constituting a violation of article 33, paragraph 1, of the Consumer Code as it is likely to create a significant imbalance of the rights and obligations arising from the contract, to the detriment of the adhering consumers;</w:t>
        <w:br/>
        <w:t>With reference to clause C), the Professional has been challenged regarding the alleged unfairness of the same pursuant to article 33, paragraphs 1 and 2, letter t) of the Consumer Code, as the reference to article 33 of the Consumer Code lends itself to being interpreted as a reversal of the burden of proof, aimed at relieving the Professional from the burden, expressly provided for by article 34, paragraph 5, of the Consumer Code, to prove that the clauses unilaterally prepared by them have been the subject of specific negotiation with the consumer in order to avoid the judgment of unfairness, thus determining a limitation of the consumer's ability to raise exceptions. Therefore, such clause would be capable of constituting a violation of article 33, paragraph 1, of the Consumer Code as it is likely to create a significant imbalance of the rights and obligations arising from the contract, to the detriment of the adhering consumers.</w:t>
        <w:br/>
        <w:t>[OMISSIS]</w:t>
        <w:br/>
        <w:t>It is therefore proceeded to evaluate the individual profiles of unfairness for each relevant contractual provision.</w:t>
        <w:br/>
        <w:t>[OMISSIS]</w:t>
        <w:br/>
        <w:t>CONSIDERED, in particular, based on the aforementioned considerations, that the clauses described in paragraph II, sub letters A), B) and C) of this provision, are unfair pursuant to articles 33, paragraphs 1 and 2, letter t) of the Consumer Code as they create, to the detriment of the consumer, a significant imbalance of the rights and obligations arising from the contract;</w:t>
        <w:br/>
        <w:t>CONSIDERED that the new clauses contained in the model of Credit Mediation Contract used by Toscano Mutui since November 2023, reformulated according to the version produced in the records, are not unfair pursuant to articles 33, paragraphs 1 and 2, letter t), of the Consumer Code;</w:t>
        <w:br/>
        <w:t>[OMISSIS]</w:t>
      </w:r>
    </w:p>
    <w:p>
      <w:r>
        <w:rPr>
          <w:b/>
        </w:rPr>
        <w:t>[Pages 121–123]</w:t>
      </w:r>
    </w:p>
    <w:p>
      <w:r>
        <w:t>BULLETIN NO. 11 OF MARCH 18, 2024 123</w:t>
        <w:br/>
        <w:t>RESOLUTION</w:t>
        <w:br/>
        <w:t>a) that the clause referred to in article 2.2 (“Exclusivity”) of the Credit Mediation Contract, adopted by Toscano Mutui S.r.l., described in point II of this provision, constitutes a case of an unfair clause pursuant to article 33, paragraphs 1 and 2, letter t), of the Consumer Code, for the reasons and within the limits set out in the reasoning, and prohibits its re-proposal;</w:t>
        <w:br/>
        <w:t>b) that the new formulation of the clause referred to in article 2.2 (“Exclusivity”) of the Credit Mediation Contract, in the version produced in the documents with communications of November 24, 2022, January 9, 2023, June 15, 2023, August 10, 2023, and October 16, 2023, is not unfair pursuant to article 33, paragraphs 1 and 2, letter t), of the Consumer Code, for the reasons and within the limits set out in the reasoning;</w:t>
        <w:br/>
        <w:t>c) that the clause referred to in article 3.3 (“Fee for consultancy and assistance activities”) of the Credit Mediation Contract, adopted by Toscano Mutui S.r.l., described in point II of this provision, constitutes a case of an unfair clause pursuant to article 33, paragraphs 1 and 2, letter t), of the Consumer Code, for the reasons and within the limits set out in the reasoning, and prohibits its re-proposal;</w:t>
        <w:br/>
        <w:t>d) that the new formulation of the clause referred to in article 3.6 (“Penalty”) of the Credit Mediation Contract, in light of the clause referred to in article 2.5 (“Withdrawal for legally relevant reasons after the 14-day period”) of the Credit Mediation Contract, in the versions produced in the documents with communications of November 24, 2022, January 9, 2023, June 15, 2023, August 10, 2023, and October 16, 2023, is not unfair pursuant to article 33, paragraphs 1 and 2, letter t), of the Consumer Code, for the reasons and within the limits set out in the reasoning;</w:t>
        <w:br/>
        <w:t>e) that the clause containing the declaration of individual negotiation, placed at the end of the Credit Mediation Contract, adopted by Toscano Mutui S.r.l., described in point II of this provision, constitutes a case of an unfair clause pursuant to article 33, paragraph 1, of the Consumer Code, for the reasons and within the limits set out in the reasoning, and prohibits its re-proposal;</w:t>
        <w:br/>
        <w:t>f) that the new formulation of the clause containing the declaration of specific approval of certain contractual clauses also pursuant to articles 1341 and 1342 of the Civil Code placed at the end of the Credit Mediation Contract, in the version produced in the documents with communications of November 24, 2022, January 9, 2023, June 15, 2023, August 10, 2023, and October 16, 2023, is not unfair pursuant to article 33, paragraphs 1, of the Consumer Code, for the reasons and within the limits set out in the reasoning;</w:t>
        <w:br/>
        <w:t>[OMISSIS]</w:t>
      </w:r>
    </w:p>
    <w:p>
      <w:r>
        <w:t>124 BULLETIN NO. 11 OF MARCH 18, 2024</w:t>
        <w:br/>
        <w:t>CV236 - 24MAX - EXCLUSIVITY CLAUSES</w:t>
        <w:br/>
        <w:t>Provision No. 31101</w:t>
        <w:br/>
        <w:t>THE ANTITRUST AUTHORITY</w:t>
        <w:br/>
        <w:t>IN ITS MEETING of February 27,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resolutions of March 7, 2023, May 2, 2023, June 28, 2023, August 29, 2023, October 31, 2023, and December 19, 2023, with which, pursuant to article 7, paragraph 3, of the Regulation, the deadline for concluding the procedure was extended;</w:t>
        <w:br/>
        <w:t>HAVING REGARD TO the documents of the procedure;</w:t>
        <w:br/>
        <w:t>CONSIDERED as follows</w:t>
        <w:br/>
        <w:t>I. THE PARTY</w:t>
        <w:br/>
        <w:t>1. 24MAX S.p.A. (hereinafter also 24MAX, the Professional, or the Company) is active in the sector of intermediation and consultancy related to the granting of mortgages and personal loans. The Company's balance sheet, relating to the financial year closed on December 31, 2022, shows a turnover of [1,000,000-10,000,000]* euros.</w:t>
        <w:br/>
        <w:t>II. THE CLAUSES SUBJECT TO EVALUATION</w:t>
        <w:br/>
        <w:t>2. The clauses subject to investigation are contained in the contractual model called “Credit Mediation Contract – Mortgages” (hereinafter also “Contractual Model”), published on the website of 24MAX1, which the Professional uses for the performance of its credit mediation activity aimed at finding the lending credit institution for the conclusion of mortgage contracts by consumers. These clauses have been used since December 20202.</w:t>
        <w:br/>
        <w:t>3. In particular, the following clauses contained in the aforementioned Contractual Model3 are the subject of this evaluation:</w:t>
        <w:br/>
        <w:t>* In this version, some data are omitted, as elements of confidentiality or secrecy of the information were deemed to exist.</w:t>
        <w:br/>
        <w:t>1 https://24max.it/.</w:t>
        <w:br/>
        <w:t>2 See Doc. 14 of the Index of the File (Arrival of requested information of 05/19/2023, prot. No. 0045618).</w:t>
        <w:br/>
        <w:t>3 See Doc. 1 of the Index of the File (Minutes of Acquisition to the Records of September 9, 2022 Pages of the website 24max).</w:t>
      </w:r>
    </w:p>
    <w:p>
      <w:r>
        <w:t>BULLETIN NO. 11 OF MARCH 18, 2024 125</w:t>
        <w:br/>
        <w:t>A) “4. Duration of the contract and exclusivity agreement. b. The mandate is understood to be conferred exclusively to the credit mediator until its termination. The client, therefore, for the entire duration of the assignment, may not for any reason confer a similar assignment to another party, nor act on their own with other operators, even non-professionals, for obtaining financing”;</w:t>
        <w:br/>
        <w:t>B) “10. Breach of contractual obligations and penalty. The client agrees to pay a sum as a penalty - pursuant to art. 1382 of the Civil Code - equal to 1000 euros (one thousand), in the following cases: […] violation of the exclusivity agreement”.</w:t>
        <w:br/>
        <w:t>4. With reference to clause A), the Professional has been accused of the alleged unfairness of the same pursuant to article 33, paragraphs 1 and 2, letter t) of the Consumer Code, as this clause would have as its object or effect to impose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this clause appears to be capable of constituting a violation of article 33, paragraph 1, of the Consumer Code as it is likely to create a significant imbalance in the rights and obligations arising from the contract, to the detriment of the adhering consumers.</w:t>
        <w:br/>
        <w:t>5. With reference to clause B), the Professional has been accused of the alleged unfairness of the same pursuant to article 33, paragraphs 1 and 2, letters f) and t) of the Consumer Code, as this clause would have as its object or effect to “impose on the consumer, in case of non-fulfillment or delay in fulfillment, the payment of a sum of money as compensation, penalty clause or other equivalent title of manifestly excessive amount” and to impose on the consumer “limitations on the ability to raise objections and ‘restrictions on contractual freedom in relations with third parties’ even in the presence of objectively justified reasons. In any case, this clause appears to be capable of constituting a violation of article 33, paragraph 1, of the Consumer Code as it is likely to create a significant imbalance in the rights and obligations arising from the contract, to the detriment of the adhering consumers.</w:t>
        <w:br/>
        <w:t>III. THE INVESTIGATIVE FINDINGS</w:t>
        <w:br/>
        <w:t>a) The procedure's course</w:t>
        <w:br/>
        <w:t>6. Based on the acquisitions made ex officio on September 9, 20224, on October 12, 2022, the CV236 procedure was initiated against 24MAX5.</w:t>
        <w:br/>
        <w:t>7. Concurrently with the communication of the initiation of the procedure, a request for information was made to 24MAX, pursuant to article 12, paragraph 1 of the Regulation, also requesting elements to overcome the presumption of unfairness referred to in article 33, paragraphs 1 and 2, letters f) and t) of the Consumer Code.</w:t>
        <w:br/>
        <w:t>8. On October 12, 2022, after informing the Authority, a notice was published for 30 days on the institutional website of the Authority (www.agcm.it), pursuant to article 37-bis, paragraph 1, of the Consumer Code and article 23, paragraph 6, of the Regulation, for consultation.</w:t>
        <w:br/>
        <w:t>4 See Doc. 1 cited.</w:t>
        <w:br/>
        <w:t>5 See Doc. 2 of the Index of the File (Initiation of Procedure prot. 0076832 of October 12, 2022).</w:t>
      </w:r>
    </w:p>
    <w:p>
      <w:r>
        <w:rPr>
          <w:b/>
        </w:rPr>
        <w:t>[Pages 124–126]</w:t>
      </w:r>
    </w:p>
    <w:p>
      <w:r>
        <w:t>126 BULLETIN NO. 11 OF MARCH 18, 2024</w:t>
        <w:br/>
        <w:t>public consultation on unfair clauses. The public consultation concluded on November 11, 2022, and on the same date, comments were received from the consumer associations Codacons and U.Di.Con.6.</w:t>
        <w:br/>
        <w:t>9. On November 14, 2022, the Professional submitted a defensive memorandum and responded to the request for information made at the start of the procedure7.</w:t>
        <w:br/>
        <w:t>10. On November 25, 2022, the Professional made a proposal for commitments, pursuant to article 9 of the Regulation, aimed at removing the contested illegalities in the initiation communication8.</w:t>
        <w:br/>
        <w:t>11. The commitments presented by the Company on November 25, 2022, were rejected by the Authority in its meeting on March 21, 2023. This decision was communicated to the Professional on March 24, 20239.</w:t>
        <w:br/>
        <w:t>12. On April 18, 202310, a request for information was sent to the Professional, which was responded to by the Company with a communication on May 19, 202311.</w:t>
        <w:br/>
        <w:t>13. On November 6, 2023, a hearing of the Body for the management of the lists of Credit Agents and Brokers (hereinafter, OAM) took place at the request of the aforementioned Body in order to provide the Authority with its contribution for the evaluations related to the cases subject to this procedure12.</w:t>
        <w:br/>
        <w:t>14. On December 19, 2023, 24MAX was informed of the conclusion date of the investigative phase pursuant to article 16, paragraph 1, as referenced by article 23, paragraph 1, of the Regulation13.</w:t>
        <w:br/>
        <w:t>15. On January 18, 2024, 24MAX submitted its final memorandum14.</w:t>
        <w:br/>
        <w:t>b) The outcomes of the consultation on the Authority's website</w:t>
        <w:br/>
        <w:t>16. During the consultation, on November 11, 2022, U.Di.Con. noted the unfairness of the clauses contested in the initiation communication, highlighting the sensitivity of the sector they aim to regulate and emphasizing that the aforementioned clauses are capable of creating a serious imbalance in the contractual exchange, granting the Professional every broader margin of action and limiting the negotiating rights of the consumer.</w:t>
        <w:br/>
        <w:t>17. On November 11, 2022, Codacons also noted the unfairness of the clauses in question, highlighting that the clauses included in 24MAX's contracts impose a heavy and unjustified burden on the user. In particular, Codacons emphasized that the exclusivity clause appears unfair to the extent that it prevents the customer from seeking more favorable and faster financing; this contractual provision, along with the penalty provided in case of early withdrawal, imposes an unjustified burden on the contracting party.</w:t>
        <w:br/>
        <w:t>c) The evidence acquired</w:t>
        <w:br/>
        <w:t>18. With reference to the activities subject to the credit mediation assignment carried out with exclusivity by 24MAX, it emerged that article 2 of the Contractual Model provides that such activities develop in the following obligations15:</w:t>
        <w:br/>
        <w:t>- “preliminary documentary investigation and collection of the financing requests signed by the Customer within the first-level investigation on behalf of the financing entity also based on the directives prescribed by the same;</w:t>
        <w:br/>
        <w:t>- preparation and transmission to the financing entity of the request and the related documentation necessary and in any case required by the regulatory obligations incumbent on credit mediators as well as by the individual Credit Institutions/Financial intermediaries;</w:t>
        <w:br/>
        <w:t>- receipt of the approval/non-approval response of the financing request from the granting Entity;</w:t>
        <w:br/>
        <w:t>- assistance to the customer throughout the entire process until the completion of the financing contract.”.</w:t>
        <w:br/>
        <w:t>19. In the period covering the year 2022 and the first quarter of 2023, 24MAX concluded [500-1000] credit mediation contracts for the granting of mortgage loans in favor of consumers, receiving from them an average commission of [1,000-5,000] euros.</w:t>
        <w:br/>
        <w:t>20. With particular reference to clause sub A) and the duration of the contract with exclusivity agreement, article 4 of the Contractual Model establishes that this duration is equal to 180 days from the date of signing the contract16. In this regard, the Professional states that the percentages of practices that required a processing time exceeding 150 days amount to [11-20%] for 2020, [21-30%] for 2021, and [11-20%] for 2022. Furthermore, according to what was stated by the Company, the average time for carrying out and concluding the mediation activity would range “between [100-200] days and [100-200] days” for the three-year period 2020 - 202217. However, it is appropriate to emphasize that, based on the information provided by the Professional regarding the mediation contracts concluded in the period between October 12, 2022, and November 11, 2022 ([11-100] contracts), it is found that the average time elapsed between the date of signing the mediation contract and the date of loan disbursement is 82 days18.</w:t>
        <w:br/>
        <w:t>21. As for clause sub B), the Professional stated that “the parameter used by 24MAX for determining the amount of the penalty stated in the mediation contract is about [20-100%] of the average unit cost”19, where the average unit cost incurred in the period covering the year 2022 and the first quarter of 2023 would be [1,000–5,000] euros20. Regarding the commissions paid by the Professional's clients, data extracted from the Company's accounting systems21 indicate that [21-30%] of the contracts concluded in that period (i.e., [100-300] out of [500-1000] “completed deals”) generated commissions equal to or less than 1,000 euros. Therefore, at least for such cases, the penalty set contractually appears equal to, or even greater than, the commission requested.</w:t>
        <w:br/>
        <w:t>22. 24MAX also highlighted that no amount as a penalty for the violation of the exclusivity obligation has ever been collected and that no complaints have ever been received in this regard from consumers, as demonstrated by the annual reporting of complaints published on the Company's website, in the appropriate section22.</w:t>
        <w:br/>
        <w:t>d) The defensive arguments of the Professional</w:t>
        <w:br/>
        <w:t>23. Regarding the assessment of the individual clauses involved in the initiation communication of this procedure, 24MAX made considerations aimed at justifying the rationale for their inclusion in the module, as well as the absence of intent to take advantage, to the detriment of the consumer, of the contested clauses.</w:t>
        <w:br/>
        <w:t>24. In particular, with reference to clause sub A), 24MAX represents “the importance of the exclusivity clause, even for the Consumer itself, in order to avoid the potential harm that could arise to the same if there were a simultaneous management of other financing requests, presented by other mediators and/or by the consumer directly, as it is known that this could generate problems, then unsolvable, in case of a lack of careful management of the loan request and consequent reporting to the Central Risks in the event of a denial of financing by a banking institution”23. The Professional also emphasizes that “a duration of the assignment equal to 180 days from the date of signing the contract is appropriate based on the activities carried out, [...] and the times for carrying out and concluding said activity [...], which are found to be over 150 days, for a non-negligible percentage of practices in the portfolio”24.</w:t>
        <w:br/>
        <w:t>25. Regarding clause sub B), 24MAX states that “the penalty for the violation of the exclusivity obligation has never been invoked by the Company, in over 3 years of activity,” and that “there is not a single complaint received by the Company regarding this hypothesis, precisely because no payment has ever been requested from customers for this title, nor has any amount as a penalty for the violation of the exclusivity obligation ever been collected by 24MAX S.p.A.”25. Regarding, instead, the quantum of the penalty provided for by this clause, 24MAX declares that this amount has been determined to be approximately [25-100%] of the average unit cost incurred by the Company.</w:t>
        <w:br/>
        <w:t>26. The Company also highlighted that “such clauses have not been conceived with a view to prejudicing the rights and interests of consumer clients”26, as clause no. 9 of the internal back office management, as well as the cost of the commissions paid to 24MAX agents […]. Structural costs, costs of the internal control system, and others not attributable to the execution of the concluded mediation contracts are excluded from the calculation.”</w:t>
      </w:r>
    </w:p>
    <w:p>
      <w:r>
        <w:rPr>
          <w:b/>
        </w:rPr>
        <w:t>[Pages 127–129]</w:t>
      </w:r>
    </w:p>
    <w:p>
      <w:r>
        <w:t>BULLETIN NO. 11 OF MARCH 18, 2024 129</w:t>
        <w:br/>
        <w:t>Contractual Model, concerning withdrawal, grants the right of withdrawal in favor of the consumer, within and no later than 14 days from the signing of the contract, regardless of the place of conclusion of the contract itself. On the contrary, the Professional emphasizes that “the clauses subject to criticism were the result of evident carelessness, superficiality, on the part of the Company in taking as a contractual model a scheme in use in the market, without having fully assessed its legal implications”27, and that this choice was influenced by the fact that, at the time of the initiation of the proceedings, the Company was still in the start-up phase, having operated for only three years in the market.</w:t>
        <w:br/>
        <w:t>27. Finally, 24MAX highlights that the duration of the alleged unfairness would have been “limited, and in any case ceased practically immediately after the initiation of the present proceedings” and that “the Company also communicated to all customers who were still contracted based on the Model containing the contested clauses, who had not adhered to the proposal to sign the new modified Model, that clauses 4 and 10 of the (old) mediation assignment would not be applied”28.</w:t>
        <w:br/>
        <w:t>IV. CONCLUDING EVALUATIONS</w:t>
        <w:br/>
        <w:t>28. In general, it is worth noting that the consumer protection system regarding unfair clauses contained in articles 33 and following of the Consumer Code is based on the assumption that the consumer finds themselves in a position of inferiority compared to the professional regarding both bargaining power and level of information, a situation that leads them to adhere to the pre-established conditions without being able to influence their content. Therefore, the aforementioned regulatory framework aims to provide incisive and substantial protection to that party, the consumer, generally endowed with less bargaining power, through the affirmation of a contractual balance capable of restoring equality between the professional and the consumer.</w:t>
        <w:br/>
        <w:t>29. The evaluations that follow concern the clauses indicated in paragraph II of this provision that present profiles of unfairness pursuant to the regulation of article 33 of the Consumer Code. At the initiation of the proceedings, it was indicated to 24MAX that, for the clauses attributable to the list in article 33, paragraphs 1 and 2, letters f) and t), of the Consumer Code, a legal presumption of unfairness is provided with a simultaneous reference to the burden of providing elements that constitute evidence to the contrary of this presumption, and 24MAX has not provided suitable elements to overcome this presumption.</w:t>
        <w:br/>
        <w:t>30. Therefore, we proceed to evaluate the individual profiles of unfairness for each relevant contractual provision.</w:t>
        <w:br/>
        <w:t>A. Clause for the assignment of the credit mediation with exclusivity agreement</w:t>
        <w:br/>
        <w:t>31. In clause A), described in point II of this provision, the assignment to 24MAX is provided exclusively, with the consequence that the Professional can count on the fact that the client does not conclude the same financing through other mediators, while the consumer is denied the possibility of independently seeking other forms of financing for the entire duration of the assignment.</w:t>
        <w:br/>
        <w:t>27 V. Doc. 32 cit..</w:t>
        <w:br/>
        <w:t>28 V. Doc. 32 cit..</w:t>
      </w:r>
    </w:p>
    <w:p>
      <w:r>
        <w:t>130 BULLETIN NO. 11 OF MARCH 18, 2024</w:t>
        <w:br/>
        <w:t>32. For the purposes of evaluating the unfairness of this clause, it is considered that, first of all, it cannot be overlooked that the average type of consumer who avails themselves of financial intermediation services also includes consumers with a lower level of financial education or with characteristics that determine a lower creditworthiness, who - considering the particular complexity of the financial sector, characterized by significant information asymmetry - are, for these reasons, willing to bear, within the context of a real estate purchase operation and financing of the same purchase, the additional economic burden associated with financial intermediation services. Also considering this type of average consumer, and thus the significant information asymmetry that characterizes the sector in which the Professional operates, it is believed that the disadvantage that the consumer receives from granting the exclusive assignment (the impossibility of obtaining the financing they need in another way) must be adequately compensated by the credit mediator who, from this option, receives the advantage of not running the risk of seeing their work undermined by the competing activity carried out by other intermediaries or by the client themselves.</w:t>
        <w:br/>
        <w:t>33. It is also important to emphasize that the significant imbalance that arises from the contractual arrangement examined above must be evaluated in light of the dynamics of the real estate purchase process, often characterized by essential terms imposed on the purchasing party, the failure to comply with which produces irreparable legal effects (for example, the loss of the deposit paid upon signing the preliminary contract). Therefore, in the case of signing the exclusivity clause, the consumer who finds themselves needing to obtain financing for the purchase of a property by a certain deadline could not turn to other operators for the provision of financing, should the credit mediator they approached and/or the credit institution intermediated be unable to meet that deadline. It is evident, therefore, how this disadvantage cannot fail to receive adequate balancing (by way of mere example, one might think of greater economic accessibility of the service, the possibility of receiving financial products otherwise unavailable in the market, or, again, the indication by the mediator of shorter terms within which the client can receive information on the granting of financing, or a greater specification of the economic conditions of the requested financing), in the absence of which an inevitable imbalance of rights and obligations between the contractual parties would arise.</w:t>
        <w:br/>
        <w:t>34. That said, the evaluation of the unfairness of this clause is carried out in light of the combination of it with other contractual elements, such as the presence of a penalty in case of violation of the exclusivity agreement, the duration of the contract, the definiteness of contractual obligations on the part of the professional connected to the exclusivity agreement.</w:t>
        <w:br/>
        <w:t>35. In this specific case, the significant imbalance in favor of the Professional is determined by the provision of a duration of the assignment, equal to 180 days from the date of signing the contract (article 4 of the Contractual Model), which is excessively long compared to the average times for obtaining the mortgage as represented by the Company itself, even in light of the provision of a penalty applicable to the consumer in case of violation of the exclusivity agreement and the observation that the contractual text lacks suitable advantages for the consumer aimed at ensuring balance between the parties.</w:t>
        <w:br/>
        <w:t>36. This imbalance is not deemed justifiable by the request to avoid that concurrent requests for financing may jeopardize the successful outcome of the mortgage application, since this is not a condition that obstructs the granting of financing, as demonstrated by the fact that there are operators in the market who operate even without exclusivity. The circumstance that in credit mediation contracts this clause may also respond to an interest of the consumer as well as that of the professional does not eliminate the necessity that, where this clause results in a significant imbalance in favor of the credit mediator (as highlighted above), such imbalance must be adequately compensated.</w:t>
        <w:br/>
        <w:t>37. Therefore, it is believed that the combined reading of the exclusivity clause contained in the Contractual Model used by 24MAX with the remaining clauses present in the aforementioned Contractual Model determines a significant imbalance to the detriment of the consumer. In fact, the consumer, on the one hand, remains bound to the Professional for a significant period of time, without receiving any benefit from granting the exclusive assignment (as confirmed by the Company itself), without having tools that allow them to assess the correctness and timeliness of the Professional's actions and is subject to the payment of a penalty in case of violation of the exclusivity agreement; on the other hand, the Professional can benefit from a long duration of the mandate, being able to count on the fact that the client does not conclude in the meantime the same financing through other mediators, without any specification of their contractual obligations in relation to the assignment received and without any waiver of their contractual prerogatives.</w:t>
        <w:br/>
        <w:t>38. In light of the above considerations, the contractual provision under examination constitutes a case under article 33, paragraph 2, letter t) of the Consumer Code, as such clause would have as its object or effect to impose on the consumer “restrictions on contractual freedom in relations with third parties” and 24MAX has not provided suitable elements to overcome this presumption. In any case, this clause appears to configure a violation of article 33, paragraph 1, of the Consumer Code as, based on the observations made above, it is susceptible of determining a significant imbalance of the rights and obligations arising from the contract, to the detriment of the adhering consumers.</w:t>
        <w:br/>
        <w:t>39. That said, 24MAX has represented, during the proceedings, that it has adopted a new version of the contractual model, in which: i) it has left the duration of the credit mediation contract blank, thus providing the possibility of inserting a different duration from time to time (clause no. 4); ii) it has included the alternative option of granting the assignment with or without an exclusivity agreement (clause no. 5)29. In particular, in the latter case, a maximum amount is provided, the value of which is left blank, that the client is required to reimburse to the Professional as costs incurred for the execution of the assignment, in case of conclusion of the financing contract through other intermediaries or directly between the consumer and the lender. In the different hypothesis in which the assignment is granted exclusively, this clause instead provides that “the Client agrees not to assign to third parties, nor to operate personally, for the search and conclusion of the Financing. The Credit Mediator agrees to waive reimbursement of expenses, pursuant to article 1756 of the Civil Code, that they will incur for the execution of the assignment, even in case of failure to obtain the financing.” Furthermore, neither the provision of irrevocability of the assignment contained in article 9 of the Contractual Model subject to this proceeding, nor the provision of a penalty against the client has been proposed again.29 V. Doc. 25 (Minutes of Acquisition to the Records of 2/11/2023 Acquisition of documents to supplement protocol no. 0087431 of 27/10/2023).</w:t>
      </w:r>
    </w:p>
    <w:p>
      <w:r>
        <w:rPr>
          <w:b/>
        </w:rPr>
        <w:t>[Pages 130–132]</w:t>
      </w:r>
    </w:p>
    <w:p>
      <w:r>
        <w:t>132 BULLETIN NO. 11 OF MARCH 18, 2024</w:t>
        <w:br/>
        <w:t>for breach of contractual obligations, including the violation of the exclusivity agreement, contained in article 10 of the Contractual Model subject to this proceeding.</w:t>
        <w:br/>
        <w:t>40. That said, the new version of the exclusivity clause does not constitute a case of an unfair clause pursuant to article 33, paragraphs 1 and 2, letter t), of the Consumer Code, as the introduction of the alternative option of granting the assignment without exclusivity is relevant, along with the simultaneous modification of the duration clause as well as the provision of an economic benefit that the consumer would not receive in the case of an assignment granted without exclusivity.</w:t>
        <w:br/>
        <w:t>B. Clause on breach of contractual obligations and penalty</w:t>
        <w:br/>
        <w:t>41. In clause B), described in point II of this provision, it is provided that the consumer is obliged to pay the Professional a fixed penalty amounting to one thousand euros, at the moment the consumer violates the exclusivity agreement.</w:t>
        <w:br/>
        <w:t>42. This contractual provision creates an imbalance to the detriment of the consumer, as the clause does not provide for the grantor's exemption from paying the penalty where the failure to comply with the exclusivity is attributable to objectively justified reasons, which may arise especially considering the long duration of the assignment.</w:t>
        <w:br/>
        <w:t>43. Furthermore, the amount of the penalty may even exceed, for a non-negligible percentage of consumers, the value of the commission itself, resulting in this way - in the absence of adjustments that relate its amount to the time elapsed since the assignment was granted and to the activity actually performed by the Professional, nor to the value of the requested financing and the agreed commission (principle of graduality) - manifestly excessive and disproportionate.</w:t>
        <w:br/>
        <w:t>44. The Professional's freedom in determining the amount of the penalty, which - it is worth remembering, serves to liquidate the damage from non-performance in a preventive and conventional manner, regardless of the actual damage - encounters a legal limit represented by manifest excessiveness which, in the context of contracts concluded by the consumer, presumes its unfairness. The criterion by which to assess whether the amount of the penalty is “manifestly excessive” can be found in the failure to comply with the principle of graduality illustrated above. This principle is also confirmed in the most recent case law30 and aims to ensure, in reciprocal performance contracts such as credit mediation contracts, the respect of the contractual balance, as the performance of one party must find its basis in the counter-performance, in order to avoid situations of undue enrichment to the detriment of the weaker party.</w:t>
        <w:br/>
        <w:t>45. In this regard, the Organization of Agents and Mediators (OAM) has noted that, while considering reasonable the provision of a cost for assistance and preliminary consultancy activities, “if actually provided and resulting from the documentation files of the individual client,” in cases where mediation contracts indicate costs, also due from the client for cases of early withdrawal occurring before the completion of the “matching” service, “such costs should always be correlated to activities actually performed and illustrated ex ante to the consumer in the detailed content of each agreed service.” With specific reference to the provisions of penalties applicable in case of withdrawal and/or violation of the exclusivity agreement, the OAM has stated that “The amounts provided for the client in case of withdrawal must be commensurate with the activity actually performed by the mediation company prior to the withdrawal itself or, in any case, at least, not coincide with the entire amount that would be provided for a mediation service rendered in full, where such activity has been performed only partially (i.e., penalty equal to 100% of the mediation fee). Conversely, an amount of the penalty equal to 100% of the fee would be justified in cases where the mediation activity has effectively resulted in the final approval of the financing or, in any case, has already been fully completed at the time of withdrawal”31.</w:t>
        <w:br/>
        <w:t>46. In light of all the above, the contractual provision in question constitutes a case under article 33, paragraph 2, letters f) and t) of the Consumer Code, as such a clause would have as its object or effect “to impose on the consumer, in case of non-performance or delay in performance, the payment of a sum of money as compensation, penalty clause or other equivalent title of manifestly excessive amount” and to establish against the consumer “limitations on the right to raise objections” and “restrictions on contractual freedom in relations with third parties” even in the presence of objectively justified reasons, and 24MAX has not provided suitable elements to overcome this presumption. In any case, this clause appears to configure a violation of article 33, paragraph 1, of the Consumer Code as, based on the observations above, it is likely to cause a significant imbalance of the rights and obligations arising from the contract, to the detriment of the participating consumers.</w:t>
        <w:br/>
        <w:t>47. That said, 24MAX has represented, during the proceedings, that it has adopted a new version of the contractual model, in which neither the provision of irrevocability of the assignment contained in article 9 of the Contractual Model subject to this proceeding, nor the provision of a penalty against the client for breach of contractual obligations, including the violation of the exclusivity agreement, contained in article 10 of the Contractual Model subject to this proceeding, is repeated.</w:t>
        <w:br/>
        <w:t>It is also noted that the Professional has sent to its clients, following the initiation of this proceeding, a communication to inform them that it will not apply the contested clauses.</w:t>
        <w:br/>
        <w:t>V. QUANTIFICATION OF THE SANCTION</w:t>
        <w:br/>
        <w:t>Pursuant to article 27, paragraph 9, of the Consumer Code, as recalled by article 37-bis of the Consumer Code, the Authority, with the provision that establishes the violation of the regulation of unfair clauses in contracts concluded with consumers, orders the application of an administrative pecuniary sanction from 5,000 to 10,000,000 euros, taking into account the severity and duration of the violation and also the economic and asset conditions of the professional.</w:t>
        <w:br/>
        <w:t>For the purposes of quantifying the sanction, it is noted that article 27, paragraph 9, of the Consumer Code applies to the cases referred to in article 33 of the same Code starting from February 1, 2022, and that the violations in question were found to be in effect on April 2, 2023, the date of entry into force of Legislative Decree No. 26 of March 7, 2023, therefore the limits provided by this decree apply to the case at hand.</w:t>
        <w:br/>
        <w:t>31 V. Doc. 26 cited.</w:t>
      </w:r>
    </w:p>
    <w:p>
      <w:r>
        <w:t>134 BULLETIN NO. 11 OF MARCH 18, 2024</w:t>
        <w:br/>
        <w:t>In the case of a proceeding concerning a plurality of established administrative offenses, the case law has clarified that in the presence of a plurality of offenses with structural and functional autonomy, attributed to the responsibility of the professionals, the criterion of material cumulation of sanctions applies, instead of legal cumulation (see among others, Council of State, Section VI, judgment No. 209 of January 19, 2012).</w:t>
        <w:br/>
        <w:t>Regarding the quantification of the sanction, account must be taken, where appropriate, of the criteria indicated in paragraph 2-ter of article 37-bis and, as applicable, of the criteria identified by article 11 of Law No. 689/81, by virtue of the reference provided in article 37-bis, paragraph 2-quater, of the Consumer Code: in particular, the severity of the violation, the efforts made by the company to eliminate or mitigate the infringement, the personality of the agent, as well as the economic conditions of the company itself.</w:t>
        <w:br/>
        <w:t>Clause A)</w:t>
        <w:br/>
        <w:t>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and the economic size of the Company (as of December 31, 2022, the turnover is between [1,000,000–10,000,000] euros).</w:t>
        <w:br/>
        <w:t>Regarding the duration of the violation, from the available elements in the records, it appears that the clause described in paragraph II, letter A), of this provision has been adopted since December 202032; for the purposes of applying the sanction, however, account is taken of the applicability of article 27, paragraph 9, of the Consumer Code to the cases referred to in article 33 of the same Code starting from February 1, 2022; it is also noted that the clause was modified following the initiation of this proceeding, with the violation ceasing in April 202333.</w:t>
        <w:br/>
        <w:t>Based on these elements, it is deemed appropriate to determine the amount of the applicable administrative pecuniary sanction for 24MAX S.p.A. at 38,247 € (thirty-eight thousand two hundred forty-seven euros).</w:t>
        <w:br/>
        <w:t>Clause B)</w:t>
        <w:br/>
        <w:t>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and the economic size of the Company (as of December 31, 2022, the turnover is between [1,000,000–10,000,000] euros), as well as the absence of cases in which the penalty has been applied during the reference period.</w:t>
        <w:br/>
        <w:t>Regarding the duration of the violation, from the available elements in the records, it appears that the clause described in paragraph II, letter B), of this provision has been adopted since the month of</w:t>
      </w:r>
    </w:p>
    <w:p>
      <w:r>
        <w:rPr>
          <w:b/>
        </w:rPr>
        <w:t>[Pages 133–135]</w:t>
      </w:r>
    </w:p>
    <w:p>
      <w:r>
        <w:t>BULLETIN NO. 11 OF MARCH 18, 2024 135</w:t>
        <w:br/>
        <w:t>December 202034; for the purposes of applying the sanction, however, account is taken of the applicability of article 27, paragraph 9, of the Consumer Code to the cases referred to in article 33 of the same Code starting from February 1, 2022; it is also taken into account that the clause was modified after the initiation of the present proceeding, with the violation ceasing in April 202335.</w:t>
        <w:br/>
        <w:t>Based on these elements, it is deemed appropriate to determine the amount of the administrative pecuniary sanction applicable to 24MAX S.p.A. in the amount of €38,247 (thirty-eight thousand two hundred forty-seven euros).</w:t>
        <w:br/>
        <w:t>CONSIDERING that for the clauses referred to in paragraph II, sub letters A) and B) of this provision, there is a legal presumption of unfairness pursuant to article 33, paragraphs 1 and 2, letters f) and t), of the Consumer Code and that 24MAX has not provided fully sufficient elements to overcome this presumption;</w:t>
        <w:br/>
        <w:t>CONSIDERING, in particular, based on the above considerations, that the clauses described in paragraph II, sub letters A) and B) of this provision, are unfair pursuant to article 33, paragraphs 1 and 2, letter t) of the Consumer Code as they create a significant imbalance in the rights and obligations arising from the contract to the detriment of the consumer;</w:t>
        <w:br/>
        <w:t>CONSIDERING that the new clauses, contained in the contractual module used by 24MAX starting from April 2023, reformulated according to the version produced in the records, are not unfair pursuant to article 33, paragraphs 1 and 2, letters f) and t), of the Consumer Code;</w:t>
        <w:b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on that of the Professional;</w:t>
        <w:br/>
        <w:t>RESOLVES</w:t>
        <w:br/>
        <w:t>a) that the clause referred to in article 4 (“Duration of the contract and exclusivity agreement”) of the Credit Mediation Contract, adopted by 24MAX S.p.A., described in point II of this provision, constitutes a case of an unfair clause pursuant to article 33, paragraphs 1 and 2, letter t), of the Consumer Code, for the reasons and within the limits stated in the motivation, and prohibits its re-proposal;</w:t>
        <w:br/>
        <w:t>b) that the clause referred to in article 10 (“Breach of contractual obligations and penalty”) of the Credit Mediation Contract, adopted by 24MAX S.p.A., described in point II of this provision, constitutes a case of an unfair clause pursuant to article 33, paragraph 2, letters f) and t), of the Consumer Code, for the reasons and within the limits stated in the motivation, and prohibits its re-proposal;</w:t>
        <w:br/>
        <w:t>c) that the new formulation of the clauses referred to in article 4 (“Duration of the contract”) and 5 (“Exclusivity agreement”) of the Credit Mediation Contract, in the version acquired in the records on November 21, 202336, is not unfair pursuant to article 33, paragraphs 1 and 2, letter t), of the Consumer Code, for the reasons and within the limits stated in the motivation;</w:t>
        <w:br/>
        <w:t>d) to impose on 24MAX S.p.A. for the violation referred to in letter a) an administrative pecuniary sanction of €38,247 (thirty-eight thousand two hundred forty-seven euros);</w:t>
        <w:br/>
        <w:t>e) to impose on 24MAX S.p.A. for the violation referred to in letter b) an administrative pecuniary sanction of €38,247 (thirty-eight thousand two hundred forty-seven euros).</w:t>
        <w:br/>
        <w:t>ORDERS</w:t>
        <w:br/>
        <w:t>a) that the company 24MAX S.p.A. publish, at its own expense, an extract of the provision pursuant to article 37-bis of the Consumer Code and article 21, paragraph 8, of the Regulation, according to the following modalities:</w:t>
        <w:br/>
        <w:t>1) the text of the extract of the provision is that reported in the annex to this provision;</w:t>
        <w:br/>
        <w:t>2) the text of the extract of the provision must be published for ten consecutive days on the homepage of the website www.24max.it with adequate graphic prominence, within twenty days from the communication of the adoption of this provision;</w:t>
        <w:b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www.24max.it;</w:t>
        <w:br/>
        <w:t>c) the publication must fully reflect the setting, structure, and appearance of the extract attached to this provision; the writing, printing, and dissemination methods must not be such as to nullify the effects of the publication; in particular, on the webpage of the website publishing the extract, as well as on the remaining pages, there must not be messages that conflict with the content of the extract or that tend to diminish its impact and meaning.</w:t>
        <w:br/>
        <w:t>Pursuant to article 37-bis, paragraph 2, of the Consumer Code, in case of non-compliance with the publication obligation according to the aforementioned modalities, the Authority applies an administrative pecuniary sanction from €5,000 to €50,000.</w:t>
        <w:br/>
        <w:t>The administrative sanction imposed must be paid within thirty days from the notification of this provision, using the tax codes indicated in the attached model F24 with identifying elements, pursuant to Legislative Decree No. 241/1997.</w:t>
        <w:br/>
        <w:t>Payment must be made electronically with a debit on one's bank or postal account, through the home banking and CBI services provided by banks or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Pursuant to article 27, paragraph 12, of the Consumer Code, in case of non-compliance with the injunction referred to in points a) and b) of the device of this provision, the Authority applies an administrative pecuniary sanction from €10,000 to €10,000,000. In cases of repeated non-compliance, the Authority may order the suspension of business activity for a period not exceeding thirty days.</w:t>
        <w:br/>
        <w:t>Against this provision, an appeal may be submitted to the TAR of Lazio, pursuant to article 37-bis, paragraph 4, and article 135, paragraph 1, letter b), of the Administrative Process Code (Legislative Decree July 2, 2010, No. 104), within sixty days from the date of notification of the same,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twenty days from the date of communication of the opinion.</w:t>
        <w:br/>
        <w:t>This provision will be notified to the interested parties and published in the Bulletin of the Competition and Market Authority.</w:t>
        <w:br/>
        <w:t>The extract of the provision will also be published, within twenty days from the communication of its adoption, in a specific section of the institutional website of the Authority.</w:t>
        <w:br/>
        <w:t>THE SECRETARY GENERAL THE PRESIDENT</w:t>
        <w:br/>
        <w:t>Guido Stazi Roberto Rustichelli</w:t>
      </w:r>
    </w:p>
    <w:p>
      <w:r>
        <w:rPr>
          <w:b/>
        </w:rPr>
        <w:t>[Pages 136–138]</w:t>
      </w:r>
    </w:p>
    <w:p>
      <w:r>
        <w:t>138 BULLETIN NO. 11 OF MARCH 18, 2024</w:t>
        <w:br/>
        <w:t>CV236 – 24MAX - EXCLUSIVITY CLAUSES</w:t>
        <w:br/>
        <w:t>Attached to the provision of the Competition and Market Authority of February 27, 2024, regarding administrative protection against unfair clauses pursuant to article 37-bis of the Consumer Code.</w:t>
        <w:br/>
        <w:t>[OMISSIS]</w:t>
        <w:br/>
        <w:t>The clauses subject to investigation are contained in the contractual model called “Credit Mediation Contract – Mortgages” (hereinafter also referred to as “Contractual Model”), published on the website of 24MAX, which the Professional uses for the performance of their credit mediation activity aimed at finding the lending institution for the conclusion of mortgage contracts by consumers. These clauses have been used since December 2020.</w:t>
        <w:br/>
        <w:t>In particular, the following clauses contained in the aforementioned Contractual Model are the subject of this evaluation:</w:t>
        <w:br/>
        <w:t>A) “4. Duration of the contract and exclusivity agreement. b. The mandate is understood to be granted exclusively to the credit mediator until its termination. The client, therefore, for the entire duration of the assignment, may not for any reason grant a similar assignment to another party, nor act on their own with other operators, including non-professionals, to obtain financing”;</w:t>
        <w:br/>
        <w:t>B) “10. Breach of contractual obligations and penalty. The client agrees to pay a sum as a penalty - pursuant to art. 1382 of the Civil Code - equal to one thousand euros (€1000), in the following cases: […] violation of the exclusivity agreement”;</w:t>
        <w:br/>
        <w:t>With reference to clause A), the Professional has been accused of the alleged unfairness of the same pursuant to article 33, paragraphs 1 and 2, letter t) of the Consumer Code, as such clause would have the object or effect of imposing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this clause appears to be capable of constituting a violation of article 33, paragraph 1, of the Consumer Code as it is likely to create a significant imbalance of the rights and obligations arising from the contract, to the detriment of the adhering consumers.</w:t>
        <w:br/>
        <w:t>With reference to clause B), the Professional has been accused of the alleged unfairness of the same pursuant to article 33, paragraphs 1 and 2, letters f) and t) of the Consumer Code, as such clause would have the object or effect of “imposing on the consumer, in case of non-fulfillment or delay in fulfillment, the payment of a sum of money as compensation, penalty clause or other equivalent title of manifestly excessive amount” and of imposing on the consumer “limitations on the right to raise objections” and “restrictions on contractual freedom in relations with third parties” even in the presence of objectively justified reasons. In any case, this clause appears to be capable of constituting a violation of article 33, paragraph 1, of the Consumer Code as, based on the above observations, it is likely to create a significant imbalance of the rights and obligations arising from the contract, to the detriment of the adhering consumers.</w:t>
        <w:br/>
        <w:t>[OMISSIS]</w:t>
        <w:br/>
        <w:t>Therefore, we proceed to evaluate the individual profiles of unfairness for each relevant contractual provision.</w:t>
        <w:br/>
        <w:t>[OMISSIS]</w:t>
        <w:br/>
        <w:t>CONSIDERED, in particular, based on the above considerations, that the clauses described in paragraph II, sub letters A) and B) of this provision, are unfair pursuant to articles 33, paragraphs 1 and 2, letters f) and t) of the Consumer Code as they create, to the detriment of the consumer, a significant imbalance of the rights and obligations arising from the contract;</w:t>
        <w:br/>
        <w:t>CONSIDERED that the new clauses, contained in the contractual model used by 24MAX since April 2023, reformulated according to the version submitted in the proceedings, are not unfair pursuant to articles 33, paragraphs 1 and 2, letters f) and t), of the Consumer Code;</w:t>
        <w:br/>
        <w:t>[OMISSIS]</w:t>
        <w:br/>
        <w:t>RESOLVES</w:t>
        <w:br/>
        <w:t>a) that the clause referred to in article 4 (“Duration of the contract and exclusivity agreement”) of the Credit Mediation Contract, adopted by 24MAX S.p.A., described in point II of this provision, constitutes a case of an unfair clause pursuant to article 33, paragraphs 1 and 2, letter t), of the Consumer Code, for the reasons and within the limits stated in the motivation, and prohibits its re-proposal;</w:t>
        <w:br/>
        <w:t>b) that the clause referred to in article 10 (“Breach of contractual obligations and penalty”) of the Credit Mediation Contract, adopted by 24MAX S.p.A., described in point II of this provision, constitutes a case of an unfair clause pursuant to article 33, paragraph 2, letters f) and t), of the Consumer Code, for the reasons and within the limits stated in the motivation, and prohibits its re-proposal;</w:t>
        <w:br/>
        <w:t>c) that the new formulation of the clauses referred to in article 4 (“Duration of the contract”) and 5 (“Exclusivity Agreement”) of the Credit Mediation Contract, in the version acquired in the proceedings on November 21, 2023, is not unfair pursuant to article 33, paragraphs 1 and 2, letter t), of the Consumer Code, for the reasons and within the limits stated in the motivation;</w:t>
        <w:br/>
        <w:t>[OMISSIS]</w:t>
      </w:r>
    </w:p>
    <w:p>
      <w:r>
        <w:t>140 BULLETIN NO. 11 OF MARCH 18, 2024</w:t>
        <w:br/>
        <w:t>CV237 - LINK SOLUZIONI - EXCLUSIVITY CLAUSES</w:t>
        <w:br/>
        <w:t>Provision No. 31102</w:t>
        <w:br/>
        <w:t>THE COMPETITION AND MARKET AUTHORITY</w:t>
        <w:br/>
        <w:t>IN ITS MEETING of February 27, 2024;</w:t>
        <w:br/>
        <w:t>HEARD the Rapporteur, Professor Elisabetta Iossa;</w:t>
        <w:br/>
        <w:t>HAVING REGARD TO Part III, Title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resolutions of March 7, 2023, May 2, 2023, June 28, 2023, August 29, 2023, October 31, 2023, and December 19, 2023, with which, pursuant to article 7, paragraph 3, of the Regulation, the deadline for concluding the procedure was extended;</w:t>
        <w:br/>
        <w:t>HAVING REGARD TO the documents of the procedure;</w:t>
        <w:br/>
        <w:t>CONSIDERED the following</w:t>
        <w:br/>
        <w:t>I. THE PARTY</w:t>
        <w:br/>
        <w:t>1. Link Soluzioni S.r.l. (hereinafter, also Link Soluzioni or the Professional or the Company), belonging to Link Holding S.r.l. The Company is active in the field of mediation and consultancy activities related to the granting of mortgages and personal loans. The Company's financial statements for the fiscal year ending December 31, 2022, report revenues of €770,0171.</w:t>
        <w:br/>
        <w:t>II. THE CLAUSES SUBJECT TO EVALUATION</w:t>
        <w:br/>
        <w:t>2. The clauses subject to investigation are contained in the contractual model called “Credit Mediation Mandate” (hereinafter also referred to as “Contractual Model”) used by the Professional for the performance of their credit mediation activity, aimed at finding the lending institution for the conclusion of mortgage contracts by consumers. This Contractual Model consists of the “Summary Document,” which reports the most significant contractual and economic conditions, the “Credit Mediation Mandate,” containing the contractual conditions, the “Annex 1 Credit Mediation Mandate,” which includes the data of the applicant and the personal, income, and asset documents requested by Link Soluzioni or provided by the client, and the “Annex 2 Credit Mediation Mandate,” which includes the data of the applicant and the documents related to the property requested by Link Soluzioni or provided by the client.</w:t>
        <w:br/>
        <w:t>3. The clauses contained in the aforementioned Contractual Model and transcribed below are the subject of this evaluation:</w:t>
        <w:br/>
        <w:t>1 See Doc. 27 of the Index of the File (Minutes of document acquisition – 2022 Financial Statements of Link Soluzioni)</w:t>
      </w:r>
    </w:p>
    <w:p>
      <w:r>
        <w:rPr>
          <w:b/>
        </w:rPr>
        <w:t>[Pages 139–141]</w:t>
      </w:r>
    </w:p>
    <w:p>
      <w:r>
        <w:t>BULLETIN NO. 11 OF MARCH 18, 2024 141</w:t>
        <w:br/>
        <w:t>A) “4) Duration of the contract, economic conditions, and exclusivity agreement.</w:t>
        <w:br/>
        <w:t>a) This contract shall have a duration of 270 (two hundred seventy) days from the date of signing and acceptance and shall therefore expire on the day [...]. After the first contractual period, the contract shall automatically and tacitly renew for each contractual period, unless one of the Parties communicates to the other, at least 90 days prior to expiration, its intention to withdraw from the contract.</w:t>
        <w:br/>
        <w:t>c) The Mandate is understood to be granted to the Credit Mediator exclusively until its termination. The client, therefore, for the entire duration of the Mandate, may not for any reason grant an assignment for the performance of the activities covered by it, nor act on its own with other operators, even non-professionals, for obtaining the Financing.”</w:t>
        <w:br/>
        <w:t>B) “9) Penalty for non-compliance and/or delay for early withdrawal.</w:t>
        <w:br/>
        <w:t>If the client violates the exclusivity agreement referred to in the above article 4, the Client shall pay Link Soluzioni S.r.l. a sum as a penalty equal to 100% of the amount agreed as commission in article 5.1 (...).”</w:t>
        <w:br/>
        <w:t>4. With reference to clause A), the Professional has been challenged regarding the alleged unfairness of the same pursuant to article 33, paragraphs 1 and 2, letter t) of the Consumer Code, as such clause would have as its object or effect to impose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such clause would still be capable of constituting a violation of article 33, paragraph 1, of the Consumer Code as it is likely to create a significant imbalance of the rights and obligations arising from the contract, to the detriment of the adhering consumers.</w:t>
        <w:br/>
        <w:t>5. With reference to clause B), the Professional has been challenged regarding the alleged unfairness of the same pursuant to article 33, paragraphs 1 and 2, letters f) and t) of the Consumer Code, as such clause would have as its object or effect to “impose on the consumer, in case of non-compliance or delay in compliance, the payment of a sum of money as compensation, penalty clause or other equivalent title of manifestly excessive amount” and to impose on the consumer “limitations on the ability to raise objections” and “restrictions on contractual freedom in relations with third parties” even in the presence of objectively justified reasons. In any case, such clause would still be capable of constituting a violation of article 33, paragraph 1, of the Consumer Code as it is likely to create a significant imbalance of the rights and obligations arising from the contract, to the detriment of the adhering consumers.</w:t>
      </w:r>
    </w:p>
    <w:p>
      <w:r>
        <w:t>142 BULLETIN NO. 11 OF MARCH 18, 2024</w:t>
        <w:br/>
        <w:t>III. THE INSTRUCTIONAL FINDINGS</w:t>
        <w:br/>
        <w:t>a) The procedure's course</w:t>
        <w:br/>
        <w:t>6. Based on the information and documentation received on September 23, 2022, following a request for information sent on September 21, 2022, to the Professional, on October 12, 2022, the procedure CV237 was initiated against Link Soluzioni.</w:t>
        <w:br/>
        <w:t>7. Concurrently with the communication of the initiation of the procedure, a request for information was made to Link Soluzioni, pursuant to article 12, paragraph 1 of the Regulation, also requesting elements to overcome the presumption of unfairness referred to in article 33, paragraph 2, letters f) and t) of the Consumer Code.</w:t>
        <w:br/>
        <w:t>8. On October 12, 2022, after informing the Authority, a notice for public consultation regarding unfair clauses was published for 30 days on the Authority's official website (www.agcm.it) pursuant to article 37-bis, paragraph 1, of the Consumer Code and article 23, paragraph 6, of the Regulation. The public consultation concluded on November 11, 2022, and on the same date, observations were received from the consumer associations Codacons and U.Di.Con.</w:t>
        <w:br/>
        <w:t>9. On November 11, 2022, Link Soluzioni's response to the request for information made in the initiation communication was received, along with a request for a hearing.</w:t>
        <w:br/>
        <w:t>10. On December 21, 2022, Link Soluzioni was heard in a hearing.</w:t>
        <w:br/>
        <w:t>11. On April 18, 2023, a request for information was sent to the Professional, which was responded to by the Company with communication on May 19, 2023.</w:t>
        <w:br/>
        <w:t>12. On November 6, 2023, the hearing of the Body for the management of the lists of Credit Agents and Brokers (hereinafter, OAM) requested by the aforementioned Body took place in order to provide the Authority with its contribution for the assessments related to the cases subject to this procedure.</w:t>
        <w:br/>
        <w:t>13. On December 19, 2023, Link Soluzioni was notified of the conclusion date of the instructional phase pursuant to article 16, paragraph 1, as referred to in article 23, paragraph 1, of the Regulation.</w:t>
        <w:br/>
        <w:t>14. On January 18, 2024, Link Soluzioni submitted its final memorandum.</w:t>
        <w:br/>
        <w:t>2 See Doc. 3 of the Index of the File (Arrival of Various Information prot. 0072185 of 09/23/2022).</w:t>
        <w:br/>
        <w:t>3 See Doc. 2 of the Index of the File (Request for Information prot. 0071558 of 09/21/2022).</w:t>
        <w:br/>
        <w:t>4 See Doc. 4 of the Index of the File (Initiation of Procedure prot. 0076833 of 10/12/2022).</w:t>
        <w:br/>
        <w:t>5 See Doc. 7 of the Index of the File (Minutes of Document Acquisition dated 12/14/2022 of the documentation received in the public consultation box on November 11, 2022).</w:t>
        <w:br/>
        <w:t>6 See Doc. 5 of the Index of the File (Memorandum prot. 0087962 of 11/11/2022).</w:t>
        <w:br/>
        <w:t>7 See Doc. 10 of the Index of the File (Transmission of Hearing Minutes prot. 0017450 of 02/01/2023).</w:t>
        <w:br/>
        <w:t>8 See Doc. 13 of the Index of the File (Request for Information prot. 0037469 of 04/18/2023).</w:t>
        <w:br/>
        <w:t>9 See Doc. 15 of the Index of the File (Memorandum prot. 0045623 of 05/19/2023).</w:t>
        <w:br/>
        <w:t>10 See Doc. 19 of the Index of the File (Minutes of document acquisition of OAM's contribution dated November 15, 2023).</w:t>
        <w:br/>
        <w:t>11 See Doc. 21 of the Index of the File (Communication of the Deadline for the Conclusion of the Instructional Phase prot. 0104605 of 12/19/2023).</w:t>
        <w:br/>
        <w:t>12 See Doc. 26 of the Index of the File (Final memorandum prot. n. 0014260 of 01/01/2024).</w:t>
      </w:r>
    </w:p>
    <w:p>
      <w:r>
        <w:t>BULLETIN NO. 11 OF MARCH 18, 2024 143</w:t>
        <w:br/>
        <w:t>b) The outcomes of the consultation on the Authority's website</w:t>
        <w:br/>
        <w:t>15. During the consultation, on November 11, 2022, U.Di.Con. noted the unfairness of the clauses subject to challenge in the initiation communication, highlighting the sensitivity of the sector they aim to regulate and emphasizing that the aforementioned clauses are likely to create a serious imbalance in the contractual exchange, granting the Professional every broader margin of action and limiting the negotiating rights of the consumer.</w:t>
        <w:br/>
        <w:t>16. On November 11, 2022, Codacons also noted the unfairness of the clauses in question, highlighting that the clauses included in Link Soluzioni's contracts impose a heavy and unjustified burden on the user. In particular, Codacons emphasized that the exclusivity clause appears unfair as it prevents the client from seeking more favorable and faster financing; this contractual provision, along with the penalty provided for in case of early withdrawal, imposes an unjustified burden on the contracting party.</w:t>
        <w:br/>
        <w:t>c) The evidence acquired</w:t>
        <w:br/>
        <w:t>17. From the documentation on file, it emerged that the number of credit mediation contracts related to the granting of mortgage loans concluded in the year 2022 was [10–100]* and in the same year Link Soluzioni received revenues, in the form of commissions, of [less than 1 million euros], of which [1,000–50,000] € for due diligence activities.</w:t>
        <w:br/>
        <w:t>18. With respect to clause A), regarding the activities covered by the credit mediation assignment carried out with exclusivity by Link Soluzioni, article 2 of the Contractual Model provides that such activities consist, in summary, of: a) preliminary feasibility study; b) documentary pre-instruction; c) financial and asset analysis; d) identification of the credit institution that presents the proposals most suitable to the client's needs; e) transmission to the credit institution of the loan request and related documentation; f) assistance during the procedural process of the loan application until the eventual completion of the financing; g) support in receiving the response from the credit institution; h) assistance until the eventual signing of the notarial deed.</w:t>
        <w:br/>
        <w:t>19. Considering the activities described above, the Professional estimated costs for the execution of credit mediation assignments related to the year 2022 to be [less than 1 million euros] (of which [1,000–50,000] € for the due diligence service), attributable to structural costs, such as, among others, personnel costs, rental costs, utility costs, costs for compliance with regulations, legal and administrative costs.</w:t>
        <w:br/>
        <w:t>20. In relation to the type of financial products that the Company offers to its clients, it emerged that within the agreements signed with some credit institutions, there is no provision for the possibility of offering its clients exclusive financial products or financial products on advantageous terms. The criteria for identifying the financing institutions proposed to the client would reside solely in compliance with the credit policy in the matter of</w:t>
        <w:br/>
        <w:t>* In this version, some data are omitted, as elements of confidentiality or secrecy of the information were deemed to exist.</w:t>
      </w:r>
    </w:p>
    <w:p>
      <w:r>
        <w:rPr>
          <w:b/>
        </w:rPr>
        <w:t>[Pages 142–144]</w:t>
      </w:r>
    </w:p>
    <w:p>
      <w:r>
        <w:t>144 BULLETIN NO. 11 OF MARCH 18, 2024</w:t>
        <w:br/>
        <w:t>“debt-to-income ratio,” Loan To Value (LTV), and duration of the loan based on the age of the applicants15. In this regard, the Professional stated that he does not offer any specific additional service to clients who grant the exclusive assignment16.</w:t>
        <w:br/>
        <w:t>21. Regarding the duration of the exclusive assignment of the credit mediation in favor of Link Soluzioni, it is set in the contract (Article 4) at 270 days from the date of signing, with a provision for automatic and tacit renewal of the same contract, unless one of the Parties communicates to the other, at least 90 days prior to the expiration, its intention to withdraw from the contract. In the “Information Sheet of the credit mediator Link Soluzioni S.r.l.,” it is instead provided that “The credit mediation contract will have a duration of 270 (two hundred seventy) days from the signing of the same. After this term, the contractual obligation is understood to be automatically terminated without the need for cancellation by either party.”</w:t>
        <w:br/>
        <w:t>22. From the analysis of the data provided by Link Soluzioni regarding the loan contracts concluded in 2022, it emerged that in about 52% of cases, the average time elapsed between the date of signing the mediation contract and the date of signing the loan contract was 96 days17.</w:t>
        <w:br/>
        <w:t>23. Regarding clause sub B), the documentation in the records revealed that the total revenues received by the Professional in 2022 as penalties amounted to euro [15,000–60,000]18, including penalties applied for client defaults other than the violation of the exclusivity agreement.</w:t>
        <w:br/>
        <w:t>e) The arguments made by Link Soluzioni and the elements provided by the professional during the proceedings</w:t>
        <w:br/>
        <w:t>24. On the merits of the evaluation of the individual clauses affected by the initiation of the present proceedings, Link Soluzioni made considerations aimed at justifying the rationale for their inclusion in the module, as well as clarifying their content, denying their unfair nature.</w:t>
        <w:br/>
        <w:t>25. In particular, with reference to clause sub A), the Professional represented that, following the reform enacted by Legislative Decree No. 141 of August 13, 2010, which came into force in 2012, and due to the stringent rules imposed by the new sector regulations and the controls of the Supervisory Body of Agents and Brokers (OAM), the Company underwent an organizational restructuring as a result of which “the procurement and access to credit for the end user becomes longer and more laborious, as it is necessary to establish, for each individual application aimed at obtaining financing for the consumer, specific negotiations with the credit institutions where the applications are submitted, with the consequence that each individual application cannot be managed according to standard methods, but requires constant intervention from Link Soluzioni S.r.l. precisely in order to meet the numerous and varied requests that come from the credit institutions to approve the financing requested by the client.”</w:t>
        <w:br/>
        <w:t>15 V. Doc. 15 cit., p. 11.</w:t>
        <w:br/>
        <w:t>16 V. Doc. 15 cit., p. 5.</w:t>
        <w:br/>
        <w:t>17 V. Doc. 15 cit., Annex 1.</w:t>
        <w:br/>
        <w:t>18 V. Doc. 15 cit., p. 7.</w:t>
      </w:r>
    </w:p>
    <w:p>
      <w:r>
        <w:t>BULLETIN NO. 11 OF MARCH 18, 2024 145</w:t>
        <w:br/>
        <w:t>26. The Professional also highlighted that “the intervention of the credit mediator can only be carried out in compliance with the exclusivity obligation which, in its absence, would risk undermining the very work of the credit mediator and, even worse, the interest of the client, as the submission of multiple financing requests from the same client by multiple parties simultaneously is not only frowned upon by the banking system but, above all, jeopardizes the client's ability to obtain the loan.” Therefore, the Professional believes that the provision of the exclusivity agreement linked to the duration of the credit mediation mandate constitutes a prerequisite for such a contract, since in its absence, the consumer would risk being harmed.</w:t>
        <w:br/>
        <w:t>27. Link Soluzioni pointed out that, over the past few years, the Company has been subject to inspection checks by the OAM that also involved the analysis of the credit mediation contract and that nothing emerged regarding the part related to the exclusivity obligation, already contained in the previous contractual model, nor regarding the duration and the provision of the penalty in case of violation of this agreement.</w:t>
        <w:br/>
        <w:t>28. The Company also represented that the contractual provisions subject to the present proceedings would always be the subject of specific individual negotiation with the client before their signing “also in the sense of a joint reading with the client and a specific explanation of the various terms and effects; signed only after a period of consideration” and are expressly approved by affixing the signature on each page of the contract, as well as approved within the contract with a double contractual signature19. Therefore, the consumer would have the alternative option to request modifications, accept such clauses as expressed in the contract, or not adhere to the contract proposed by Link Soluzioni. In this regard, the Professional produced the “minutes of the statements and information provided to the defense” containing the statements made on 09/12/2022 to the legal representatives of the Professional by the spouse of the legal representative of Link Soluzioni S.r.l. and an employee of the Company, who stated that all personnel of Link Soluzioni provide the client, before signing the credit mediation contract, with the summary document containing the main contractual clauses and the pre-contractual documentation, reading together with the client at least the main clauses, including Article 4 on duration, the economic conditions, the exclusivity agreement, and Article 9 regarding penalties20.</w:t>
        <w:br/>
        <w:t>29. With specific reference to the duration of the assignment and, consequently, the exclusivity agreement, the Professional represented that for the completion of the activities subject to the credit mediation assignment, including the disbursement of the requested financing, approximately 160 working days are required, which correspond to 240 calendar days in the case of normal and linear management of the application. The average “gestation” time of Link Soluzioni's applications would, therefore, be susceptible to extensions, with the occurrence of unpredictable events such as the client's failure to transmit the requested documentation or the need to carry out urban regularization activities concerning the property to be purchased, but, above all, in cases where the property to be purchased is not yet in the client's possession.</w:t>
        <w:br/>
        <w:t>19 V. Doc. 5 cit., p. 22.</w:t>
        <w:br/>
        <w:t>20 V. Doc. 8 of the File Index (Transmission Minutes of Statements and Information – prot. n. 0099005 of 16/12/2022).</w:t>
      </w:r>
    </w:p>
    <w:p>
      <w:r>
        <w:t>146 BULLETIN NO. 11 OF MARCH 18, 2024</w:t>
        <w:br/>
        <w:t>Specifically, the Professional represented that the average duration of credit mediation assignments was [100-500] days in 2021 and [100-500] in 202221.</w:t>
        <w:br/>
        <w:t>30. On this point, the Company noted, in the concluding memorandum, that the duration of the assignment illustrated above would not be excessive also in light of what was stated by the OAM in the contribution submitted in the present proceedings, where it is stated that a duration of 6 months for the assignment would be considered reasonable.</w:t>
        <w:br/>
        <w:t>31. Regarding clause sub B), the Professional represented that the penalty clause at 100% of the credit mediation fee constitutes an essential element that must be balanced with the very nature of the contract, since the type of service offered requires constraints that benefit the negotiation and the activities carried out by Link Soluzioni on behalf of the client. In the event that the client were to undertake activities aimed at obtaining financing in another way, Link Soluzioni would risk undermining its seriousness and professionalism. Therefore, the penalty in question would not be manifestly excessive considering the importance and complexity of the activities carried out by Link Soluzioni.</w:t>
        <w:br/>
        <w:t>32. The Company also noted that it would be impossible to include in the contract a detailed listing of the costs related to each of the activities subject to the assignment (emails, phone calls, database searches, document examination, etc.) and that therefore the only way to quantify the penalty is to parameterize it to the agreed commission. In this regard, it highlighted that the measure of 100% of the commission would be justified since most of the activity is performed in the initial phase preparatory to sending the financing applications to the various credit institutions.</w:t>
        <w:br/>
        <w:t>33. The Company further emphasized that the exclusivity clause in question has been subject to judicial evaluation by the Court of Padua (R.G. No. 9845 of 2017), which with judgment No. 1534 of 2019, published on September 17, 2019, deemed the clause not unfair pursuant to Articles 33 and 34 of the Consumer Code.</w:t>
        <w:br/>
        <w:t>34. With reference to the circumstances to be evaluated for the purpose of determining any administrative monetary sanction, the Professional particularly noted that, regarding the “duration” of the violation, account should be taken of the long duration of the present proceedings due to circumstances not attributable to Link Soluzioni. Regarding the “seriousness” of the violation, the Company highlighted that the clauses in question have been adopted since January 1, 2022, and that no client has suffered damages as a result of the aforementioned clauses, as the Company has not received any complaints or disputes on this point. Furthermore, the Professional believes that it cannot be overlooked that the clauses subject to the present proceedings have already been examined by both the Civil Judge and the OAM, with the consequence that Link Soluzioni acted in good faith and based on legitimate reliance. For these reasons, the Company believes that any sanction should be imposed at the lowest possible measure.</w:t>
        <w:br/>
        <w:t>IV. CONCLUDING EVALUATIONS</w:t>
        <w:br/>
        <w:t>35. In general, it is worth noting that the consumer protection system regarding unfair clauses contained in Articles 33 and following of the Consumer Code is based on the assumption that the consumer finds himself in a situation of inferiority compared to the professional in terms of</w:t>
      </w:r>
    </w:p>
    <w:p>
      <w:r>
        <w:rPr>
          <w:b/>
        </w:rPr>
        <w:t>[Pages 145–147]</w:t>
      </w:r>
    </w:p>
    <w:p>
      <w:r>
        <w:t>BULLETIN NO. 11 OF MARCH 18, 2024 147</w:t>
        <w:br/>
        <w:t>regarding both the power in negotiations and the level of information, a situation that leads him to adhere to the conditions set without being able to influence their content. Therefore, the aforementioned regulatory framework is aimed at providing incisive and significant protection to that party, the consumer, generally endowed with less bargaining power, through the assertion of a contractual balance capable of restoring equality between the professional and the consumer.</w:t>
        <w:br/>
        <w:t>36. The following assessments concern the clauses indicated in paragraph II of this provision that present profiles of unfairness pursuant to the provisions of article 33 of the Consumer Code. At the initiation of the procedure, it was indicated to Link Soluzioni that, for the clauses attributable to the list referred to in article 33, paragraph 2, of the Consumer Code, a presumption of unfairness is provided with a simultaneous reference to the burden of providing elements that constitute contrary evidence to this presumption, and Link Soluzioni did not provide suitable elements to overcome this presumption.</w:t>
        <w:br/>
        <w:t>37. On this point, it is noted that, as is known, article 34, paragraph 4, of the Consumer Code excludes from the judgment of unfairness the clauses or elements of clauses that have been the subject of individual negotiation.</w:t>
        <w:br/>
        <w:t>38. With reference to the clauses under evaluation, Link Soluzioni has represented that they would always be subject to individual negotiation, as consumers would be placed in a position to know and understand the content of all contractual clauses.</w:t>
        <w:br/>
        <w:t>39. In this regard, it is noted that the Authority, pursuant to article 37-bis of the Consumer Code, evaluates the unfairness of the clauses included in contracts between professionals and consumers that are concluded by adherence to general contract conditions or by signing forms, models, or templates, from an ex ante perspective that rests on the preparation of the clauses for generalized use and that necessarily disregards the events concerning the individual contract, within which one or more clauses may be the subject of individual negotiation. Moreover, in this specific case, it cannot be considered proven by the Professional that the clauses in question are always subject to individual negotiation with the consumer that has the characteristics of effectiveness since, first of all, such negotiation cannot consist merely of illustrating to the consumer the content of the clause but rather in the possibility for the consumer to contribute to its formation and, in any case, the statements made for this purpose by the employee married to the legal representative of the Professional cannot be considered relevant.</w:t>
        <w:br/>
        <w:t>40. That said, the evaluation of the individual profiles of unfairness for each contractual provision subject to this procedure is carried out below.</w:t>
        <w:br/>
        <w:t>A. Clause for the assignment of the credit mediation mandate with an exclusivity agreement</w:t>
        <w:br/>
        <w:t>41. In clause A), described in point II of this provision, the assignment of the mandate to Link Soluzioni is provided exclusively, as the only method of assignment, with the consequence that the Professional can count on the fact that the client does not conclude the same financing through other mediators, while the consumer is denied the possibility of independently seeking other forms of financing for the entire duration of the mandate.</w:t>
        <w:br/>
        <w:t>42. For the purposes of evaluating the unfairness of this clause, it is considered that, first of all, it cannot be overlooked that the average type of consumer who avails themselves of financial intermediation services also includes consumers with a lower level of financial education or with characteristics that determine a lower creditworthiness, who - considering the particular complexity of the financial sector, characterized by significant information asymmetry - are, for these reasons, willing to bear, within the context of a real estate purchase operation and financing of the same purchase, also the additional economic burden associated with financial intermediation services. Also considering this type of average consumer, and thus the significant information asymmetry that characterizes the sector in which the Professional operates, it is believed that the disadvantage that the consumer incurs by granting the mandate with exclusivity (the impossibility of obtaining the necessary financing in another way) must be adequately compensated by the credit mediator who, from this option, receives, on the other hand, the advantage of not running the risk of seeing their work undermined by the competing activity carried out by other intermediaries or by the client themselves.</w:t>
        <w:br/>
        <w:t>43. It is also important to emphasize that the significant imbalance that arises from the contractual arrangement examined above must also be evaluated in light of the dynamics of the real estate purchase process, often characterized by essential terms imposed on the purchasing party whose non-compliance produces irreparable legal effects (for example, the loss of the deposit paid upon signing the preliminary contract). Therefore, in the case of granting the mandate with an exclusivity agreement, the consumer who finds themselves needing to obtain financing for the purchase of a property by a certain deadline would not be able to turn to other operators for the provision of financing, should the credit mediator they approached and/or the credit institution intermediated be unable to meet that deadline. It is evident, therefore, how this disadvantage cannot fail to receive adequate balancing (by way of mere example, one might think of greater economic accessibility of the service, the possibility of receiving financial products otherwise unavailable on the market, or, again, the indication by the mediator of shorter terms within which the client can receive information on the granting of financing, or a greater specification of the economic conditions of the requested financing), in the absence of which an inevitable imbalance of rights and obligations between the contractual parties would arise.</w:t>
        <w:br/>
        <w:t>44. That said, the evaluation of the unfairness of this clause is carried out in light of the combination of it with other contractual elements, such as the presence of a penalty in case of violation of the exclusivity agreement, the duration of the contract, and the definiteness of the contractual obligations placed on the credit mediator.</w:t>
        <w:br/>
        <w:t>45. In this case, the significant imbalance in favor of the Professional of the exclusivity clause is determined by the provision of a duration of the mandate, and consequently of the exclusivity obligation, equal to 270 days from the date of signing it (article 4 of the Contractual Model) - moreover automatically renewable for an equal duration unless terminated with ample notice - which is excessively long even compared to the average times for obtaining the mortgage as represented by the same Company. This imbalance is further aggravated by the provision of a penalty applicable to the consumer in case of violation of the exclusivity agreement and by the fact that the contractual text lacks suitable advantages for the consumer and/or specific obligations on the part of the Professional aimed at ensuring balance between the parties.</w:t>
        <w:br/>
        <w:t>46. In light of the above, it is believed that the combined reading of the exclusivity clause contained in the Contractual Model used by Link Soluzioni with the remaining clauses present in the aforementioned Contractual Model results in a significant imbalance to the detriment of the consumer. In fact, the consumer, on the one hand, remains bound to the Professional for a significant period of time, without receiving any benefit from granting the mandate with exclusivity (as confirmed by the same Company), without having tools that allow them to assess the correctness and timeliness of the Professional's actions and is subject to the payment of a penalty in case of violation of the exclusivity agreement; on the other hand, the Professional can benefit from a long duration of the mandate, being able to count on the fact that the client does not conclude in the meantime the same financing through other mediators, without any specification of their contractual obligations in relation to the mandate received and without any balancing.</w:t>
        <w:br/>
        <w:t>47. In this regard, Link Soluzioni has represented that the duration of the mandate equal to 270 days would be influenced mainly by cases where the client has not yet identified the property to be purchased, for which, therefore, it is necessary to also account for the time required to search for it. On this point, it should be noted that, however, the clause, of general application, does not provide exceptions regarding the duration of the obligation for those who have already identified the property to be purchased, for which the duration of the exclusivity agreement is unreasonably long compared to the average times for mortgage disbursement recorded by the same Company: in about 52% of the mortgage contracts intermediated in 2022, the average time elapsed between the date of signing the intermediation contract and the date of signing the mortgage contract was, in fact, equal to 96 days, significantly shorter than the contractual duration.</w:t>
        <w:br/>
        <w:t>48. In this regard, the reference by the Professional to what was represented by the OAM regarding a reasonable duration of credit mediation mandates in mortgage loans, indicated by the aforementioned Body as six months, also appears to lack merit. In this regard, it should be noted, in fact, that not only is the duration indicated by the OAM still far shorter than the duration of 270 days provided by Link Soluzioni in its Contractual Model, but that the indication provided by the OAM is merely illustrative and provided without knowledge of the actual average duration of the mandates undertaken by Link Soluzioni.</w:t>
        <w:br/>
        <w:t>49. The fact that concurrent mortgage applications may jeopardize the successful outcome of the requested financing does not allow the exclusivity clause to be evaluated as “reasonable” and “necessary,” as claimed by the Professional. The “necessity” of the exclusivity clause is, in fact, contradicted by the fact that the eventual concurrency of mortgage applications does not constitute an obstacle to the granting of financing, as demonstrated by the fact that there are operators in the market who operate without an exclusivity clause. The “reasonableness” of the exclusivity clause, and precisely the circumstance that in credit mediation contracts this clause may also respond to a consumer interest in addition to that of the professional, does not eliminate the necessity that, where such a clause results in a significant imbalance in favor of the credit mediator (as highlighted above), such imbalance must be adequately compensated.</w:t>
        <w:br/>
        <w:t>50. In light of the aforementioned considerations, the contractual provision under examination constitutes a case under article 33, paragraph 2, letter t) of the Consumer Code, as such clause would have as its object or effect to impose on the consumer “restrictions on contractual freedom in relations with third parties” and Link Soluzioni has not provided suitable elements to overcome this presumption. In any case, this clause appears to be capable of configuring a violation of article 33, paragraph 1, of the Consumer Code as, based on the above observations,</w:t>
      </w:r>
    </w:p>
    <w:p>
      <w:r>
        <w:rPr>
          <w:b/>
        </w:rPr>
        <w:t>[Pages 148–150]</w:t>
      </w:r>
    </w:p>
    <w:p>
      <w:r>
        <w:t>150 BULLETIN NO. 11 OF MARCH 18, 2024</w:t>
        <w:br/>
        <w:t>is likely to create a significant imbalance of rights and obligations arising from the contract, to the detriment of the participating consumers.</w:t>
        <w:br/>
        <w:t>B. Clause providing for a penalty for violation of the exclusivity agreement.</w:t>
        <w:br/>
        <w:t>51. In clause B), described in point II of this provision, the consumer is required to pay the Professional a penalty for violation of the exclusivity agreement, amounting to 100% of the agreed commission.</w:t>
        <w:br/>
        <w:t>52. This contractual provision creates a significant imbalance to the detriment of the consumer in that the particularly burdensome amount of this penalty is not in any way correlated either to the time elapsed since the assignment was given or to the actual activity carried out by the Professional, thus being manifestly excessive and disproportionate (principle of graduality).</w:t>
        <w:br/>
        <w:t>53. The Professional's freedom to determine the amount of the penalty, which - it is worth noting - serves to liquidate the damage from non-performance in a preventive and conventional manner, regardless of the actual damage, encounters a legal limit represented by the manifest excessiveness that, in the context of contracts concluded by the consumer, presumes its unfairness. The criterion for assessing whether the amount of the penalty is "manifestly excessive" can be found in the failure to comply with the principle of graduality outlined above. This principle is also confirmed by the most recent case law22 and aims to ensure, in reciprocal performance contracts such as credit mediation contracts, respect for the contractual balance, as the performance of one party must be based on the counter-performance, in order to avoid situations of undue enrichment to the detriment of the weaker party.</w:t>
        <w:br/>
        <w:t>54. The clause, which provides for a penalty equal to 100% of the agreed commission, in fact grants the Professional the right to compensation automatically, if unlinked from the time elapsed since the assignment was given and from the actual activity carried out by the Professional, leads to the result of constituting, in favor of the credit mediator, a position rent, negatively impacting the contractual balance in the relationship between the professional and the consumer expressly provided for by article 33 of the Consumer Code.</w:t>
        <w:br/>
        <w:t>55. Regarding the clause in question, the judgment cited by the Party, in which the Court of Padua declared its non-unfairness in 2019, cannot be deemed relevant, given that there is a contrary and subsequent case law orientation from the Court of Cassation23.</w:t>
        <w:br/>
        <w:t>56. Similarly irrelevant is the argument that the Party did not receive any remarks from the OAM, as this Organization is not responsible for the application of the regulations concerning unfair clauses. In this regard, the OAM has also noted, with specific reference to the provisions of penalties applicable in case of withdrawal and/or violation of the exclusivity agreement, that "The amounts charged to the client in case of withdrawal must be commensurate with the activity actually carried out by the mediation company prior to the withdrawal or, in any case, at least not coincide with the entire amount that would be provided for a mediation service rendered in full, where such activity has only been partially carried out (i.e. penalty equal to 100% of the mediation fee). Conversely, an amount of the penalty equal to 100% of the fee would be justified in cases where the mediation activity has effectively resulted in the final approval of the financing or, in any case, has already been fully completed at the time of withdrawal”24.</w:t>
        <w:br/>
        <w:t>57. Therefore, the clause that provides for a penalty equal to the amount agreed for the conclusion of the deal is to be considered manifestly unbalanced, as this amount must in any case be differentiated based on the time elapsed since the assignment was given, as well as the actual activity carried out by the credit mediator.</w:t>
        <w:br/>
        <w:t>58. The contractual provision in question creates a significant imbalance to the detriment of the consumer also in that it does not provide for the assignor's exemption from paying the penalty where the failure to respect the exclusivity is attributable to objectively justified reasons, which may arise especially considering the long duration of the assignment, with the effect of limiting the consumer's contractual freedom in relations with third parties and restricting their ability to raise objections.</w:t>
        <w:br/>
        <w:t>59. In light of all the above, the contractual provision in question constitutes a case under article 33, paragraph 2, letters f) and t) of the Consumer Code as such a clause would have as its object or effect to "impose on the consumer, in case of non-performance or delay in performance, the payment of a sum of money as compensation, penalty clause or other equivalent title of manifestly excessive amount" and to establish against the consumer "limitations on the ability to raise objections" and "restrictions on contractual freedom in relations with third parties" even in the presence of objectively justified reasons, and Link Soluzioni has not provided elements suitable to overcome this presumption. In any case, this clause appears to configure a violation of article 33, paragraph 1, of the Consumer Code as, based on the observations above, it is likely to create a significant imbalance of rights and obligations arising from the contract, to the detriment of the participating consumers.</w:t>
        <w:br/>
        <w:t>V. QUANTIFICATION OF THE SANCTION</w:t>
        <w:br/>
        <w:t>Pursuant to article 27, paragraph 9, of the Consumer Code, as recalled by article 37-bis of the Consumer Code, the Authority, with the provision that establishes the violation of the regulations on unfair clauses in contracts concluded with consumers, orders the application of an administrative pecuniary sanction from €5,000 to €10,000,000, taking into account the severity and duration of the violation and also the economic and asset conditions of the professional. For the purposes of quantifying the sanction, it is noted that article 27, paragraph 9, of the Consumer Code applies to the cases referred to in article 33 of the same Code starting from February 1, 2022, and that the violations in question were found to be in effect on April 2, 2023, the date of entry into force of Legislative Decree No. 26 of March 7, 2023, thus applying the limits provided for by this decree to the case at hand.</w:t>
        <w:br/>
        <w:t>In the case of proceedings concerning multiple administrative violations established, the case law has clarified that in the presence of multiple violations with structural and functional autonomy, attributed to the responsibility of the professionals, the criterion of material cumulation of sanctions applies, instead of legal cumulation (see among others, Council of State, Section VI, judgment No. 209 of January 19, 2012).</w:t>
        <w:br/>
        <w:t>Regarding the quantification of the sanction, account must be taken, where appropriate, of the criteria indicated in paragraph 2-ter of article 37-bis and, as applicable, of the criteria identified by article 11 of Law No. 689/81, by virtue of the reference provided for in article 37-bis, paragraph 2-quater, of the Consumer Code: in particular, the severity of the violation, the efforts made by the company to eliminate or mitigate the infringement, the personality of the agent, as well as the economic conditions of the company itself.</w:t>
        <w:br/>
        <w:t>Clause A)</w:t>
        <w:br/>
        <w:t>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and the economic size of the Company (as of December 31, 2022, revenues amounted to €770,017), belonging to Link Holding S.r.l.</w:t>
        <w:br/>
        <w:t>Regarding the duration of the violation, from the available elements in the records, it appears that the clause described in paragraph II, letter A), of this provision has been adopted since January 202225; for the purposes of applying the sanction, however, account is taken of the applicability of article 27, paragraph 9, of the Consumer Code to the cases referred to in article 33 of the same Code starting from February 1, 2022. From the available elements in the records, the clause described in paragraph II, letter A), of this provision appears to be currently in force26.</w:t>
        <w:br/>
        <w:t>Based on these elements, it is deemed appropriate to determine the base amount of the applicable administrative pecuniary sanction for Link Soluzioni S.r.l. at €9,240 (nine thousand two hundred forty euros).</w:t>
        <w:br/>
        <w:t>Considering that there is, in this case, a mitigating circumstance, given the economic situation of the Professional, which presents unfavorable economic conditions with a loss-making balance sheet, it is deemed appropriate to determine the amount of the applicable administrative pecuniary sanction for Link Soluzioni at €7,392 (seven thousand three hundred ninety-two euros).</w:t>
        <w:br/>
        <w:t>Clause B)</w:t>
        <w:br/>
        <w:t xml:space="preserve">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and the economic size of the Company (as of December 31, 2022, revenues amounted to €770,017). </w:t>
        <w:br/>
        <w:t>25 See Doc. 15 cited, p. 7.</w:t>
        <w:br/>
        <w:t>26 As for the Company's assertion that the duration of the present sanctioning procedure, dependent on factors external to the Company, should be taken into account in quantifying the sanction, it is noted that to avoid negative consequences regarding the quantification of the sanction, the professional could have modified during the procedure the clauses subject to contestation, thus benefiting from their proactive behavior at the time of determining the duration of the infringement (see Tar Lazio, July 16, 2019, No. 9401).</w:t>
      </w:r>
    </w:p>
    <w:p>
      <w:r>
        <w:rPr>
          <w:b/>
        </w:rPr>
        <w:t>[Pages 151–153]</w:t>
      </w:r>
    </w:p>
    <w:p>
      <w:r>
        <w:t>BULLETIN NO. 11 OF MARCH 18, 2024 153</w:t>
        <w:br/>
        <w:t>euros), pertaining to Link Holding S.r.l., as well as the value of the sums collected as penalties during the reference period.</w:t>
        <w:br/>
        <w:t>Regarding the duration of the violation, from the available elements in the records, it appears that the clause described in par. II, lett. B), of this provision has been adopted since January 202227; for the purposes of applying the sanction, however, account is taken of the applicability of article 27, paragraph 9, of the Consumer Code to the cases referred to in article 33 of the same Code starting from February 1, 2022. From the available elements in the records, the clause described in par. II, lett. B), of this provision is currently in force28.</w:t>
        <w:br/>
        <w:t>Based on these elements, it is deemed appropriate to determine the base amount of the administrative pecuniary sanction applicable to Link Soluzioni S.r.l. in the amount of €9,240 (nine thousand two hundred forty euros).</w:t>
        <w:br/>
        <w:t>Considering that there is, in this case, a mitigating circumstance, taking into account the economic situation of the Professional, which presents unfavorable economic conditions with a loss-making balance sheet, it is deemed appropriate to determine the amount of the administrative pecuniary sanction applicable to Link Soluzioni S.r.l. in the amount of €7,392 (seven thousand three hundred ninety-two euros).</w:t>
        <w:br/>
        <w:t>CONSIDERING that for the clauses referred to in paragraph II, sub letters A) and B) of this provision there is a legal presumption of unfairness pursuant to article 33, paragraph 2, lett. f) and t), of the Consumer Code and that Link Soluzioni S.r.l. has not provided fully sufficient elements to overcome this presumption;</w:t>
        <w:br/>
        <w:t>CONSIDERING, in particular, based on the aforementioned considerations, that the clauses described in paragraph II, sub letters A) and B) of this provision, are unfair pursuant to articles 33, paragraphs 1 and 2, lett. f) and t) of the Consumer Code as they create, to the detriment of the consumer, a significant imbalance in the rights and obligations arising from the contract;</w:t>
        <w:br/>
        <w:t>CONSIDERING that pursuant to article 37-bis, paragraph 2, of the Consumer Code and article 23, paragraph 8, of the Regulation, the publication of an extract of this provision is required to fully inform consumers of the unfairness of the clauses subject to this assessment, on the institutional website of the Authority and on that of the Professional;</w:t>
        <w:br/>
        <w:t>RESOLVES</w:t>
        <w:br/>
        <w:t>a) that the clause referred to in article 4 of the Credit Mediation Mandate, adopted by Link Soluzioni S.r.l., described in point II of this provision, constitutes a case of an unfair clause pursuant to article 33, paragraphs 1 and 2, letter t), of the Consumer Code, for the reasons and within the limits set forth in the motivation and prohibits its use;</w:t>
        <w:br/>
        <w:t>b) that the clause referred to in article 9 of the Credit Mediation Mandate, adopted by Link Soluzioni S.r.l., described in point II of this provision, constitutes a case of an unfair clause pursuant to article 33, paragraphs 1 and 2, letters f) and t), of the Consumer Code, for the reasons and within the limits set forth in the motivation, and prohibits its use;</w:t>
        <w:br/>
        <w:t>c) to impose on Link Soluzioni S.r.l. for the violation referred to in lett. a) an administrative pecuniary sanction of €7,392 (seven thousand three hundred ninety-two euros);</w:t>
        <w:br/>
        <w:t>d) to impose on Link Soluzioni S.r.l. for the violation referred to in lett. b) an administrative pecuniary sanction of €7,392 (seven thousand three hundred ninety-two euros);</w:t>
        <w:br/>
        <w:t>e) that the Professional communicates to the Authority, within sixty days from the notification of this provision, the initiatives taken in compliance with the injunction referred to in points a) and b).</w:t>
        <w:br/>
        <w:t>ORDERS</w:t>
        <w:br/>
        <w:t>a) that the company Link Soluzioni S.r.l. publishes, at its own expense, an extract of the provision pursuant to article 37-bis of the Consumer Code and article 21, paragraph 8, of the Regulation, according to the following modalities:</w:t>
        <w:br/>
        <w:t>1) the text of the extract of the provision is that reported in the annex to this provision;</w:t>
        <w:br/>
        <w:t>2) the text of the extract of the provision must be published for ten consecutive days on the homepage of the website https://www.linksoluzioni.it/ with adequate graphic prominence, within twenty days from the communication of the adoption of this provision;</w:t>
        <w:b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website https://www.linksoluzioni.it/;</w:t>
        <w:br/>
        <w:t>c) the publication must fully reflect the setting, structure, and appearance of the extract attached to this provision; the writing, printing, and dissemination methods must not be such as to nullify the effects of the publication; in particular, on the page of the website publishing the extract, as well as on the remaining pages, there must not be messages that conflict with the content of the extract or that tend to mitigate its impact and meaning.</w:t>
        <w:br/>
        <w:t>Pursuant to article 37-bis, paragraph 2, of the Consumer Code, in case of non-compliance with the publication obligation, the Authority applies an administrative pecuniary sanction from €5,000 to €50,000.</w:t>
        <w:br/>
        <w:t>The imposed administrative sanction must be paid within thirty days from the notification of this provision, using the tax codes indicated in the attached model F24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br/>
        <w:t>Immediate communication of the payment must be given to the Authority by sending the documentation certifying the payment made.</w:t>
        <w:br/>
        <w:t>Pursuant to article 27, paragraph 12, of the Consumer Code, in case of non-compliance with the injunction referred to in points a) and b) of the device of this provision, the Authority applies an administrative pecuniary sanction from €10,000 to €10,000,000. In cases of repeated non-compliance, the Authority may order the suspension of business activity for a period not exceeding thirty days.</w:t>
        <w:br/>
        <w:t>Against this provision, an appeal may be submitted to the TAR of Lazio, pursuant to article 37-bis, paragraph 4, and article 135, paragraph 1, letter b), of the Administrative Process Code (Legislative Decree No. 104 of July 2, 2010), within sixty days from the date of notification thereof,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communication of the opinion itself.</w:t>
        <w:br/>
        <w:t>This provision will be notified to the interested parties and published in the Bulletin of the Authority for the Protection of Competition and the Market.</w:t>
        <w:br/>
        <w:t>The extract of the provision will also be published, within twenty days from the communication of its adoption, in a specific section of the institutional website of the Authority.</w:t>
        <w:br/>
        <w:t>THE SECRETARY GENERAL THE PRESIDENT</w:t>
        <w:br/>
        <w:t>Guido Stazi Roberto Rustichelli</w:t>
      </w:r>
    </w:p>
    <w:p>
      <w:r>
        <w:rPr>
          <w:b/>
        </w:rPr>
        <w:t>[Pages 154–156]</w:t>
      </w:r>
    </w:p>
    <w:p>
      <w:r>
        <w:t>156 BULLETIN NO. 11 OF MARCH 18, 2024</w:t>
        <w:br/>
        <w:t>CV237 - LINK SOLUTIONS - EXCLUSIVITY CLAUSES</w:t>
        <w:br/>
        <w:t>Attached to the provision of the Competition and Market Authority dated February 27, 2024, regarding administrative protection against unfair clauses pursuant to article 37-bis of the Consumer Code.</w:t>
        <w:br/>
        <w:t>[OMISSIS]</w:t>
        <w:br/>
        <w:t>The clauses subject to investigation are contained in the contractual model called “Credit Mediation Mandate” (hereinafter also “Contractual Model”) used by the Professional for carrying out their credit mediation activities aimed at finding the lending credit institution for the conclusion of loan agreements by consumers. This Contractual Model consists of the “Summary Document,” which reports the most significant contractual and economic conditions, the “Credit Mediation Mandate,” containing the contractual conditions, the “Annex 1 Credit Mediation Mandate,” which includes the applicant's data and the personal, income, and asset documents requested by Link Solutions or provided by the client, and the “Annex 2 Credit Mediation Mandate,” which includes the applicant's data and the property-related documents requested by Link Solutions or provided by the client.</w:t>
        <w:br/>
        <w:t>The clauses contained in the aforementioned Contractual Model and transcribed below are the subject of this evaluation:</w:t>
        <w:br/>
        <w:t>A) “4) Duration of the contract, economic conditions, and exclusivity agreement.</w:t>
        <w:br/>
        <w:t>a) This contract will have a duration of 270 (two hundred seventy) days from the date of signing and acceptance and will therefore expire on the day [...]. After the first contractual period, the contract will automatically and tacitly renew for each contractual period, unless one of the Parties communicates to the other, at least 90 days prior to the expiration, their intention to withdraw from the contract.</w:t>
        <w:br/>
        <w:t>c) The Mandate is understood to be conferred to the Credit Mediator exclusively until its termination. The client, therefore, for the entire duration of the Mandate, may not for any reason confer an assignment for the performance of the activities covered by it, nor act on their own with other operators, even non-professionals, to obtain the Financing.”</w:t>
        <w:br/>
        <w:t>B) “9) Penalty for non-compliance and/or delay for early withdrawal.</w:t>
        <w:br/>
        <w:t>If the client violates the exclusivity agreement referred to in the above article 4, the Client must pay Link Solutions S.r.l. a sum as a penalty equal to 100% of the amount agreed as commission in article 5.1 (...).”</w:t>
        <w:br/>
        <w:t>Regarding clause A), the Professional has been accused of the alleged unfairness of the same pursuant to article 33, paragraphs 1 and 2, letter t) of the Consumer Code, as this clause would have as its object or effect to impose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this clause would still be capable of constituting a violation of article 33, paragraph 1, of the Consumer Code as it is likely to create a significant imbalance of rights and obligations arising from the contract, to the detriment of the participating consumers.</w:t>
        <w:br/>
        <w:t>Regarding clause B), the Professional has been accused of the alleged unfairness of the same pursuant to article 33, paragraphs 1 and 2, letters f) and t) of the Consumer Code, as this clause would have as its object or effect to “impose on the consumer, in case of non-compliance or delay in compliance, the payment of a sum of money as compensation, penalty clause or other equivalent title of manifestly excessive amount” and to impose on the consumer “limitations on the ability to raise objections” and “restrictions on contractual freedom in relations with third parties” even in the presence of objectively justified reasons. In any case, this clause would still be capable of constituting a violation of article 33, paragraph 1, of the Consumer Code as it is likely to create a significant imbalance of rights and obligations arising from the contract, to the detriment of the participating consumers.</w:t>
        <w:br/>
        <w:t>[OMISSIS]</w:t>
        <w:br/>
        <w:t>That said, the evaluation of the individual profiles of unfairness for each contractual provision subject to this proceeding follows.</w:t>
        <w:br/>
        <w:t>[OMISSIS]</w:t>
        <w:br/>
        <w:t>CONSIDERED, in particular, based on the above considerations, that the clauses described in paragraph II, sub letters A) and B) of this provision, are unfair pursuant to articles 33, paragraphs 1 and 2, letters f) and t) of the Consumer Code as they determine, to the detriment of the consumer, a significant imbalance of rights and obligations arising from the contract;</w:t>
        <w:br/>
        <w:t>[OMISSIS]</w:t>
        <w:br/>
        <w:t>RESOLVES</w:t>
        <w:br/>
        <w:t>a) that the clause referred to in article 4 of the Credit Mediation Mandate, adopted by Link Solutions S.r.l., described in point II of this provision, constitutes a case of unfair clause pursuant to article 33, paragraphs 1 and 2, letter t), of the Consumer Code, for the reasons and within the limits stated in the motivation and prohibits its use;</w:t>
        <w:br/>
        <w:t>b) that the clause referred to in article 9 of the Credit Mediation Mandate, adopted by Link Solutions S.r.l., described in point II of this provision, constitutes a case of unfair clause pursuant to article 33, paragraphs 1 and 2, letters f) and t), of the Consumer Code, for the reasons and within the limits stated in the motivation, and prohibits its use;</w:t>
        <w:br/>
        <w:t>[OMISSIS]</w:t>
      </w:r>
    </w:p>
    <w:p>
      <w:r>
        <w:t>158 BULLETIN NO. 11 OF MARCH 18, 2024</w:t>
        <w:br/>
        <w:t>CV238 – MONETY - EXCLUSIVITY CLAUSES</w:t>
        <w:br/>
        <w:t>Provision No. 31103</w:t>
        <w:br/>
        <w:t>THE COMPETITION AND MARKET AUTHORITY</w:t>
        <w:br/>
        <w:t>IN ITS MEETING of February 27, 2024;</w:t>
        <w:br/>
        <w:t>HEARD the Rapporteur, Professor Elisabetta Iossa;</w:t>
        <w:br/>
        <w:t>VIEWED Part III, Title 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VIEWED its resolutions of March 7, 2023, May 2, 2023, June 28, 2023, August 29, 2023, October 31, 2023, and December 19, 2023, with which, pursuant to article 7, paragraph 3, of the Regulation, the deadline for concluding the procedure was extended;</w:t>
        <w:br/>
        <w:t>VIEWED the acts of the procedure;</w:t>
        <w:br/>
        <w:t>CONSIDERED the following</w:t>
        <w:br/>
        <w:t>I. THE PARTY</w:t>
        <w:br/>
        <w:t>1. Monety S.r.l. (hereinafter also Monety, the Professional, or the Company) is active in the sector of mediation and consultancy activities related to the granting of mortgages and personal loans. The Company's balance sheet, relating to the financial year closed on December 31, 2022, shows revenues of [1,000,000–10,000,000]* euros.</w:t>
        <w:br/>
        <w:t>II. THE CLAUSES SUBJECT TO EVALUATION</w:t>
        <w:br/>
        <w:t>2. The clauses subject to investigation are contained in the contractual model called “CREDIT MEDIATION CONTRACT” (hereinafter also “Contractual Model”), published on Monety's website1, which the Professional uses for carrying out their credit mediation activities aimed at finding the lending credit institution for the conclusion of loan agreements by consumers. This model, used since October 20202, consists of a part containing the “Summary Document,” which includes the main economic conditions and the main contractual clauses, and a part containing the “Mediation Contract.”</w:t>
        <w:br/>
        <w:t>* In this version, some data are omitted, as elements of confidentiality or secrecy of the information were deemed to exist.</w:t>
        <w:br/>
        <w:t>1 www.monety.it.</w:t>
        <w:br/>
        <w:t>2 See Doc. 1 of the Index of the File (Minutes of Acquisition to the Records of 9/9/2022 of the documentation extracted from the site https://www.monety.it/ on September 9, 2022).</w:t>
      </w:r>
    </w:p>
    <w:p>
      <w:r>
        <w:rPr>
          <w:b/>
        </w:rPr>
        <w:t>[Pages 157–159]</w:t>
      </w:r>
    </w:p>
    <w:p>
      <w:r>
        <w:t>BULLETIN NO. 11 OF MARCH 18, 2024 159</w:t>
        <w:br/>
        <w:t>3. In particular, the following clauses contained in the aforementioned Contractual Model3 are the subject of this evaluation:</w:t>
        <w:br/>
        <w:t>A) “Method of granting the assignment – withdrawal of the Client: the assignment is granted exclusively and irrevocably: the client cannot independently seek financing and cannot withdraw from the contract before its expiration. In such cases, the Client is obliged to pay a penalty in the event of withdrawal before the expiration, but after the 14 days of the right of withdrawal referred to in ‘Withdrawal of the Consumer Client’.”;</w:t>
        <w:br/>
        <w:t>B) “Penalties and expenses. The Client will be required to pay a penalty, pursuant to Article 1382 of the Civil Code, amounting to Euro 1,000.00 (one thousand euros) in the following cases: a) violation of the exclusivity agreement; […]”.</w:t>
        <w:br/>
        <w:t>4. With reference to clause A), the Professional has been accused of the alleged unfairness of the same pursuant to Article 33, paragraphs 1 and 2, letter t) of the Consumer Code, as this clause would have the object or effect of imposing on the consumer “restrictions on contractual freedom in relations with third parties” considering the provision of a particularly long duration, even in light of the provision of a penalty applicable to the consumer in case of violation of the exclusivity agreement and the observation that the contractual text lacks suitable advantages aimed at ensuring balance between the parties; in any case, this clause appears to constitute a violation of Article 33, paragraph 1, of the Consumer Code as it is likely to create a significant imbalance of rights and obligations arising from the contract, to the detriment of the adhering consumers.</w:t>
        <w:br/>
        <w:t>5. With reference to clause B), the Professional has been accused of the alleged unfairness of the same pursuant to Article 33, paragraphs 1 and 2, letters f) and t) of the Consumer Code, as this clause would have the object or effect of “imposing on the consumer, in case of non-fulfillment or delay in fulfillment, the payment of a sum of money as compensation, penalty clause or other equivalent title of manifestly excessive amount” and of imposing on the consumer “limitations on the right to raise objections” and “restrictions on contractual freedom in relations with third parties” even in the presence of objectively justified reasons. In any case, this clause appears to constitute a violation of Article 33, paragraph 1, of the Consumer Code as it is likely to create a significant imbalance of rights and obligations arising from the contract, to the detriment of the adhering consumers.</w:t>
        <w:br/>
        <w:t>III. THE INSTRUCTIONAL FINDINGS</w:t>
        <w:br/>
        <w:t>a) The procedure process</w:t>
        <w:br/>
        <w:t>6. Based on the acquisitions made ex officio on September 9, 20224, on October 12, 2022, the CV238 procedure was initiated against Monety5.</w:t>
        <w:br/>
        <w:t>7. Concurrently with the communication of the initiation of the procedure, a request for information was made to Monety, pursuant to Article 12, paragraph 1 of the Regulation, also requesting elements to overcome the presumption of unfairness referred to in Article 33, paragraphs 1 and 2, letters f) and t) of the Consumer Code.</w:t>
        <w:br/>
        <w:t>8. On October 12, 2022, after informing the Authority, a notice was published for 30 days on the institutional website of the Authority (www.agcm.it), pursuant to Article 37-bis, paragraph 1, of the Consumer Code and Article 23, paragraph 6, of the Regulation, for public consultation regarding unfair clauses. The public consultation concluded on November 11, 2022, and on the same date, observations were received from the consumer associations Codacons and U.Di.Con.6.</w:t>
        <w:br/>
        <w:t>9. On November 11, 2022, the Professional submitted a defensive memorandum and responded to the request for information made at the initiation of the procedure7.</w:t>
        <w:br/>
        <w:t>10. On April 18, 20238, a request for information was sent to the Professional, which was responded to by the Company with a communication on May 19, 20239.</w:t>
        <w:br/>
        <w:t>11. On August 1, 202310, a request for additional information previously requested was sent to the Professional, which was responded to by the Company with a communication on August 7, 202311.</w:t>
        <w:br/>
        <w:t>12. On November 6, 2023, the hearing of the Body for the management of the lists of Credit Agents and Brokers (hereinafter, OAM) requested by the aforementioned Body took place in order to provide the Authority with its contribution for the evaluations related to the cases subject to this procedure12.</w:t>
        <w:br/>
        <w:t>13. On December 19, 2023, Monety was informed of the conclusion date of the instructional phase pursuant to Article 16, paragraph 1, as referred to in Article 23, paragraph 1, of the Regulation13.</w:t>
        <w:br/>
        <w:t>14. On January 18, 2024, Monety transmitted a copy of the contractual set in use at that date14, while on January 25, 2024, it provided a copy of the latest financial statements15.</w:t>
        <w:br/>
        <w:t>b) The outcomes of the consultation on the Authority's website</w:t>
        <w:br/>
        <w:t>15. During the consultation, on November 11, 2022, U.Di.Con. noted the unfairness of the clauses subject to contestation in the communication of the initiation of the procedure, highlighting the sensitivity of the sector they tend to regulate and emphasizing that the aforementioned clauses are likely to create a serious imbalance in the contractual exchange, granting the Professional every broader margin of action and limiting the negotiating rights of the consumer.</w:t>
        <w:br/>
        <w:t>16. On November 11, 2022, Codacons also noted the unfairness of the clauses in question, highlighting that the clauses included in Monety's contracts impose a heavy and unjustified burden on the user. In particular, Codacons emphasized that the exclusivity clause appears unfair as it prevents the client from seeking more favorable and faster financing; this contractual provision, together with the penalty provided in case of early withdrawal, imposes an unjustified burden on the contracting party.</w:t>
        <w:br/>
        <w:t>c) The evidence acquired</w:t>
        <w:br/>
        <w:t>17. In 2022, Monety concluded [1,000-5,000] credit mediation contracts for the granting of mortgage loans in favor of consumers, while in the first quarter of 2023, it concluded [100-1,000]16. The revenues received as commissions from consumer clients, related to credit mediation contracts for the granting of mortgage loans, amount to [1,000,000-10,000,000] euros for 2022 and [100,000-1,000,000] euros for the first quarter of 2023, implying an average commission of [1,000-5,000] euros for the entire period covering 2022 and the first quarter of 202317.</w:t>
        <w:br/>
        <w:t>18. With reference to clause A), it emerged that in relation to the activities subject to the credit mediation assignment carried out, with exclusivity, by Monety, the Company performs, in summary, the following activities for managing financing requests18:</w:t>
        <w:br/>
        <w:t>a) contact with the client and verification of needs;</w:t>
        <w:br/>
        <w:t>b) formalization of the credit mediation assignment and collection of documents;</w:t>
        <w:br/>
        <w:t>c) analysis of the socio-economic profile of the client and identification of the relevant “target market”;</w:t>
        <w:br/>
        <w:t>d) estimation of the financing request based on the credit institution to which the financing request will be submitted;</w:t>
        <w:br/>
        <w:t>e) preparation and submission of the financing request;</w:t>
        <w:br/>
        <w:t>f) verification by the Back Office of the completeness of the documentation attached to the application;</w:t>
        <w:br/>
        <w:t>g) submission of the application to the credit institution;</w:t>
        <w:br/>
        <w:t>h) monitoring the status of the application until the financing is approved by the credit institution.</w:t>
        <w:br/>
        <w:t>19. Based on what was stated by the Professional, it also emerged that any additional services offered to consumers who grant the assignment to Monety exclusively may consist of the offer of insurance products and services related to the mortgage operation.</w:t>
        <w:br/>
        <w:t>20. Article 3 of the Mediation Contract (titled “Method of execution of the assignment and exclusivity”) provides in point 3.2 that: “The assignment is understood to be granted exclusively in favor of the Mediator and the Client(s) declares and guarantees that the Mediator is, and will remain, the only authorized subject to carry out credit mediation activities in favor of the Client(s) for the entire duration of this agreement.19”. Furthermore, in the Summary Document of the Contractual Model, it is stated that</w:t>
      </w:r>
    </w:p>
    <w:p>
      <w:r>
        <w:rPr>
          <w:b/>
        </w:rPr>
        <w:t>[Pages 160–162]</w:t>
      </w:r>
    </w:p>
    <w:p>
      <w:r>
        <w:t>162 BULLETIN NO. 11 OF MARCH 18, 2024</w:t>
        <w:br/>
        <w:t>that the duration of the contract with an exclusivity clause “is for a fixed term and will end 6 months after the date of receipt by the Client of the acceptance of the Client's assignment proposal”20 and in article 6.1 of the aforementioned Contractual Model it is provided that: “The Contract has a duration of six (6) months from the signing of the same by the Client.” In this regard, the Professional indicated that the average processing time for a practice is [101-200] days in 2020, [101-200] days in 2021, and [11-100] days in 202221. However, based on an analysis of the information provided by Monety regarding the individual brokerage contracts concluded in 2022, it is found that the average time elapsed between the date of signing the brokerage contract and the date of disbursement of the loan is [11-100] days22.</w:t>
        <w:br/>
        <w:t>21. During the proceedings, Monety proposed to adopt a new version of the contractual model, to which proposal was followed, first, by the publication, on the Professional's website, of a new version of the contractual model starting from April 202323 (hereinafter also “Contractual Model updated as of April 2023”) and, subsequently, of another version updated as of January 2024 (hereinafter also “Contractual Model updated as of January 2024”).</w:t>
        <w:br/>
        <w:t>22. From the examination of the Contractual Model updated as of April 2023, it emerged that this model still provided for the assignment with exclusivity24, combined with a contract duration of 6 months and the presence of the clause “Penalties and expenses,” which remained unchanged25. In particular, the clauses in question remained essentially unchanged in the “Summary Document” and in articles 4.2 and 7 of the “Brokerage Contract” of the Contractual Model Updated as of April 2023.</w:t>
        <w:br/>
        <w:t>20 V. Doc. 1 cit..</w:t>
        <w:br/>
        <w:t>21 V. Doc. 3 cit..</w:t>
        <w:br/>
        <w:t>22 V. Doc. 9 cit..</w:t>
        <w:br/>
        <w:t>23 V. Doc. 17 of the Index of the File (Minutes of Acquisition to the Records of 11/21/2023 of the documentation extracted from the site https:/www.monety.it/ on November 21, 2023).</w:t>
        <w:br/>
        <w:t>24 In the “Summary Document” of the Contractual Model updated as of April 2023, clause sub A) (“Methods of assignment of the assignment – withdrawal of the Client”) provides that the “assignment is understood to be conferred exclusively in favor of the Broker and the Client declares and guarantees that the Broker is, and will remain, the only subject authorized to carry out the credit mediation activity in favor of the Client for the entire duration of this agreement. The Parties have the right to withdraw from the Contract at any time, giving notice to the other Party by registered mail A.R or PEC email. In this case, the Contract will be considered ineffective after the fifteenth day following the receipt of the registered mail A.R or PEC email.”</w:t>
        <w:br/>
        <w:t>25 In the “Brokerage Contract” of the Contractual Model updated as of April 2023, the content of the aforementioned article 3.2 of the Contractual Module remained unchanged, having only assumed the new numbering 4.2, while the content of article 7 of the Contractual Module (Express Resolutive Clause) has been incorporated into article 8 of that model where it is provided that: “8.1. The Contract will be deemed resolved by law upon the occurrence of the following circumstances: 8.1.1. Default by the Client of any obligation under Articles 2, 4, 5, 7, and 10; 8.1.2. The Client is subjected to bankruptcy proceedings and/or equivalent procedures, including controlled administration and/or other equivalent extrajudicial procedures; 8.1.3. the Client communicates or delivers false, counterfeit, or incomplete Data, the obligation of exclusivity referred to in article 4 of the Contract is violated by the Client. 8.2. In such cases, the Client must reimburse the Broker for all expenses incurred (the “Expenses”) for the fulfillment of this assignment up to a maximum of €500.00 (five hundred), as well as the amount of €1,000.00 (one thousand) as a penalty, in addition to any greater damage, in accordance with article 1382 of the Civil Code.” The duration of the credit mediation assignment remains unchanged in the Contractual Model Updated as of April 2023, set in article 7.1 at six months from the signing of the contract, providing in the subsequent point 7.3 for the parties' right to withdraw from the contract at any time, giving notice to the other party by registered mail A/R or PEC email.</w:t>
      </w:r>
    </w:p>
    <w:p>
      <w:r>
        <w:t>BULLETIN NO. 11 OF MARCH 18, 2024 163</w:t>
        <w:br/>
        <w:t>23. With reference to the Contractual Model updated as of January 2024 and the related Information Sheet (“Vers. 09 of 01.2024”):</w:t>
        <w:br/>
        <w:t>- in the Summary Document, no clause is reported on the methods of assignment (exclusive/non-exclusive); the duration of the contract is not predetermined but left “blank”;</w:t>
        <w:br/>
        <w:t>- in the Brokerage Contract, article 3.7 introduced the alternative option of assigning the assignment with or without exclusivity26; in article 6.1 the duration of the contract is not predetermined but left “blank”27; article 7 (“Withdrawal”) of the aforementioned Model provides that: “7.1 As provided in the section “Withdrawal of the Consumer Client” of the Summary Document, if the Client is a consumer, they have the right to withdraw from the Contract, without any penalty and without the obligation to indicate the reason, in accordance with the methods provided by law and indicated in the Summary Document. 7.2 Regardless of the above, the Parties still have the right to withdraw from the Contract at any time, giving notice to the other Party by registered mail A.R or PEC. The withdrawal, as communicated above, will take effect from the receipt of the relevant communication”28; at the bottom of the Brokerage Contract, the following phrase has also been inserted: “Pursuant to Articles 1341 and 1342 of the Civil Code, the Articles 3 - Methods of execution of the assignment and exclusivity; 4 - Obligations of the Client; 6 - Duration and renewal, 7 - Withdrawal, 8 - Express Resolutive Clause, 9 - Penalty, 10 - Consideration to be borne by the Client, 12 - Contractual Defaults, 15 - Complaints, 16 - Jurisdiction and Competent Court and 17 - Signature by the Client are specifically approved and signed. Pursuant to Articles 1469 bis of the Civil Code and 33 and following of Legislative Decree No. 206/05 “Consumer Code,” the Parties declare that the aforementioned Articles have been the subject of careful individual negotiation” [bold added];</w:t>
        <w:br/>
        <w:t>- in the Information Sheet (Section IV) it is provided that the duration of the credit mediation contract “in any case cannot exceed 150 (one hundred fifty) days starting from the moment the Client has received Monety S.p.A.'s acceptance of the credit mediation contract signed by the Client.”</w:t>
        <w:br/>
        <w:t>24. Regarding clause sub B), the Professional represented that, “considering that the average commissions received by Monety for the conclusion of the deal is about €[1,000-5,000] for each successful request,” the amount of €1,000 requested as a penalty is on average equal to [20-100%] of the commission29. However, based on the data provided by the same Professional30, [50-75%] of the contracts concluded between January 2022 and March 2023 (i.e., [500-7,500] contracts out of [1,000-10,000] concluded mediation contracts) generated commissions for consumers equal to or less than the penalty amount of €1,000. Therefore, at least for such cases, the penalty set contractually is equal to or even greater than the commission requested from the consumer.</w:t>
        <w:br/>
        <w:t>25. As for the total revenues received as a penalty, based on what was stated by the Professional, they amount to [1,000-10,000] euros for the year 2022 and [1,000-10,000] euros for the first quarter of the year 202331.</w:t>
        <w:br/>
        <w:t>26. As already noted above, Monety proposed, during the proceedings, to adopt a new version of the contractual model, to which proposal was followed, first, by the publication, on the Professional's website, of the Contractual Model updated as of April 2023 and, subsequently, another version updated as of January 2024.</w:t>
        <w:br/>
        <w:t>27. From the examination of the Contractual Model updated as of April 2023, it emerged that the clause sub B) (“Penalties and expenses”)32 remained unchanged.</w:t>
        <w:br/>
        <w:t>28. With reference, instead, to the Contractual Model updated as of January 2024 and the related Information Sheet (“Vers. 09 of 01.2024”):</w:t>
        <w:br/>
        <w:t>- in the Summary Document, the application of a penalty is provided in case of violation of the exclusivity referred to in article 3.7 of the contract, of violation of the obligation to provide the data referred to in article 4 of the contract, of withdrawal of the consumer before the expiration referred to in article 6 of the contract (without prejudice to the case of withdrawal of the consumer within 14 days from the conclusion of the contract for distance contracts and off-premises contracts);</w:t>
        <w:br/>
        <w:t>- in the Brokerage Contract, article 9 (“Penalty”) provides that:</w:t>
        <w:br/>
        <w:t>“9.1 Without prejudice to the case of withdrawal as a consumer, each Party acknowledges and accepts from now on that, in the event that they withdraw from the Contract before the expiration referred to in article 6, they will be required to pay a penalty in favor of the other Party, pursuant to article 1382 of the Civil Code, equal to ______% ([_______________________%) of the Consideration, as defined and determined below.</w:t>
        <w:br/>
        <w:t>9.2. The Client acknowledges and accepts from now on that they are required to pay a penalty in favor of Monety, pursuant to article 1382 of the Civil Code, equal to ______% ([_______________________%) of the Consideration, as defined and determined below.</w:t>
        <w:br/>
        <w:t>9.3., in cases where: a) they violate the exclusivity granted in favor of Monety (if provided in the previous article 3.7); b) they violate the obligations referred to in article 4.” (SIC!);</w:t>
        <w:br/>
        <w:t>- in the Information Sheet (Section III) it is provided that the percentage of the aforementioned penalties will be established “up to a maximum of 50% (fifty percent) of the Consideration, as defined in the credit mediation contract.”</w:t>
        <w:br/>
        <w:t>d) The Professional's defensive arguments</w:t>
        <w:br/>
        <w:t>29. On the merits of the evaluation of the individual clauses affected by the communication of the initiation of the present proceedings, Monety made considerations aimed at justifying the rationale of their</w:t>
      </w:r>
    </w:p>
    <w:p>
      <w:r>
        <w:rPr>
          <w:b/>
        </w:rPr>
        <w:t>[Pages 163–165]</w:t>
      </w:r>
    </w:p>
    <w:p>
      <w:r>
        <w:t>BULLETIN NO. 11 OF MARCH 18, 2024 165</w:t>
        <w:br/>
        <w:t>insertion in the module, as well as to clarify their content, denying their unfair nature.</w:t>
        <w:br/>
        <w:t>30. In particular, with reference to clause A), Monety, also referring to an opinion from the Chamber of Commerce of Milan Monza and Brianza dated May 28, 2010, regarding unfair clauses in personal loan and credit mediation contracts, states that “[e]ven though the granting of an exclusive right can be ascribed to the generic category of 'restrictions on contractual freedom', it does not seem that the clauses in question should be presumed to be unfair in every case, considering the characteristics of the mediation contract and the way in which the Company acquires the right to compensation for its services, in the form of 'commission' in the event of the conclusion of the contract between the Client and the financial intermediary willing to grant the financing”33. In particular, the Professional believes that the exclusivity agreement is “advisable”, since “[i]n the case of multiple simultaneous requests, the credit information system (public and private SIC) would reveal an anomaly to the interested financial intermediaries, who could suspend the processing of the financing request to send a request for clarifications and integrations, sometimes requiring a specific 'waiver and release' from the applicant for the other requests present in the SIC.”34.</w:t>
        <w:br/>
        <w:t>31. Furthermore, Monety highlights that the clause in question would not be unfair even in light of the obligations imposed on the credit mediator, which are established by law and the regulatory provisions governing the activity of the mediator. In particular, the Professional emphasizes that all Monety collaborators present the client, along with the Company's pre-contractual kit, with the application forms prepared by the credit institutions, and therefore the assignment is conferred by the client for that specific request.</w:t>
        <w:br/>
        <w:t>32. Regarding the duration of the assignment, the Professional highlights that “the provision of a 'fixed' duration of 6 months for the credit mediation contract has been 'quantified' in accordance with what is provided for by the 'Code of ethics and good conduct for information systems managed by private entities regarding consumer credit, reliability, and punctuality in payments', as this code of ethics indicates, regarding the 'data retention times in credit information systems' for 'financing requests': the duration of '6 months, if the investigation requires it, or 1 month in case of waiver or refusal of the same'.”35. In this regard, Monety also adds that “[t]he average time in the case of operations without particular characteristics of the applicants or the property is within 3-4 months”, however, if “external needs” arise, the times can easily extend towards the 6 months provided for by the contract.”, or even exceed 6 months in cases of “financing operations related to properties under 'construction' or 'renovation'”36. Furthermore, Monety notes that the Real Estate Market Observatory, with reference to the first quarter of 2022, found that selling times have fallen for the first time below six months. In light of this, the Professional states that “it is the law and the regulatory provisions that specifically indicate what the limits and obligations of the Credit Mediator's activity are” and that “the exclusivity clause and the duration of the contract indicated in six months do not seem to represent a limitation on the negotiating freedom of third parties, but rather a legitimate provision of methods and duration of the procedure that does not prejudice the consumer client and is a reasonable protection for the credit mediator who makes his activity available to the first, being able to count on the fact that the procedure is not prejudiced and therefore also the work of the mediator himself”37.</w:t>
        <w:br/>
        <w:t>33. In relation to clause B), Monety argues that the penalty agreed upon for the violation of exclusivity represents a “'compensation' for the damage caused to the mediator for not having upheld a commitment made with the stipulation of the duration of the contract” and that, therefore, “it does not represent in itself an unfair clause”38. With reference instead to the amount of the penalty provided for by this clause, equal to an amount of 1,000 euros, the Company states that “[t]his amount does not seem excessively burdensome considering that the average commissions received by Monety for the conclusion of the deal is about euros [1,000-5,000] for each successful request”39.</w:t>
        <w:br/>
        <w:t>IV. CONCLUDING ASSESSMENTS</w:t>
        <w:br/>
        <w:t>34. In general, it is worth noting that the consumer protection system regarding unfair clauses contained in articles 33 and following of the Consumer Code is based on the assumption that the consumer finds himself in a situation of inferiority compared to the professional regarding both negotiating power and level of information, a situation that leads him to adhere to the conditions set without being able to influence their content. Therefore, the aforementioned regulatory framework aims to provide incisive and significant protection to that party, the consumer, generally endowed with less contractual strength, through the affirmation of a contractual balance capable of restoring equality between the professional and the consumer.</w:t>
        <w:br/>
        <w:t>35. The assessments that follow concern the clauses indicated in paragraph II of this provision that present profiles of unfairness under the discipline of article 33 of the Consumer Code. At the start of the procedure, Monety was informed that, for the clauses attributable to the list referred to in article 33, paragraphs 1 and 2, letters f) and t), of the Consumer Code, a presumption of unfairness is provided with a simultaneous reference to the burden of providing elements that constitute contrary evidence to this presumption, and Monety has not provided suitable elements to overcome this presumption.</w:t>
        <w:br/>
        <w:t>36. Therefore, we proceed to evaluate the individual profiles of unfairness for each relevant contractual provision.</w:t>
        <w:br/>
        <w:t>A. Methods of conferring the assignment – withdrawal of the Client</w:t>
        <w:br/>
        <w:t>37. In clause A), described in point II of this provision, the assignment to Monety is provided for exclusively, with the consequence that the Professional can count on the fact that the client does not conclude the same financing through other mediators, while the consumer is precluded from the possibility of independently seeking other forms of financing for the entire duration of the assignment.</w:t>
        <w:br/>
        <w:t>38. For the purposes of assessing the unfairness of this clause, it is considered that, first of all, one cannot overlook the fact that the average type of consumer who avails himself of financial intermediation services also includes consumers with a lower level of financial education or with characteristics that determine a lower creditworthiness, who - considering the particular complexity of the financial sector, characterized by significant information asymmetry - are, for these reasons, willing to bear, within the framework of a real estate purchase operation and financing of the same purchase, also the additional economic burden associated with financial intermediation services. Also considering this type of average consumer, and thus the significant information asymmetry that characterizes the sector in which the Professional operates, it is believed that the disadvantage that the consumer receives from conferring the assignment with exclusivity (inability to obtain the necessary financing in any other way) must be adequately compensated by the credit mediator who, from this option, receives, instead, the advantage of not running the risk of seeing his work thwarted by the competing activity carried out by other intermediaries or by the client himself.</w:t>
        <w:br/>
        <w:t>39. It is also important to emphasize that the significant imbalance that arises from the contractual arrangement examined above must also be evaluated in light of the dynamics of the real estate purchase process, often characterized by essential terms imposed on the purchasing party, the failure to comply with which produces irreparable legal effects (for example, the loss of the deposit paid upon signing the preliminary contract). Therefore, in the case of conferring the assignment with an exclusivity agreement, the consumer who finds himself needing to obtain financing for the purchase of a property by a certain deadline would not be able to turn to other operators for the provision of financing, should the credit mediator he has approached and/or the credit institution intermediated be unable to meet that deadline. It is evident, therefore, how this disadvantage cannot fail to receive adequate balancing (by way of mere example, one might think of greater economic accessibility of the service, the possibility of receiving financial products otherwise unavailable on the market, or, again, the indication by the mediator of shorter terms within which the client can receive information on the granting of financing, to a greater specification of the economic conditions of the requested financing), in the absence of which an inevitable imbalance of rights and obligations between the contractual parties would be determined.</w:t>
        <w:br/>
        <w:t>40. That said, the assessment of the unfairness of this clause is carried out in light of the combination of it with other contractual elements, such as the presence of a penalty in case of violation of the exclusivity agreement, the duration of the contract, the definiteness of contractual obligations on the part of the professional connected to the exclusivity agreement.</w:t>
        <w:br/>
        <w:t>41. In this case, the significant imbalance in favor of the Professional is determined by the provision of a term of duration of the assignment, and thus of the exclusivity obligation, equal to 6 months from the date of signing the contract, which is excessively long compared to the average times for obtaining the mortgage as represented by the Company itself, also in light of the provision of a penalty applicable to the consumer in case of violation of the exclusivity agreement and the observation that the contractual text lacks suitable advantages for the consumer aimed at ensuring balance between the parties.</w:t>
      </w:r>
    </w:p>
    <w:p>
      <w:r>
        <w:rPr>
          <w:b/>
        </w:rPr>
        <w:t>[Pages 166–168]</w:t>
      </w:r>
    </w:p>
    <w:p>
      <w:r>
        <w:t>168 BULLETIN NO. 11 OF MARCH 18, 2024</w:t>
        <w:br/>
        <w:t>42. With specific reference to the duration of the assignment, the reference to the “Code of Ethics and Good Conduct for Information Systems Managed by Private Entities Regarding Consumer Credit, Reliability, and Timeliness of Payments” and, in particular, to the “data retention times in credit information systems” as a parameter used by the Company to assess the contractual duration appears to lack merit, as the aforementioned Code responds to interests and purposes different from those underlying credit mediation contracts. Nor is the reference made by the Professional to the property sale times recorded by the Real Estate Market Observatory for the first half of 2022 (which would have fallen for the first time below six months) shareable, since such “times” also include the period necessary to find the buyer, as well as that for obtaining any financing for the real estate purchase. This data, therefore, confirms – contrary to what the Professional claimed – that the duration of the exclusivity of 6 months from the date of signing the contract is excessively long.</w:t>
        <w:br/>
        <w:t>43. With reference, instead, to any specific benefits that the consumer may receive from granting Monety the assignment with an exclusivity constraint, even in the form of specification of the obligations imposed on the Professional, the following is highlighted. The same opinion of the Chamber of Commerce of Milan Monza and Brianza of May 28, 2010, regarding unfair clauses in personal loan and credit mediation contracts, cited by the Professional, states that for the assessment of the unfairness of exclusivity clauses, consideration must be given, in addition to the reasonableness of the contractual duration, to the presence of additional balancing elements such as the definiteness of the type of financing requested by the Client and the definiteness of the main economic conditions of the requested financing (amount, duration, and maximum rates). In other words, the constraint imposed on the consumer who signs the exclusivity clause must correspond to an equal constraint on the credit mediator, in the form of a commitment to seek financing for that client with the characteristics specifically and previously set in the credit mediation contract. In the Contractual Model used by Monety, however, there is no specification of the type of financing to be sought, nor are the main economic conditions of such financing (amount, duration, and maximum rates) determined. Furthermore, in the contractual structure described above, there is no other benefit in favor of the consumer, since the possible offer by Monety of insurance products and services related to the mortgage operation cannot be considered such, as it is a different and additional product compared to the financing.</w:t>
        <w:br/>
        <w:t>44. The contractual imbalance in question is not deemed justifiable by the need for the credit mediator to be compensated for the activity provided to the client, since the satisfaction of this request can also occur through alternative means to the exclusivity agreement, namely by providing for the payment, by the client who has obtained financing in another way, of a fee proportional to the activity carried out up to that point. Nor is this imbalance considered justifiable by the request to avoid that concurrent financing requests may jeopardize the successful outcome of the mortgage application, since this is not a condition that obstructs the granting of financing, as evidenced by the fact that there are operators in the market who operate even without exclusivity and that the same Professional, during the proceedings, modified their contractual form to also include this possibility. The circumstance that in credit mediation contracts the exclusivity clause may also respond to a consumer interest, in addition to that of the professional, does not eliminate the necessity that, where such a clause results in a significant imbalance in favor of the credit mediator (as highlighted above), such imbalance must be adequately compensated.</w:t>
        <w:br/>
        <w:t>45. Therefore, it is believed that the combined reading of the exclusivity clause used by Monety with the other clauses present in the Contractual Model creates a significant imbalance to the detriment of the consumer. In fact, the consumer, on the one hand, remains bound to the Professional for a significant period (6 months), without receiving any benefit from granting the assignment with exclusivity (as emerged from the documentation on file), without having tools that allow them to assess the correctness and timeliness of the Professional's actions, and is required to pay a penalty in case of violation of the exclusivity agreement; on the other hand, the Professional can benefit from a long duration of the mandate, being able to count on the fact that the client does not conclude the same financing in the meantime through other mediators, without any specification of their contractual obligations in relation to the assignment received and without any balancing.</w:t>
        <w:br/>
        <w:t>46. In light of the aforementioned considerations, the contractual provision in question constitutes a case under article 33, paragraph 2, letter t) of the Consumer Code, as such a clause would have as its object or effect to impose on the consumer “restrictions on contractual freedom in relations with third parties” and Monety has not provided suitable elements to overcome this presumption. In any case, this clause appears to be capable of constituting a violation of article 33, paragraph 1, of the Consumer Code as it, based on the observations above, is susceptible of determining a significant imbalance of the rights and obligations arising from the contract, to the detriment of the adhering consumers.</w:t>
        <w:br/>
        <w:t>47. The aspects of unfairness just illustrated do not appear to be overcome by the changes made during the investigation by the Professional in the Contractual Model updated in April 2023, as the clauses in question have remained substantially unchanged.</w:t>
        <w:br/>
        <w:t>48. With reference, instead, to the new version of the exclusivity clause contained in the Contractual Model updated in January 2024 (article 3.7), while appreciating the introduction of the alternative option of granting the assignment without exclusivity, along with the simultaneous modification of the contractual duration clause (left blank, with a maximum duration of 150 days provided in the Information Sheet), however, the Professional has not provided in the contractual text suitable benefits for the consumer aimed at ensuring balance between the parties. Moreover, the unfairness of this clause is further aggravated by the provision at the bottom of the Contractual Model in question of a clause whereby the consumer declares pursuant to article 33 of the Consumer Code that certain contractual provisions, including the aforementioned article 3.7, have been the subject of careful individual negotiation. The reference to article 33 of the Consumer Code indeed lends itself to being interpreted as a reversal of the burden of proof, aimed at relieving the Professional from the burden, expressly provided for by article 34, paragraph 5, of the Consumer Code, to prove that the clauses unilaterally prepared by them have been the subject of specific negotiation with the consumer, thus fundamentally precluding the examination of unfairness.</w:t>
      </w:r>
    </w:p>
    <w:p>
      <w:r>
        <w:t>B. Penalties and Expenses</w:t>
        <w:br/>
        <w:t>49. In clause B), described in point II of this provision, the obligation for the consumer to pay the Professional an amount as a penalty, fixed at one thousand euros, is provided for when the consumer violates the exclusivity agreement.</w:t>
        <w:br/>
        <w:t>50. This contractual provision creates an imbalance to the detriment of the consumer, as it does not provide for the grantor to be exempt from paying the penalty when the failure to comply with the exclusivity is attributable to objectively justified reasons, which may arise especially considering the long duration of the assignment.</w:t>
        <w:br/>
        <w:t>51. Furthermore, the amount provided may even exceed, for a non-negligible percentage of consumers, the value of the commission itself, thus being manifestly excessive and disproportionate (principle of graduality) in the absence of adjustments that calibrate its amount to the time elapsed since the granting of the assignment, to the activity actually performed by the Professional, to the value of the requested financing and the agreed commission.</w:t>
        <w:br/>
        <w:t>52. The Professional's freedom in determining the amount of the penalty, which – it is worth remembering – serves to liquidate the damage from non-performance in a preventive and conventional manner, regardless of the actual damage, encounters a legal limit represented by manifest excessiveness which, in the context of contracts concluded by the consumer, presumes its unfairness. The criterion for evaluating whether the amount of the penalty is “manifestly excessive” can be found in the failure to comply with the principle of graduality illustrated above. This principle is also confirmed in the most recent case law40 and aims to ensure, in reciprocal performance contracts such as the credit mediation contract, respect for the contractual synallagma, as the performance of one party must be based on the counter-performance, in order to avoid situations of undue enrichment to the detriment of the weaker contracting party.</w:t>
        <w:br/>
        <w:t>53. In this regard, the Organization of Agents and Mediators (OAM) has also noted that, while considering reasonable the provision of a cost for assistance and preliminary consultancy activities, “if actually provided and resulting from the documentation files of the individual client,” in cases where costs are indicated in the mediation contract, also due from the client for cases of early withdrawal occurring before the completion of the “matching” performance, “such costs should always be correlated to activities actually performed and illustrated ex ante to the consumer in the detailed content of each agreed performance.” With specific reference to the provisions of penalties applicable in case of withdrawal and/or violation of the exclusivity agreement, the OAM has stated that “The amounts provided for the client in case of withdrawal must be commensurate with the activity actually performed by the mediation company before the withdrawal itself or, in any case, at least not coincide with the entire amount that would be provided for a mediation service rendered in full form, where such activity has only been partially performed (i.e., penalty equal to 100% of the mediation fee). Conversely, an amount of the penalty equal to 100% of the fee would be justified in cases where the mediation activity has effectively resulted in the final approval of the financing or, in any case, has already been fully completed at the time of withdrawal”41.</w:t>
      </w:r>
    </w:p>
    <w:p>
      <w:r>
        <w:rPr>
          <w:b/>
        </w:rPr>
        <w:t>[Pages 169–171]</w:t>
      </w:r>
    </w:p>
    <w:p>
      <w:r>
        <w:t>BULLETIN NO. 11 OF MARCH 18, 2024 171</w:t>
        <w:br/>
        <w:t>54. In light of all the above, the contractual provision in question constitutes a case under article 33, paragraph 2, letters f) and t) of the Consumer Code, as such clause would have the object or effect of “imposing on the consumer, in case of non-fulfillment or delay in fulfillment, the payment of a sum of money as compensation, penalty clause or other equivalent title of manifestly excessive amount” and of establishing against the consumer “limitations on the right to raise objections” and “restrictions on contractual freedom in relations with third parties” even in the presence of objectively justified reasons, and Monety has not provided suitable elements to overcome this presumption. In any case, this clause appears to constitute a violation of article 33, paragraph 1, of the Consumer Code as it, based on the observations above, is likely to create a significant imbalance in the rights and obligations arising from the contract, to the detriment of the participating consumers.</w:t>
        <w:br/>
        <w:t>55. The aspects of unfairness just outlined do not appear to be overcome by the changes made during the investigation by the Professional in the Contractual Model updated in April 2023, as the clause in question has remained essentially unchanged.</w:t>
        <w:br/>
        <w:t>56. With regard, instead, to the new formulation of the Contractual Model updated in January 2024, as previously noted, in article 9 the Professional left blank the amount of the penalty applicable in case of violation of the exclusivity agreement by the consumer, providing in the related Information Sheet that such amount cannot exceed 50% of the agreed commission, thus ceasing the violation of article 33, paragraph 2, letter f) of the Consumer Code. However, Monety has not provided for the exemption of the assignor from the payment of the penalty where the non-compliance with the exclusivity is attributable to objectively justified reasons, thus limiting the related right to raise objections. Moreover, the unfairness of this clause is further aggravated by the provision at the bottom of the Contractual Model in question of a clause whereby the consumer declares pursuant to article 33 of the Consumer Code that certain contractual provisions, including the aforementioned article 9, have been the subject of careful individual negotiation. The reference to article 33 of the Consumer Code indeed lends itself to being interpreted as a reversal of the burden of proof, aimed at relieving the Professional from the burden, expressly provided for by article 34, paragraph 5, of the Consumer Code, to prove that the clauses unilaterally prepared by the same have been the subject of specific negotiation with the consumer thus precluding in principle the examination of unfairness. Therefore, the clause in question is deemed unfair pursuant to article 33, paragraph 2, letter t) of the Consumer Code.</w:t>
        <w:br/>
        <w:t>V. QUANTIFICATION OF THE SANCTION</w:t>
        <w:br/>
        <w:t>Pursuant to article 27, paragraph 9, of the Consumer Code, as recalled by article 37-bis of the Consumer Code, the Authority, with the provision that ascertains the violation of the regulation of abusive clauses in contracts concluded with consumers, orders the application of an administrative pecuniary sanction from €5,000 to €10,000,000, taking into account the severity and duration of the violation and also the economic and asset conditions of the professional. For the purposes of quantifying the sanction, it is noted that article 27, paragraph 9, of the Consumer Code applies to the cases referred to in article 33 of the same Code starting from February 1, 2022, and that the violations in question were found to be in existence on April 2, 2023, the date of entry into force of Legislative Decree No. 26 of March 7, 2023, therefore the limits provided for by this apply to the case at hand.</w:t>
        <w:br/>
        <w:t>In the case of a procedure concerning a plurality of ascertained administrative offenses, the jurisprudence has clarified that in the presence of a plurality of offenses with structural and functional autonomy, attributed to the responsibility of the professionals, the criterion of material cumulation of sanctions applies, instead of legal cumulation (see among others, Council of State, Section VI, judgment No. 209 of January 19, 2012).</w:t>
        <w:br/>
        <w:t>Regarding the quantification of the sanction, account must be taken, where appropriate, of the criteria indicated in paragraph 2-ter of article 37-bis and, as applicable, of the criteria identified by article 11 of Law No. 689/81, by virtue of the reference provided for in article 37-bis, paragraph 2-quater, of the Consumer Code: in particular, the severity of the violation, the work carried out by the company to eliminate or mitigate the infringement, the personality of the agent, as well as the economic conditions of the company itself.</w:t>
        <w:br/>
        <w:t>Clause A)</w:t>
        <w:br/>
        <w:t>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the economic size of the Company (as of December 31, 2022, the turnover is between [1,000,000–10,000,000] euros) and belonging to the Gabetti Group.</w:t>
        <w:br/>
        <w:t>As for the duration of the violation, from the available elements in the records, it appears that the clause described in paragraph II, letter A), of this provision has been adopted since October 202042; for the purposes of applying the sanction, however, account is taken of the applicability of article 27, paragraph 9, of the Consumer Code to the cases referred to in article 33 of the same Code starting from February 1, 2022; it is also noted that this violation has not ceased due to the adoption of the clause contained in article 3.7 of the Contractual Model updated in January 2024, based on the reading and interpretation of the same in light of the overall context of the entire text of the contractual conditions in which it is inserted, and therefore the violation is still ongoing.</w:t>
        <w:br/>
        <w:t>Based on these elements, it is deemed appropriate to determine the amount of the administrative pecuniary sanction applicable to Monety S.r.l. in the amount of €117,000 (one hundred seventeen thousand euros).</w:t>
        <w:br/>
        <w:t>Clause B)</w:t>
        <w:br/>
        <w:t>With regard to the severity of the violation, it is taken into account, in the case at hand, that the clause in question is applied in a sensitive sector, such as the credit sector, characterized by a state of information asymmetry within a highly technical and complex context, as well as the particular vulnerability that may characterize the consumer in need of financing, the economic size of the Company (as of December 31, 2022, the turnover is between [1,000,000–10,000,000] euros), belonging to the Gabetti Group, as well as the reduced value of the penalties applied during the reference period.</w:t>
        <w:br/>
        <w:t>42 See Doc. 1 cited.</w:t>
      </w:r>
    </w:p>
    <w:p>
      <w:r>
        <w:t>BULLETIN NO. 11 OF MARCH 18, 2024 173</w:t>
        <w:br/>
        <w:t>As for the duration of the violation, from the available elements in the records, it appears that the clause described in paragraph II, letter B), of this provision has been adopted since October 202043; for the purposes of applying the sanction, however, account is taken of the applicability of article 27, paragraph 9, of the Consumer Code to the cases referred to in article 33 of the same Code starting from February 1, 2022; it is also noted that this violation has not ceased due to the adoption of the clause contained in article 9 of the Contractual Model updated in January 2024, based on the reading and interpretation of the same in light of the overall context of the entire text of the contractual conditions in which it is inserted, and therefore the violation is still ongoing44.</w:t>
        <w:br/>
        <w:t>Based on these elements, it is deemed appropriate to determine the amount of the administrative pecuniary sanction applicable to Monety S.r.l. in the amount of €117,000 (one hundred seventeen thousand euros).</w:t>
        <w:br/>
        <w:t>CONSIDERING that for the clauses referred to in paragraph II, sub letters A) and B) of this provision there is a legal presumption of unfairness pursuant to article 33, paragraphs 1 and 2, letters f) and t), of the Consumer Code and that Monety has not provided fully sufficient elements to overcome this presumption;</w:t>
        <w:br/>
        <w:t>CONSIDERING, in particular, based on the above considerations, that the clauses described in paragraph II, sub letters A) and B) of this provision, are unfair pursuant to articles 33, paragraphs 1 and 2, letters f) and t) of the Consumer Code as they are likely to create, to the detriment of the consumer, a significant imbalance in the rights and obligations arising from the contract;</w:t>
        <w:br/>
        <w:t>CONSIDERING that the new clauses, contained in the Contractual Model used by Monety from April 2023 until January 2024, reformulated according to the version produced in the records, are unfair pursuant to articles 33, paragraphs 1 and 2, letter t), of the Consumer Code as they are likely to create, to the detriment of the consumer, a significant imbalance in the rights and obligations arising from the contract;</w:t>
        <w:br/>
        <w:t>CONSIDERING that the new clauses, contained in articles 3.7 and 9 of the Contractual Model used by Monety from January 2024, reformulated according to the version produced in the records, are unfair pursuant to articles 33, paragraphs 1 and 2, letter t), of the Consumer Code as they are likely to create, to the detriment of the consumer, a significant imbalance in the rights and obligations arising from the contract;</w:t>
        <w:br/>
        <w:t>CONSIDERING that pursuant to article 37-bis, paragraph 2, of the Consumer Code and article 23, paragraph 8, of the Regulation, the publication of an extract of this provision is due to fully inform consumers of the unfairness of the clauses subject to this assessment, on the institutional website of the Authority and on that of the Professional</w:t>
        <w:br/>
        <w:t>RESOLVES</w:t>
        <w:br/>
        <w:t xml:space="preserve">a) that the clause sub A) described in point II of this provision and adopted by Monety S.r.l. in the Credit Mediation Contract - in the version in force until April 2023, in that in force until January 2024 and in that currently in force - constitutes a case of an unfair clause according to articles 33, paragraphs 1 and 2, letters f) and t), of the Consumer Code. </w:t>
        <w:br/>
        <w:t>43 See Doc. 1 cited.</w:t>
        <w:br/>
        <w:t>44 See Doc. 22 cited.</w:t>
      </w:r>
    </w:p>
    <w:p>
      <w:r>
        <w:rPr>
          <w:b/>
        </w:rPr>
        <w:t>[Pages 172–174]</w:t>
      </w:r>
    </w:p>
    <w:p>
      <w:r>
        <w:t>174 BULLETIN NO. 11 OF MARCH 18, 2024</w:t>
        <w:br/>
        <w:t>pursuant to article 33, paragraphs 1 and 2, letter t), of the Consumer Code, for the reasons and within the limits set forth in the motivation, and prohibits its use;</w:t>
        <w:br/>
        <w:t>b) that the clause under B) described in point II of this provision and adopted by Monety S.r.l. in the Credit Mediation Contract - in the version in force until April 2023 and in the version in force until January 2024 - constitutes a case of an unfair clause pursuant to article 33, paragraphs 1 and 2, letters f) and t), of the Consumer Code, for the reasons and within the limits set forth in the motivation, and in the version currently in force constitutes a case of an unfair clause pursuant to article 33, paragraphs 1 and 2, letter t), of the Consumer Code, for the reasons and within the limits set forth in the motivation, and prohibits its use;</w:t>
        <w:br/>
        <w:t>c) to impose on Monety S.r.l. for the violation referred to in letter a) an administrative pecuniary sanction of €117,000 (one hundred seventeen thousand euros);</w:t>
        <w:br/>
        <w:t>d) to impose on Monety S.r.l. for the violation referred to in letter b) an administrative pecuniary sanction of €117,000 (one hundred seventeen thousand euros);</w:t>
        <w:br/>
        <w:t>e) that the Professional shall communicate to the Authority, within sixty days from the notification of this provision, the initiatives taken in compliance with the injunction referred to in points a) and b).</w:t>
        <w:br/>
        <w:t>ORDERS</w:t>
        <w:br/>
        <w:t>a) that the company Monety S.r.l. publish, at its own expense, an excerpt of the provision pursuant to article 37-bis of the Consumer Code and article 21, paragraph 8, of the Regulation, according to the following modalities:</w:t>
        <w:br/>
        <w:t>1) the text of the excerpt of the provision is that reported in the annex to this provision;</w:t>
        <w:br/>
        <w:t>2) the text of the excerpt of the provision must be published for ten consecutive days on the homepage of the website www.monety.it with adequate graphic prominence,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www.monety.it;</w:t>
        <w:br/>
        <w:t>c) the publication must fully reflect the setting, structure, and appearance of the excerpt attached to this provision; the writing, printing, and dissemination methods must not be such as to nullify the effects of the publication; in particular, on the webpage of the publication of the excerpt, as well as on the remaining pages, there must not be messages that conflict with the content of the excerpt or that tend to diminish its scope and meaning.</w:t>
      </w:r>
    </w:p>
    <w:p>
      <w:r>
        <w:t>BULLETIN NO. 11 OF MARCH 18, 2024 175</w:t>
        <w:br/>
        <w:t>Pursuant to article 37-bis, paragraph 2, of the Consumer Code, in case of non-compliance with the publication obligation, the Authority applies an administrative pecuniary sanction from €5,000 to €50,000.</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br/>
        <w:t>Immediate communication of the payment must be given to the Authority by sending documentation certifying the payment made.</w:t>
        <w:br/>
        <w:t>Pursuant to article 27, paragraph 12, of the Consumer Code, in case of non-compliance with the injunctions referred to in points a) and b) of the device of this provision, the Authority applies an administrative pecuniary sanction from €10,000 to €10,000,000. In cases of repeated non-compliance, the Authority may order the suspension of business activity for a period not exceeding thirty days.</w:t>
        <w:br/>
        <w:t>Against this provision, an appeal may be submitted to the TAR of Lazio, pursuant to article 37-bis, paragraph 4, and article 135, paragraph 1, letter b), of the Administrative Procedure Code (Legislative Decree No. 104 of July 2, 2010), within sixty days from the date of notification thereof,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communication of the opinion itself.</w:t>
        <w:br/>
        <w:t>This provision will be notified to the interested parties and published in the Bulletin of the Authority for the Competition and the Market.</w:t>
      </w:r>
    </w:p>
    <w:p>
      <w:r>
        <w:t>176 BULLETIN NO. 11 OF MARCH 18, 2024</w:t>
        <w:br/>
        <w:t>The excerpt of the provision is also published, within twenty days from the communication of its adoption, in a specific section of the institutional website of the Authority.</w:t>
        <w:br/>
        <w:t>THE SECRETARY GENERAL THE PRESIDENT</w:t>
        <w:br/>
        <w:t>Guido Stazi Roberto Rustichelli</w:t>
      </w:r>
    </w:p>
    <w:p>
      <w:r>
        <w:rPr>
          <w:b/>
        </w:rPr>
        <w:t>[Pages 175–177]</w:t>
      </w:r>
    </w:p>
    <w:p>
      <w:r>
        <w:t>BULLETIN NO. 11 OF MARCH 18, 2024 177</w:t>
        <w:br/>
        <w:t>CV238 – MONETY – EXCLUSIVITY CLAUSES</w:t>
        <w:br/>
        <w:t>Attached to the provision of the Competition and Market Authority dated February 27, 2024, regarding administrative protection against unfair clauses pursuant to article 37-bis of the Consumer Code.</w:t>
        <w:br/>
        <w:t>[OMISSIS]</w:t>
        <w:br/>
        <w:t>The clauses subject to investigation are contained in the contractual model called “CREDIT MEDIATION CONTRACT” (hereinafter also “Contractual Model”), published on Monety's website, which the Professional uses for the performance of their credit mediation activity aimed at finding the lending institution for the conclusion of loan contracts by consumers. This model, used since October 2020, consists of a part containing the “Summary Document,” which includes the main economic conditions and the main contractual clauses, and a part containing the “Mediation Contract.”</w:t>
        <w:br/>
        <w:t>In particular, the following clauses contained in the aforementioned Contractual Model are the subject of this evaluation:</w:t>
        <w:br/>
        <w:t>A) “Method of granting the assignment – withdrawal of the Client: the assignment is granted exclusively and irrevocably: the client cannot independently seek financing and cannot withdraw from the contract before the expiration. In such cases, the Client is obliged to pay a penalty in the event of withdrawal before the expiration, but after the 14 days of the right of withdrawal referred to in the “Withdrawal of the Consumer Client.”;</w:t>
        <w:br/>
        <w:t>B) “Penalties and expenses. The Client will be required to pay a penalty, pursuant to art. 1382 c.c., equal to Euro 1,000.00 (one thousand euros) in the following cases: a) violation of the exclusivity agreement; […]”;</w:t>
        <w:br/>
        <w:t>Regarding clause A), the Professional has been accused of the alleged unfairness of the same pursuant to article 33, paragraphs 1 and 2, letter t) of the Consumer Code, as this clause would have the object or effect of imposing on the consumer “restrictions on contractual freedom in relations with third parties” considering the provision of a particularly long duration term, even in light of the provision of a penalty applicable to the consumer in case of violation of the exclusivity agreement and the observation that the contractual text lacks suitable advantages aimed at ensuring balance between the parties; in any case, this clause appears to be capable of constituting a violation of article 33, paragraph 1, of the Consumer Code as it is likely to create a significant imbalance of the rights and obligations arising from the contract, to the detriment of the participating consumers.</w:t>
        <w:br/>
        <w:t>Regarding clause B), the Professional has been accused of the alleged unfairness of the same pursuant to article 33, paragraphs 1 and 2, letters f) and t) of the Consumer Code, as this clause would have the object or effect of “imposing on the consumer, in case of non-fulfillment or delay in fulfillment, the payment of a sum of money as compensation, penalty clause or other equivalent title of manifestly excessive amount” and of imposing on the consumer “limitations on the ability to raise objections” and “restrictions on contractual freedom in relations with third parties” even in the presence of objectively justified reasons. In any case, this clause appears to be capable of constituting a violation of article 33, paragraph 1, of the Consumer Code as it is likely to create a significant imbalance of the rights and obligations arising from the contract, to the detriment of the participating consumers.</w:t>
        <w:br/>
        <w:t>[OMISSIS]</w:t>
        <w:br/>
        <w:t>The following is the evaluation of the individual profiles of unfairness for each relevant contractual provision.</w:t>
        <w:br/>
        <w:t>[OMISSIS]</w:t>
        <w:br/>
        <w:t>CONSIDERED, in particular, based on the above considerations, that the clauses described in paragraph II, sub letters A) and B) of this provision, are unfair pursuant to articles 33, paragraphs 1 and 2, letters f) and t) of the Consumer Code as they create, to the detriment of the consumer, a significant imbalance of the rights and obligations arising from the contract;</w:t>
        <w:br/>
        <w:t>CONSIDERED that the new clauses, contained in the Contractual Model used by Monety from April 2023 until January 2024, reformulated according to the version produced in the proceedings, are unfair pursuant to articles 33, paragraphs 1 and 2, letter t), of the Consumer Code as they create, to the detriment of the consumer, a significant imbalance of the rights and obligations arising from the contract;</w:t>
        <w:br/>
        <w:t>CONSIDERED that the new clauses, contained in articles 3.7 and 9 of the Contractual Model used by Monety from January 2024, reformulated according to the version produced in the proceedings, are unfair pursuant to articles 33, paragraphs 1 and 2, letter t), of the Consumer Code as they create, to the detriment of the consumer, a significant imbalance of the rights and obligations arising from the contract;</w:t>
        <w:br/>
        <w:t>[OMISSIS]</w:t>
        <w:br/>
        <w:t>RESOLVES</w:t>
        <w:br/>
        <w:t>a) that the clause sub A) described in point II of this provision and adopted by Monety S.r.l. in the Credit Mediation Contract - in the version in force until April 2023, in the version in force until January 2024, and in the version currently in force - constitutes a case of an unfair clause pursuant to article 33, paragraphs 1 and 2, letter t), of the Consumer Code, for the reasons and within the limits stated in the motivation, and prohibits its use;</w:t>
        <w:br/>
        <w:t>b) that the clause sub B) described in point II of this provision and adopted by Monety S.r.l. in the Credit Mediation Contract - in the version in force until April 2023 and in the version in force until January 2024 - constitutes a case of an unfair clause pursuant to article 33, paragraphs 1 and 2, letters f) and t), of the Consumer Code, for the reasons and within the limits stated in the motivation, and</w:t>
      </w:r>
    </w:p>
    <w:p>
      <w:r>
        <w:t>BULLETIN NO. 11 OF MARCH 18, 2024 179</w:t>
        <w:br/>
        <w:t>in the version currently in force constitutes a case of an unfair clause pursuant to article 33, paragraphs 1 and 2, letter t), of the Consumer Code, for the reasons and within the limits stated in the motivation, and prohibits its use;</w:t>
        <w:br/>
        <w:t>[OMISSIS]</w:t>
      </w:r>
    </w:p>
    <w:p>
      <w:r>
        <w:rPr>
          <w:b/>
        </w:rPr>
        <w:t>[Pages 178–180]</w:t>
      </w:r>
    </w:p>
    <w:p>
      <w:r>
        <w:t>180 BULLETIN NO. 11 OF MARCH 18, 2024</w:t>
        <w:br/>
        <w:t>VARIOUS</w:t>
        <w:br/>
        <w:t>CONTRIBUTION TO THE BURDEN ARISING FROM THE OPERATION OF THE</w:t>
        <w:br/>
        <w:t>ANTITRUST AUTHORITY FOR THE YEAR 2024</w:t>
        <w:br/>
        <w:t>Provision No. 31092</w:t>
        <w:br/>
        <w:t>THE ANTITRUST AUTHORITY</w:t>
        <w:br/>
        <w:t>IN ITS MEETING of March 5, 2024;</w:t>
        <w:br/>
        <w:t>HAVING REGARD to Law No. 287 of October 10, 1990;</w:t>
        <w:br/>
        <w:t>HAVING REGARD to paragraph 7-ter of Article 10 of Law No. 287/90, introduced by paragraph 1 of Article 5-bis of Decree-Law No. 1 of January 24, 2012, as amended by the conversion law of March 24, 2012, No. 27, which establishes that the burden arising from the operation of the Antitrust Authority is covered by a contribution amounting to 0.08 per thousand of the revenue resulting from the last approved financial statement of capital companies with total revenues exceeding 50 million euros, without prejudice to the criteria established by paragraph 2 of Article 16 of Law No. 287/90 and that the maximum contribution burden for each company cannot exceed one hundred times the minimum amount;</w:t>
        <w:br/>
        <w:t>HAVING REGARD in particular to paragraph 7-quater of Article 10 of Law No. 287/90, introduced by paragraph 1 of Article 5-bis of Decree-Law No. 1 of January 24, 2012, as amended by the conversion law of March 24, 2012, No. 27, which establishes that, starting from the year 2014, the contribution is paid, by July 31 of each year, directly to the Authority in the manner determined by the Authority itself through its own resolution. Any changes to the amount and methods of contribution may be adopted by the Authority itself through its own resolution, within the maximum limit of 0.5 per thousand of the revenue resulting from the financial statement approved prior to the adoption of the resolution, without prejudice to the maximum contribution threshold referred to in paragraph 7-ter;</w:t>
        <w:br/>
        <w:t>HAVING REGARD to resolution No. 30499 of March 7, 2023, with which the Authority set the contribution percentage for 2023 at 0.058‰ of the revenue resulting from the last approved financial statement of capital companies with total revenues exceeding 50 million euros, without prejudice to the criteria established by paragraph 2 of Article 16 of Law No. 287/90;</w:t>
        <w:br/>
        <w:t>HAVING REGARD to Article 1, paragraph 10, of Decree-Law No. 104 of August 10, 2023, containing Urgent Provisions for the Protection of Users, regarding economic and financial activities and strategic investments, pursuant to which “In order to ensure the effective exercise of the competencies and powers referred to in paragraphs 1 to 6, the organizational structure of the Antitrust Authority is increased by eight units of the managerial career and two units of the operational career. The related costs, within the limit of 598,252 euros for the year 2024, 1,263,374 euros for the year 2025, 1,315,086 euros for the year 2026, 1,379,730 euros for the year 2027, 1,444,513 euros for the year 2028, 1,509,296 euros for the year 2029, 1,572,986 euros for the year 2030, 1,638,000 euros for the year 2031, 1,773,166 euros for the year 2032 and 1,858,446 euros annually starting from the year 2033, shall be covered by a corresponding increase in the contribution referred to in Article 10, paragraphs 7-ter and 7-quater of Law No. 287 of October 10, 1990, in an amount strictly sufficient to ensure full coverage of the costs for the new hires”;</w:t>
        <w:br/>
        <w:t>CONSIDERING that this provision states that the full coverage of the costs arising from the increase in the organizational structure must be ensured by a corresponding increase in the contribution;</w:t>
        <w:br/>
        <w:t>CONSIDERING, therefore, in application of the cited provision, that the rate for calculating the contribution to the operating costs of the Authority for the year 2024 must be set at 0.059 per thousand of the revenue resulting from the last approved financial statement of capital companies with total revenues exceeding 50 million euros, without prejudice to the criteria established by paragraph 2 of Article 16 of Law No. 287/90;</w:t>
        <w:br/>
        <w:t>DEEMING it necessary to adopt the resolution provided for by Article 10, paragraph 7-quater, of Law No. 287/90, in order to determine the amount of the contribution due for the year 2024;</w:t>
        <w:br/>
        <w:t>RESOLVES</w:t>
        <w:br/>
        <w:t>1. to set for the year 2024, pursuant to Article 10, paragraph 7-quater of Law No. 287/90, the rate for calculating the contribution to the operating costs of the Authority at 0.059 per thousand of the revenue resulting from the last approved financial statement, as of the date of this resolution, of capital companies with total revenues exceeding 50 million euros, without prejudice to the criteria established by paragraph 2 of Article 16 of Law No. 287/90.</w:t>
        <w:br/>
        <w:t>2. that the maximum contribution burden for each company cannot exceed one hundred times the minimum amount and, therefore, cannot exceed 295,000.00 euros.</w:t>
        <w:br/>
        <w:t>This resolution will be published in the Official Gazette of the Italian Republic, in the Bulletin, and on the website of the Antitrust Authority.</w:t>
        <w:br/>
        <w:t>THE SECRETARY GENERAL THE PRESIDENT</w:t>
        <w:br/>
        <w:t>Guido Stazi Roberto Rustichelli</w:t>
      </w:r>
    </w:p>
    <w:p>
      <w:r>
        <w:t>Antitrust Authority Weekly Bulletin</w:t>
        <w:br/>
        <w:t>of Competition and Market Year XXXIV - No. 11 - 2024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