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https://www.agcm.it/dotcmsDOC/bollettini/12-18.pdf</w:t>
      </w:r>
    </w:p>
    <w:p>
      <w:r>
        <w:t>Pages translated : 62</w:t>
      </w:r>
    </w:p>
    <w:p/>
    <w:p>
      <w:r>
        <w:rPr>
          <w:b/>
        </w:rPr>
        <w:t>[Pages 1–3]</w:t>
      </w:r>
    </w:p>
    <w:p>
      <w:r>
        <w:t>Bulletin</w:t>
        <w:br/>
        <w:t>Weekly</w:t>
        <w:br/>
        <w:t>Year XXVIII - No. 12</w:t>
        <w:br/>
        <w:t>Published on the website www.agcm.it</w:t>
        <w:br/>
        <w:t>April 3, 2018</w:t>
      </w:r>
    </w:p>
    <w:p>
      <w:r>
        <w:t>SUMMARY</w:t>
        <w:br/>
        <w:t>AGREEMENTS AND ABUSE OF DOMINANT POSITION 5</w:t>
        <w:br/>
        <w:t>A480B - INCREASE IN ASPEN PHARMACEUTICAL PRICES - NON-COMPLIANCE</w:t>
        <w:br/>
        <w:t>Decision No. 27088 5</w:t>
        <w:br/>
        <w:t>A507 - AVIATION FUEL SUPPLY SERVICE AT BERGAMO AIRPORT</w:t>
        <w:br/>
        <w:t>Decision No. 27089 7</w:t>
        <w:br/>
        <w:t>CONCENTRATION OPERATIONS 28</w:t>
        <w:br/>
        <w:t>C12152 - EUROPEAN LABORATORY SERVICES/LIFEBRAIN</w:t>
        <w:br/>
        <w:t>Decision No. 27090 28</w:t>
        <w:br/>
        <w:t>REPORTING AND CONSULTATIVE ACTIVITIES 32</w:t>
        <w:br/>
        <w:t>AS1491 – FRIULI VENEZIA GIULIA REGION – LAW 44/2017 - LAW CONNECTED TO THE</w:t>
        <w:br/>
        <w:t>BUDGETARY MEASURE 2018-2020 32</w:t>
        <w:br/>
        <w:t>AS1492 – TECHNICAL OBSTACLES AND EXCESSIVE ECONOMIC BURDENS NOT PROPORTIONAL TO</w:t>
        <w:br/>
        <w:t>THE PURPOSES OF THE OBLIGATION TO HAVE MULTIPLE TYPES OF FUELS AT FUEL</w:t>
        <w:br/>
        <w:t>DISTRIBUTION FACILITIES 36</w:t>
        <w:br/>
        <w:t>AS1493 – PROCEDURES FOR THE ALLOCATION OF FREQUENCY USAGE RIGHTS TO</w:t>
        <w:br/>
        <w:t>FACILITATE THE TRANSITION TO 5G TECHNOLOGY 38</w:t>
        <w:br/>
        <w:t>UNFAIR TRADE PRACTICES 44</w:t>
        <w:br/>
        <w:t>PS10926 - BULLETINS FOR REGISTRATION IN THE BUSINESS REGISTER</w:t>
        <w:br/>
        <w:t>Decision No. 27092 44</w:t>
        <w:br/>
        <w:t>PS10986 - OSCAR RENT (ONLY SPECIAL CARS) - FAILURE TO DELIVER CARS</w:t>
        <w:br/>
        <w:t>Decision No. 27093 52</w:t>
      </w:r>
    </w:p>
    <w:p>
      <w:r>
        <w:t>BULLETIN NO. 12 OF APRIL 3, 2018 5</w:t>
        <w:br/>
        <w:t>AGREEMENTS AND ABUSE OF DOMINANT POSITION</w:t>
        <w:br/>
        <w:t>A480B - INCREASE IN ASPEN PHARMACEUTICAL PRICES - NON-COMPLIANCE</w:t>
        <w:br/>
        <w:t>Decision No. 27088</w:t>
        <w:br/>
        <w:t>THE ANTITRUST AUTHORITY</w:t>
        <w:br/>
        <w:t>IN ITS MEETING of March 14, 2018;</w:t>
        <w:br/>
        <w:t>HEARD the Rapporteur Dr. Gabriella Muscolo;</w:t>
        <w:br/>
        <w:t>HAVING REGARD to Law No. 287 of October 10, 1990;</w:t>
        <w:br/>
        <w:t>HAVING REGARD to Law No. 689 of November 24, 1981;</w:t>
        <w:br/>
        <w:t>HAVING REGARD to its resolution No. 26432 of March 1, 2017, with which it contested to the companies</w:t>
        <w:br/>
        <w:t>Aspen Pharmacare Holdings Ltd., Aspen Pharma Trading Ltd., Aspen Italia S.r.l. and Aspen Pharma</w:t>
        <w:br/>
        <w:t>Ireland Ltd. the violation of Article 15, paragraph 2, of Law No. 287/90, for non-compliance with</w:t>
        <w:br/>
        <w:t>the Authority's decision No. 26185 of September 29, 2016;</w:t>
        <w:br/>
        <w:t>HAVING REGARD to its resolution No. 26807 of October 18, 2017, with which it accepted the request for an extension of</w:t>
        <w:br/>
        <w:t>the deadline for concluding the proceedings submitted by Aspen Pharmacare Holdings Ltd., Aspen</w:t>
        <w:br/>
        <w:t>Pharma Trading Ltd., Aspen Italia S.r.l. and Aspen Pharma Ireland Ltd., extending said deadline to</w:t>
        <w:br/>
        <w:t>February 28, 2018;</w:t>
        <w:br/>
        <w:t>HAVING REGARD to its resolution No. 27036 of February 14, 2018, with which it accepted the request for an extension</w:t>
        <w:br/>
        <w:t>of the deadline for concluding the proceedings submitted by Aspen Pharmacare Holdings Ltd.,</w:t>
        <w:br/>
        <w:t>Aspen Pharma Trading Ltd., Aspen Italia S.r.l. and Aspen Pharma Ireland Ltd., extending this</w:t>
        <w:br/>
        <w:t>deadline to May 15, 2018;</w:t>
        <w:br/>
        <w:t>HAVING REGARD to the documents of the proceedings;</w:t>
        <w:br/>
        <w:t>CONSIDERING that a summary of the evidence gathered during the proceedings has been simultaneously authorized to be transmitted to Aspen Pharmacare Holdings Ltd., Aspen</w:t>
        <w:br/>
        <w:t>Pharma Trading Ltd., Aspen Italia S.r.l. and Aspen Pharma Ireland Ltd., with which the deadline for the evidence-gathering phase has also been set for May 9, 2018, in order to ensure the full exercise of the defense rights of the Parties;</w:t>
        <w:br/>
        <w:t>CONSIDERING that, in light of the deadline for evidence gathering, it is necessary to order the postponement of the deadline for concluding the proceedings,</w:t>
        <w:br/>
        <w:t>currently set for May 15, 2018;</w:t>
        <w:br/>
        <w:t>RESOLVES</w:t>
        <w:br/>
        <w:t>to extend the deadline for concluding the proceedings to June 14, 2018.</w:t>
      </w:r>
    </w:p>
    <w:p>
      <w:r>
        <w:rPr>
          <w:b/>
        </w:rPr>
        <w:t>[Pages 4–6]</w:t>
      </w:r>
    </w:p>
    <w:p>
      <w:r>
        <w:t>6 BULLETIN NO. 12 OF APRIL 3, 2018</w:t>
      </w:r>
    </w:p>
    <w:p>
      <w:r>
        <w:t>This provision will be notified to the interested parties and published in the Bulletin of the Authority for the Protection of Competition and the Market.</w:t>
      </w:r>
    </w:p>
    <w:p>
      <w:r>
        <w:t>THE SECRETARY GENERAL THE PRESIDENT</w:t>
        <w:br/>
        <w:t>Roberto Chieppa Giovanni Pitruzzella</w:t>
      </w:r>
    </w:p>
    <w:p>
      <w:r>
        <w:t>BULLETIN NO. 12 OF APRIL 3, 2018</w:t>
      </w:r>
    </w:p>
    <w:p>
      <w:r>
        <w:t>A507 - AVIATION FUEL SUPPLY SERVICE AT BERGAMO AIRPORT</w:t>
      </w:r>
    </w:p>
    <w:p>
      <w:r>
        <w:t>Provision No. 27089</w:t>
      </w:r>
    </w:p>
    <w:p>
      <w:r>
        <w:t>THE AUTHORITY FOR THE PROTECTION OF COMPETITION AND THE MARKET</w:t>
      </w:r>
    </w:p>
    <w:p>
      <w:r>
        <w:t>IN ITS MEETING of March 14, 2018;</w:t>
      </w:r>
    </w:p>
    <w:p>
      <w:r>
        <w:t>HEARD the Rapporteur Prof. Michele Ainis;</w:t>
      </w:r>
    </w:p>
    <w:p>
      <w:r>
        <w:t>HAVING REGARD to Article 102 of the Treaty on the Functioning of the European Union (“TFEU”);</w:t>
      </w:r>
    </w:p>
    <w:p>
      <w:r>
        <w:t>HAVING REGARD to Law No. 287 of October 10, 1990, and subsequent amendments, and in particular Article 14-ter introduced by Law No. 248 of August 4, 2006, which converted with amendments Decree-Law No. 223 of July 4, 2006;</w:t>
      </w:r>
    </w:p>
    <w:p>
      <w:r>
        <w:t>HAVING REGARD to Regulation (EC) No. 1/2003 of the European Council of December 16, 2002, concerning the application of the competition rules laid down in Articles 81 and 82 of the Treaty establishing the European Community (now Articles 101 and 102 TFEU);</w:t>
      </w:r>
    </w:p>
    <w:p>
      <w:r>
        <w:t>HAVING REGARD to D.P.R. No. 217 of April 30, 1998;</w:t>
      </w:r>
    </w:p>
    <w:p>
      <w:r>
        <w:t>HAVING REGARD to its resolution of June 14, 2017, which initiated an investigation against Sacbo - Società per l’Aeroporto civile di Bergamo Orio al Serio S.p.A. and Levorato Marcevaggi S.r.l., concerning two alleged abuses of a dominant position in violation of Article 102 TFEU, relating to the management and use of the only fuel depot present at Bergamo airport, essential for providing boarding services;</w:t>
      </w:r>
    </w:p>
    <w:p>
      <w:r>
        <w:t>HAVING REGARD to the requests for participation in the proceedings submitted by Carboil S.r.l. on July 11, 2017, and Eni S.p.A. on July 26, 2017, accepted respectively on July 12 and August 1, 2017;</w:t>
      </w:r>
    </w:p>
    <w:p>
      <w:r>
        <w:t>HAVING REGARD to the communications of October 11, 2017, whereby Sacbo - Società per l’Aeroporto civile di Bergamo Orio al Serio S.p.A. and Levorato Marcevaggi S.r.l. submitted commitments pursuant to Article 14-ter of Law No. 287/90, according to the methods indicated in the specific “Form for the submission of commitments pursuant to Article 14-ter of Law No. 287/90”, aimed at removing the possible anti-competitive profiles subject to the investigation;</w:t>
      </w:r>
    </w:p>
    <w:p>
      <w:r>
        <w:t>HAVING REGARD to its resolution of October 18, 2017, which ordered the publication, on October 19, 2017, of the commitments proposed by Sacbo – Società per l’Aeroporto civile di Bergamo Orio al Serio S.p.A. and Levorato Marcevaggi S.r.l. on the Authority's website, in order to allow interested third parties to express their observations;</w:t>
      </w:r>
    </w:p>
    <w:p>
      <w:r>
        <w:t>HAVING REGARD to the observations on the commitments submitted by interested third parties and the National Civil Aviation Authority (ENAC);</w:t>
      </w:r>
    </w:p>
    <w:p>
      <w:r>
        <w:t>HAVING REGARD to the further communication from ENAC of December 15, 2017 regarding the initiation of the centralization procedure for the fuel storage depot currently present at Bergamo airport;</w:t>
      </w:r>
    </w:p>
    <w:p>
      <w:r>
        <w:t>HAVING REGARD to the ancillary modifications to the commitments submitted by Sacbo – Società per l’Aeroporto civile di Bergamo Orio al Serio S.p.A. and Levorato Marcevaggi S.r.l. on December 18, 2017;</w:t>
      </w:r>
    </w:p>
    <w:p>
      <w:r>
        <w:t>HAVING REGARD to the subsequent communications from Sacbo – Società per l’Aeroporto civile di Bergamo Orio al Serio S.p.A. and Levorato Marcevaggi S.r.l., received on January 2 and 3, 2018;</w:t>
      </w:r>
    </w:p>
    <w:p>
      <w:r>
        <w:t>HAVING REGARD to its communication to the European Commission, of February 9, 2018, pursuant to Article 11, paragraph 4, of Regulation (EC) No. 1/2003;</w:t>
      </w:r>
    </w:p>
    <w:p>
      <w:r>
        <w:t>HAVING REGARD to the acts of the proceedings;</w:t>
      </w:r>
    </w:p>
    <w:p>
      <w:r>
        <w:t>CONSIDERED the following:</w:t>
      </w:r>
    </w:p>
    <w:p>
      <w:r>
        <w:t>I. THE PARTIES</w:t>
      </w:r>
    </w:p>
    <w:p>
      <w:r>
        <w:t>1. Società per l’Aeroporto Civile di Bergamo Orio al Serio S.p.A. – SACBO S.p.A. (hereinafter “Sacbo”) is the total manager of Bergamo Orio al Serio airport by virtue of a concession signed with the National Civil Aviation Authority (“ENAC”) on March 1, 2002, which will expire on January 7, 2042. In 2016, the national revenue generated by SACBO was approximately 122 million euros.</w:t>
      </w:r>
    </w:p>
    <w:p>
      <w:r>
        <w:t>2. Levorato Marcevaggi S.r.l. (“Levorato Marcevaggi”) is a company owned by Levorato Invest S.p.A. (50%) and Marcevaggi Logistic Group S.p.A. (50%), active in the storage and boarding services of aviation fuel (also referred to as “boarding” or “into plane”) at several Italian airports. Levorato Marcevaggi began operating at Bergamo airport following the acquisition, on December 20, 2013, of the entire share capital of JV Orio S.r.l. (“JV Orio”), holder of the only fuel depot present at the airport. JV Orio was merged into Levorato Marcevaggi on June 20, 2014. In 2016, the national revenue generated by Levorato Marcevaggi was approximately 43 million euros.</w:t>
      </w:r>
    </w:p>
    <w:p>
      <w:r>
        <w:t>3. Skytanking S.r.l. (“Skytanking”) is a company wholly owned by Skytanking Holding GmbH, which heads the Aviation Fuelling branch of the Marquard &amp; Bahls group. Skytanking is active in boarding services at various Italian airports, including those of Milan Linate and Milan Malpensa, Rome Fiumicino, Naples, Venice, and Palermo; at the airports of Milan Linate, Palermo, and Naples, Skytanking also manages a fuel depot. In 2016, the national revenue generated by Skytanking was approximately 21 million euros.</w:t>
      </w:r>
    </w:p>
    <w:p>
      <w:r>
        <w:t>II. THE COMPLAINT BY SKYTANKING</w:t>
      </w:r>
    </w:p>
    <w:p>
      <w:r>
        <w:t>4. In a report received on October 10, 2014, Skytanking reported a series of refusals of access to the only storage depot present at Bergamo airport made by JV Orio/Levorato Marcevaggi. Access had been repeatedly requested by Skytanking since May 16, 2011, in order to operate in the liberalized boarding services market at Bergamo airport.</w:t>
      </w:r>
    </w:p>
    <w:p>
      <w:r>
        <w:t>5. In this context, the complainant stated that the offer of the boarding service at Bergamo airport necessarily presupposes access to the only storage depot currently present at the airport, providing extensive clarifications on the reasons why, at...</w:t>
      </w:r>
    </w:p>
    <w:p>
      <w:r>
        <w:rPr>
          <w:b/>
        </w:rPr>
        <w:t>[Pages 7–9]</w:t>
      </w:r>
    </w:p>
    <w:p>
      <w:r>
        <w:t>BULLETIN NO. 12 OF APRIL 3, 2018</w:t>
      </w:r>
    </w:p>
    <w:p>
      <w:r>
        <w:t>9. In the face of the denial of access to the infrastructure, entry into the market for boarding services within the airport is precluded.</w:t>
      </w:r>
    </w:p>
    <w:p>
      <w:r>
        <w:t>6. With numerous additions, the latest received on May 29, 2017, Skytanking has also reported obstructive competitive behaviors carried out by Sacbo, including more structural nature, particularly concerning the management methods of the storage facility: in this regard, Skytanking has represented how the latter has been, on one hand, transferred in ownership to JV Orio based on a "contract of assignment" that pertains to both storage activities and boarding activities; on the other hand, that the company owning the storage facility was initially directly participated by the airport operator and then, from 2013, was transferred to Levorato Marcevaggi, an operator that continued to offer an integrated service of storage and boarding, excluding potential competitors from access to the storage facility in the downstream market of boarding services.</w:t>
      </w:r>
    </w:p>
    <w:p>
      <w:r>
        <w:t>7. According to the notifier, such behaviors have already produced their effect, consisting precisely in having prevented access to the market of into-plane services by third-party operators, and are still ongoing.</w:t>
      </w:r>
    </w:p>
    <w:p>
      <w:r>
        <w:t>III. THE REFERENCE REGULATORY FRAMEWORK</w:t>
      </w:r>
    </w:p>
    <w:p>
      <w:r>
        <w:t>8. The reference regulatory framework regarding the management of airport services is primarily defined by the Navigation Code and by Legislative Decree No. 18 of January 13, 1999, with which the European Directive 96/67/EC on the free access to the market for ground handling services at airports was implemented in Italy.</w:t>
      </w:r>
    </w:p>
    <w:p>
      <w:r>
        <w:t>9. In this context, Article 705 of the Navigation Code establishes that the operator is required to ensure access to airport infrastructures according to criteria of transparency and non-discrimination, in order to allow the free exercise of activities in the downstream markets. In line with this, Legislative Decree No. 18/1999 designates the operator as the entity that ensures "the presence at the airport of the necessary ground handling services, providing them directly or coordinating the activities of entities that provide the aforementioned services for third parties or in self-production" (Article 3, paragraph 3), and as a participant in the liberalization of ground handling services, a specific objective of the decree and the European directive it implements. The decree, in fact, overcoming the model of vertical integration, assigned to the monopolistic operator, of the management of airport infrastructures and the provision of handling services, has highlighted the demand, from third parties, for access to the necessary infrastructures for entry into the liberalized markets of ground handling services.</w:t>
      </w:r>
    </w:p>
    <w:p>
      <w:r>
        <w:t>10. On this latter point, Article 4, paragraph 1, of Legislative Decree No. 18/1999, titled "Access of ground handling service providers," imposes the liberalization of ground handling services - including the activities of storage and boarding of aviation fuel - upon exceeding certain traffic thresholds within the airport. According to the 2004 ENAC annual report, Bergamo airport recorded a passenger traffic of 2,822,746 units in 2003 (an increase of 51% compared to the previous year), surpassing the threshold of 3 million in 2004 with approximately 3.3 million passengers. Ground handling services at Bergamo airport must therefore be considered fully liberalized at least since January 1, 2005.</w:t>
      </w:r>
    </w:p>
    <w:p>
      <w:r>
        <w:t>11. In the face of this liberalization scenario for services, Legislative Decree No. 18/1999, however, contemplates the possibility of limiting the performance of certain activities based on specific security or space constraints established by ENAC. In addition to considering the subjective limitation of the number of active operators, Article 9 of Legislative Decree No. 18/1999 considers the hypothesis in which the coexistence of multiple infrastructures within the airport site is not possible, and in this case, it provides that the only infrastructure is declared "centralized" by ENAC and is managed by the airport operator or by a sub-concessionaire selected through a tender, with simultaneous tariff regulation. Among the centralized infrastructures listed in Annex B to the decree, point 6 includes the "[m]anagement of centralized static fuel distribution facilities."</w:t>
      </w:r>
    </w:p>
    <w:p>
      <w:r>
        <w:t>12. Regarding the determination of fees for the use of airport infrastructures instrumental to the provision of ground handling services, Legislative Decree No. 18/1999 introduced the general criterion of cost orientation to which, pursuant to Article 10, paragraph 1, letter d), the airport operators responsible for quantifying the fees must adhere.</w:t>
      </w:r>
    </w:p>
    <w:p>
      <w:r>
        <w:t>IV. RELEVANT MARKETS</w:t>
      </w:r>
    </w:p>
    <w:p>
      <w:r>
        <w:t>13. Within airport management, three broad types of services can be identified: services related to the management of infrastructures, ground handling services, and commercial services. For the purposes of this proceeding, the management of airport infrastructures and ground handling services are relevant, particularly the storage and boarding of aviation fuel.</w:t>
      </w:r>
    </w:p>
    <w:p>
      <w:r>
        <w:t>IV.1 The market for airport infrastructure management</w:t>
      </w:r>
    </w:p>
    <w:p>
      <w:r>
        <w:t>14. The management of airport infrastructures includes the development, maintenance, operation, and availability of runways, parking areas, hangars, and other facilities, structures, or areas within the airport site, as well as the coordination and control of the activities that take place there.</w:t>
      </w:r>
    </w:p>
    <w:p>
      <w:r>
        <w:t>15. The geographical dimension of the market for airport infrastructure management coincides with the individual airport, in this case, with Bergamo airport.</w:t>
      </w:r>
    </w:p>
    <w:p>
      <w:r>
        <w:t>16. Sacbo is the total manager of Bergamo airport and therefore a legal monopolist in the management of the related infrastructures.</w:t>
      </w:r>
    </w:p>
    <w:p>
      <w:r>
        <w:t>IV.2 The market for storage and related services</w:t>
      </w:r>
    </w:p>
    <w:p>
      <w:r>
        <w:t>17. The market for fuel storage and related services includes that set of activities concerning the use of fuel storage infrastructures present within the airport site. The use of a fuel storage facility consists of a series of diversified services for multiple subjects, such as typically the input of fuel by oil companies and its extraction by boarding operators.</w:t>
      </w:r>
    </w:p>
    <w:p>
      <w:r>
        <w:t>18. The geographical dimension of this market, for obvious reasons related to the location of the storage facility, coincides with the individual airport.</w:t>
      </w:r>
    </w:p>
    <w:p>
      <w:r>
        <w:t>19. From the investigations conducted, it emerged that access to the only fuel storage facility currently present within the airport site of Bergamo is essential to provide boarding services at the airport: on one hand, the option of constructing additional storage facilities within the airport site has not proven feasible, and on the other hand, it is also not possible to offer the service using tank trucks supplied at external storage facilities, and thus resorting to mere stalls for tank trucks.</w:t>
      </w:r>
    </w:p>
    <w:p>
      <w:r>
        <w:t>20. Therefore, due to the full and exclusive availability of the storage facility since November 6, 2003, JV Orio has held a monopoly position in the market for storage and related services at Bergamo airport, which was then transferred to Levorato Marcevaggi effective from the merger by incorporation of JV Orio on June 20, 2014.</w:t>
      </w:r>
    </w:p>
    <w:p>
      <w:r>
        <w:t>IV.3 The market for aviation fuel boarding (into plane)</w:t>
      </w:r>
    </w:p>
    <w:p>
      <w:r>
        <w:t>21. The boarding service consists of the service of retrieving fuel from a storage facility within the airport site, and its subsequent loading onto aircraft with which oil companies, clients of the into-plane operator, have entered into supply agreements.</w:t>
      </w:r>
    </w:p>
    <w:p>
      <w:r>
        <w:t>22. The geographical dimension of this market, for obvious reasons related to the location of the aircraft that are the final recipients of the fuel, coincides with the individual airport.</w:t>
      </w:r>
    </w:p>
    <w:p>
      <w:r>
        <w:t>23. Levorato Marcevaggi is currently the only active operator in the market for boarding services within Bergamo airport, and therefore holds a dominant position in this market.</w:t>
      </w:r>
    </w:p>
    <w:p>
      <w:r>
        <w:t>V. THE CONTESTED CONDUCT</w:t>
      </w:r>
    </w:p>
    <w:p>
      <w:r>
        <w:t>24. At the initiation of the investigation, the Authority hypothesized that the conduct adopted by Sacbo and by JV Orio/Levorato Marcevaggi constituted the elements of two distinct abuses of dominant position in the respective markets in which they operate, which pertain to the management and use of the only fuel storage facility present within the airport site. Such abuses have had the effect of preventing competition in the market for storage and related services and have generated a situation of substantial monopoly in the market for into-plane services at Bergamo airport.</w:t>
      </w:r>
    </w:p>
    <w:p>
      <w:r>
        <w:t>25. The Authority had hypothesized that the examined conduct fell within the scope of Article 102 TFEU as the operators harmed by it are companies present in multiple national markets and active in other Member States as well, considering in this regard that Bergamo Orio al Serio airport represents the third national airport in terms of passenger numbers.</w:t>
      </w:r>
    </w:p>
    <w:p>
      <w:r>
        <w:rPr>
          <w:b/>
        </w:rPr>
        <w:t>[Pages 10–12]</w:t>
      </w:r>
    </w:p>
    <w:p>
      <w:r>
        <w:t>12 BULLETIN NO. 12 OF APRIL 3, 2018</w:t>
      </w:r>
    </w:p>
    <w:p>
      <w:r>
        <w:t>V.1 Conduct of the airport operator Sacbo</w:t>
      </w:r>
    </w:p>
    <w:p>
      <w:r>
        <w:t>26. Based on the information gathered during the preliminary investigation phase, at the commencement of the proceedings, the Authority hypothesized that the airport operator, exploiting its dominant position in the market for airport infrastructure management, had adopted, also considering the possible economic interest linked to maintaining the current sub-concession arrangement, a complex abusive strategy aimed at preventing competition in the market for boarding services at Bergamo airport. The operator's strategy seemed to have been outlined, in particular, in the adoption of contractual and management models through which Sacbo reserved for the joint venture company JV Orio not only the exclusive management of the storage facility and related services but also the boarding activity, in parallel with omissive conduct that has maintained this situation unchanged over the years. The operator seemed to have engaged in a series of behaviors that hindered the development of alternative storage infrastructures and access to the current sole storage facility.</w:t>
      </w:r>
    </w:p>
    <w:p>
      <w:r>
        <w:t>27. In this regard, it should first be noted that, following the liberalization of storage and into-plane services at Bergamo airport, which occurred at least from January 1, 2005, Sacbo maintained a contractual arrangement that hindered the offer of boarding services by entities other than the joint venture company JV Orio, the sole user of the storage facility. To the extent that Sacbo did not modify the "contract of assignment" signed in 2003, for example by defining obligations and access modalities to the only storage facility currently present at the airport site by third-party into-plane operators, Sacbo created the conditions to maintain a monopolistic structure in a market that has now been liberalized. Sacbo itself also extended the duration of the assignment in 2008 until 2018, confirmed in favor of JV Orio without any competitive procedure for the market.</w:t>
      </w:r>
    </w:p>
    <w:p>
      <w:r>
        <w:t>28. On December 20, 2013, the entire share capital of JV Orio was sold to Levorato Marcevaggi. Following the sale of JV Orio to Levorato Marcevaggi, Sacbo further extended the same "contract of assignment" in favor of the latter until 2023, thereby once again guaranteeing a single into-plane operator, and outside of any selection procedure for the market, exclusive access to an essential infrastructure; this in a context where, as the operator well knew, several operators had long expressed interest in entering the market. Sacbo's conduct therefore seemed to have produced a restriction on competition in the storage market, while simultaneously completely excluding competition in the downstream market for into-plane services.</w:t>
      </w:r>
    </w:p>
    <w:p>
      <w:r>
        <w:t>29. Secondly, in response to multiple requests for access to the storage facility made by Skytanking and, at least since 2013, also by Carboil, the evidence in the records indicated that Sacbo had also begun to propose the possibility for each into-plane operator to equip themselves with alternative solutions, consisting of the construction of additional storage facilities. Since the end of 2013, in addition to continuing to request access to the existing storage facility, Skytanking and Carboil began to express to the operator their intention to build additional storage facilities, undertaking a series of administrative activities preparatory to this. In this context, however, it appeared that Sacbo had not followed through on all the obligations within its competence, for example by not participating in the relevant service conferences and not submitting the necessary requests to ENAC for the approval of variations to the current Airport Development Plan ("PSA").</w:t>
      </w:r>
    </w:p>
    <w:p>
      <w:r>
        <w:t>V.2 Conducts carried out by Levorato Marcevaggi</w:t>
      </w:r>
    </w:p>
    <w:p>
      <w:r>
        <w:t>30. Based on the evidence collected during the preliminary investigation, it was found that JV Orio had held, since November 6, 2003, a dominant position in the storage market and related services at Bergamo airport, which was then transferred to Levorato Marcevaggi as a result of the merger by incorporation of JV Orio on June 20, 2014. In this context, at the commencement of the proceedings, the Authority hypothesized that JV Orio had engaged in an abuse of its dominant position in this market at least since November 15, 2013, which was then followed by Levorato Marcevaggi, consisting of repeatedly refusing requests for access to the storage facility made by Skytanking and Carboil in order to maintain its position of substantial monopoly even in the downstream market of into-plane services.</w:t>
      </w:r>
    </w:p>
    <w:p>
      <w:r>
        <w:t>31. The preliminary investigations revealed that the storage facility constitutes an essential infrastructure as it is currently not duplicable, nor is it possible to offer boarding services using storage facilities external to the airport site, or merely having parking spaces for tankers.</w:t>
      </w:r>
    </w:p>
    <w:p>
      <w:r>
        <w:t>32. Furthermore, the reason for the refusal was not immediately understandable: in an initial phase, in fact, JV Orio invoked a series of administrative reasons, initially stating that it needed to obtain information about potential customers of Skytanking, which were actually unnecessary, and later citing the impossibility of "sub-letting" the assignment granted by the airport operator. Such motivations appeared to be pretextual to the extent that the party no longer referred to them in subsequent discussions with the Authority, in which it argued that the refusals for access were justified by security needs that could only be mitigated by constructing a loading bay external to the storage facility, necessary to allow access for third parties.</w:t>
      </w:r>
    </w:p>
    <w:p>
      <w:r>
        <w:t>33. At the commencement of the proceedings, the Authority had hypothesized that the technical reasons related to the need for structural modifications to the storage facility were also pretextual, based on what was stated by ENAC.</w:t>
      </w:r>
    </w:p>
    <w:p>
      <w:r>
        <w:t>VI. THE COMMITMENTS PROPOSED BY SACBO AND LEVORATO MARCEVAGGI</w:t>
      </w:r>
    </w:p>
    <w:p>
      <w:r>
        <w:t>34. In response to the possible critical issues outlined by the Authority in the initiation order, on October 11, 2017, Sacbo and Levorato Marcevaggi submitted commitments pursuant to Article 14-ter of Law No. 287/90, more extensively described below, aimed at resolving the critical issues highlighted by the Authority in the initiation order.</w:t>
      </w:r>
    </w:p>
    <w:p>
      <w:r>
        <w:t>35. Considering these commitments not manifestly unfounded, by resolution of October 18, 2017, the Authority ordered their publication on its website on October 19, 2017, in order to allow interested third parties to express their observations. By the deadline set for the conclusion of the market test, observations were received from ENAC, Skytanking, and Carboil.</w:t>
      </w:r>
    </w:p>
    <w:p>
      <w:r>
        <w:t>36. In response to the outcome of the public consultation on the Commitments, Sacbo and Levorato Marcevaggi submitted their respective final versions of the commitments on December 18, 2017, attached to this provision and forming an integral part thereof. In these versions, the original commitments were subject to ancillary modifications. Below, for each of the commitments presented, the original content and the final content are illustrated in light of the ancillary modifications made following the market test.</w:t>
      </w:r>
    </w:p>
    <w:p>
      <w:r>
        <w:t>VI.1. The commitment related to the construction of the external loading bay</w:t>
      </w:r>
    </w:p>
    <w:p>
      <w:r>
        <w:t>VI.1.1. The originally proposed measures</w:t>
      </w:r>
    </w:p>
    <w:p>
      <w:r>
        <w:t>37. Levorato Marcevaggi committed to constructing an external loading bay, accessible to third parties safely as it is outside the storage facility, in accordance with the timelines indicated in the project documentation approved by ENAC, that is, within 120 days from the start date of the works, which commenced on August 28, 2017. In its Form, Levorato Marcevaggi specified that the 120-day deadline for the completion of the works does not include any time necessary for the relevant checks and/or tests to be carried out by ENAC, the Fire Brigade, and/or other competent authorities for the issuance of the necessary clearances and/or certifications for the use of the loading bay by operators.</w:t>
      </w:r>
    </w:p>
    <w:p>
      <w:r>
        <w:t>38. In its Form, Sacbo indicated that failure to comply with the above deadlines would result in a serious breach, after which the airport operator could unilaterally terminate the assignment contract. Furthermore, if activities for the issuance of the certification of proper execution of the works or testing were necessary, Sacbo committed to actively carrying out such activities as quickly as possible.</w:t>
      </w:r>
    </w:p>
    <w:p>
      <w:r>
        <w:t>39. Sacbo also committed to providing extensive communication to into-plane operators regarding the opening of the new loading bay, by sending a specific communication by letter to all boarding operators who have so far expressed interest in accessing the storage facility, as well as through a specific publication on its website and in three major national newspapers.</w:t>
      </w:r>
    </w:p>
    <w:p>
      <w:r>
        <w:rPr>
          <w:b/>
        </w:rPr>
        <w:t>[Pages 13–15]</w:t>
      </w:r>
    </w:p>
    <w:p>
      <w:r>
        <w:t>BULLETIN NO. 12 OF APRIL 3, 2018</w:t>
      </w:r>
    </w:p>
    <w:p>
      <w:r>
        <w:t>VI.1.2. Elements emerged during the market test</w:t>
      </w:r>
    </w:p>
    <w:p>
      <w:r>
        <w:t>40. Skytanking and Carboil contest the foundational assumption of this measure, namely the alleged impossibility of access to the existing storage facility, in its current configuration, by third-party operators.</w:t>
      </w:r>
    </w:p>
    <w:p>
      <w:r>
        <w:t>41. Regarding Skytanking, the notifier believes that it is possible for multiple operators to use the storage facility without any structural intervention being necessary; according to Skytanking, “[t]his intervention... may, if necessary, improve the operational conditions in the use of the storage facility but is absolutely not required to resolve the competitive issues highlighted in the initiation order.”</w:t>
      </w:r>
    </w:p>
    <w:p>
      <w:r>
        <w:t>42. Skytanking and Carboil have also deemed the commitment inadmissible as there would be no certainty regarding its timely implementation: firstly, there is no certainty that the construction of the bay will occur within the scheduled 120 days; even if the construction of the loading bay were completed within the timeframe set by Levorato Marcevaggi, the subsequent phase of obtaining the necessary authorizations would cause delays. Furthermore, the commitment would be discriminatory and inadequate to eliminate the existing competitive issues as everyone would be forced to refuel from a single external loading bay, while the operator of the storage facility would continue to have exclusive access to the multifunctional bays present in the storage facility. Carboil finally notes that the termination clause stating that Sacbo will terminate the management contract in the event of non-compliance with the deadlines for the completion of the loading bay by Levorato Marcevaggi is devoid of practical content, as it does not express an obligation but merely a possibility.</w:t>
      </w:r>
    </w:p>
    <w:p>
      <w:r>
        <w:t>43. ENAC's position is different, as it has previously considered access to the storage facility by multiple operators possible, subject to suitable management of incoming and outgoing traffic, and expresses a “positive assessment” of the measure, “provided that the use of the same storage facility, the external loading bay, and the immediately adjacent stalls is regulated by the operator in a non-discriminatory manner, taking into account the actual needs for the provision of into-plane services by the requesting aviation suppliers.”</w:t>
      </w:r>
    </w:p>
    <w:p>
      <w:r>
        <w:t>VI.1.3. Accessory modifications</w:t>
      </w:r>
    </w:p>
    <w:p>
      <w:r>
        <w:t>44. Both Sacbo and Levorato Marcevaggi have contested the assertions made by Skytanking and Carboil regarding the possibility of direct access to the storage facility, maintaining the position expressed even during the preliminary investigation phase that, due to essential and priority safety needs, access to the existing storage facility can only be granted to a single into-plane operator.</w:t>
      </w:r>
    </w:p>
    <w:p>
      <w:r>
        <w:t>45. Regarding the timing of the use of the external loading bay, in their Forms, the parties represented that the construction works have already been completed, ahead of the initially scheduled timelines. With reference to communications and verifications by the competent authorities, the parties presented a detailed list of necessary checks, providing specific indications of the timelines for the related obligations under their responsibility. Based on the schedule presented, the parties anticipated the operation of the external loading bay by January 1, 2018.</w:t>
      </w:r>
    </w:p>
    <w:p>
      <w:r>
        <w:t>46. In communications dated January 2 and 3, 2018, Sacbo and Levorato Marcevaggi confirmed that the external loading bay is operational. Sacbo's communication of January 2, 2018, was also sent to Skytanking and Carboil, informing these operators that “the works for the construction of the new loading bay serving the existing aviation fuel storage facility have been completed, and it is therefore operational for refueling by tankers. All into-plane operators authorized by ENAC will have access to the loading bay.”</w:t>
      </w:r>
    </w:p>
    <w:p>
      <w:r>
        <w:t>VI.1.4. Assessments</w:t>
      </w:r>
    </w:p>
    <w:p>
      <w:r>
        <w:t>47. The Authority believes that the commitment positively contributes to eliminating the competitive concerns expressed at the initiation of the proceedings, ensuring access to the market for third-party onboard operators. ENAC itself has expressed a substantially positive opinion on the measure.</w:t>
      </w:r>
    </w:p>
    <w:p>
      <w:r>
        <w:t>48. The Authority considers that the eventuality, represented by Skytanking and Carboil but contested by the parties, of allowing multiple operators to safely refuel within the storage facility does not appear decisive from a prospective viewpoint of opening the onboard services market, as refueling through the external bay ensures the same beneficial effect of allowing access to the market for onboard operators.</w:t>
      </w:r>
    </w:p>
    <w:p>
      <w:r>
        <w:t>49. In this regard, the Authority also considers that the commitments presented by the parties, as further clarified following the market test, appear to be fully implementable and verifiable: as of the date of this decision, the external bay is indeed fully operational and accessible to third-party operators. Sacbo has also fulfilled its commitment to communicate to the market, sending specific communications to Skytanking and Carboil acknowledging the opening of the loading bay.</w:t>
      </w:r>
    </w:p>
    <w:p>
      <w:r>
        <w:t>VI.2. Levorato Marcevaggi's commitment to manage the storage facility pending the awarding of the tender with regulated access tariffs and to limit the duration of any extensions of existing contracts with oil companies</w:t>
      </w:r>
    </w:p>
    <w:p>
      <w:r>
        <w:t>VI.2.1. The originally proposed measures</w:t>
      </w:r>
    </w:p>
    <w:p>
      <w:r>
        <w:t>50. Levorato Marcevaggi has committed to continue providing the service pending the calling and awarding of the tender for the selection of the new operator by Sacbo (see below), allowing third-party operators to procure from the storage facility via the external loading bay. Levorato Marcevaggi has also committed to applying to third-party operators wishing to procure from the storage facility – as well as to itself in the into-plane service – the fee resulting from the tariff regulation procedure initiated by ENAC at the request of the party, submitted on September 22, 2017.</w:t>
      </w:r>
    </w:p>
    <w:p>
      <w:r>
        <w:t>51. In the event that ENAC does not complete the tariff regulation procedure by the date the external loading bay becomes operational, pending the conclusion of the aforementioned procedure, Levorato Marcevaggi has committed to applying a cost-oriented fee determined based on the same criteria applied by ENAC for tariff regulation. If the fee resulting from ENAC's tariff regulation procedure is then different from that temporarily applied by Levorato Marcevaggi, the latter has committed to making the necessary adjustments regarding the amounts billed to operators from the date the external loading bay becomes operational.</w:t>
      </w:r>
    </w:p>
    <w:p>
      <w:r>
        <w:t>52. Furthermore, in order to allow oil companies to select the into-plane service provider, Levorato Marcevaggi has committed to accepting any requests for extensions of existing contracts made by oil companies whose contracts expire before or immediately after the awarding of the new tender for the management of the storage facility.</w:t>
      </w:r>
    </w:p>
    <w:p>
      <w:r>
        <w:t>VI.2.2. Elements emerged during the market test</w:t>
      </w:r>
    </w:p>
    <w:p>
      <w:r>
        <w:t>53. Skytanking observed that the storage fee must be determined “immediately, in very short times, and in any case, before the tenders (or other methods that will be adopted) by the oil companies for the signing of contracts for the provision of onboard services.”</w:t>
      </w:r>
    </w:p>
    <w:p>
      <w:r>
        <w:t>54. While recognizing the need for tariff regulation, such that the storage fee applied by the operator only compensates for the costs of that service and not also those of into-plane, Carboil considered that the commitment proposed by Levorato Marcevaggi would be manifestly irrelevant for two reasons: firstly, the commitment merely reiterates regulatory obligations that are already imposed on Levorato Marcevaggi; secondly, this commitment only affects the oil companies that have to pay the storage fee, and thus would not produce the opening of the onboard services market.</w:t>
      </w:r>
    </w:p>
    <w:p>
      <w:r>
        <w:t>55. Regarding the commitment on extensions of contracts with oil companies, Skytanking observed that, given the alleged uncertainty of the timing for the construction of the new loading bay, Levorato Marcevaggi's willingness to accept extensions of existing contracts with the oil companies would create a situation of advantage for the storage facility operator over competitors in the provision of into-plane services. This is because, according to Skytanking, without separation and regulation of the storage fee, it would not be possible to compare the single fee applied for storage and onboard services by the operator and that applied by competitors in the onboard services. Furthermore, without separation and regulation of the storage fee, the storage facility operator would be able to apply non-competitive fees for into-plane services.</w:t>
      </w:r>
    </w:p>
    <w:p>
      <w:r>
        <w:rPr>
          <w:b/>
        </w:rPr>
        <w:t>[Pages 16–18]</w:t>
      </w:r>
    </w:p>
    <w:p>
      <w:r>
        <w:t>18 BULLETIN NO. 12 OF APRIL 3, 2018</w:t>
      </w:r>
    </w:p>
    <w:p>
      <w:r>
        <w:t>oil companies cannot in any way be considered a measure suitable to remedy the uncertainty of the timing for the implementation of the commitments. This is because, according to Skytanking, any extension of existing contracts would have, as its only effect, the maintenance of the status quo to the exclusive advantage of the monopolistic operator.</w:t>
      </w:r>
    </w:p>
    <w:p>
      <w:r>
        <w:t>56. Carboil has considered that the proposed commitment must be reformulated in the sense that Levorato Marcevaggi must make itself available to the oil companies to grant only limited-time extensions of existing contracts, until the completion of the process of opening the market to competition.</w:t>
      </w:r>
    </w:p>
    <w:p>
      <w:r>
        <w:t>VI.2.3. Accessory Modifications</w:t>
      </w:r>
    </w:p>
    <w:p>
      <w:r>
        <w:t>57. In the version of the commitments submitted on December 18, 2017, Levorato Marcevaggi acknowledged having transmitted the information requested by ENAC for the purpose of determining the tariff on December 15, 2017. Levorato Marcevaggi communicated, in this context, that the cost indicated for the storage tariff has been identified by it as [omissis]*/euro/mc and that this tariff will be applied starting from January 1, 2018, it being understood that if the compensation resulting from ENAC's tariff regulation process should differ from that determined as above, Levorato Marcevaggi will make the relevant adjustments as illustrated in the Form. The text of the commitments specifies again that this tariff is applicable both to third parties and "to itself in the into plane service."</w:t>
      </w:r>
    </w:p>
    <w:p>
      <w:r>
        <w:t>58. Regarding the extension of contracts, in the final version of the commitments, Levorato Marcevaggi confirmed the commitment in its original formulation, specifying that its rationale is to ensure that oil companies can select the provider of boarding services after the storage facility is awarded through a tender.</w:t>
      </w:r>
    </w:p>
    <w:p>
      <w:r>
        <w:t>VI.2.4. Assessments</w:t>
      </w:r>
    </w:p>
    <w:p>
      <w:r>
        <w:t>59. The Authority believes that the commitment presented by Levorato Marcevaggi regarding tariffs is suitable to remove the anticompetitive profiles subject to investigation insofar as it defines equivalent competitive conditions for all boarding operators. Since the storage tariff will be the same regardless of the into plane operator performing the service, the oil companies subject to this tariff will be able – starting from January 1, 2018 – to know and accurately compare only the cost of the boarding service offered by different providers. The regulation of the tariff also excludes the possibility that, even in the transitional phase, Levorato Marcevaggi could benefit from its nature as a vertically integrated operator in storage.</w:t>
      </w:r>
    </w:p>
    <w:p>
      <w:r>
        <w:t>60. The Authority also believes that the commitment regarding the extensions of existing contracts, as clarified by Levorato Marcevaggi in the final version of the commitments, is suitable to allow for a swift entry into the market of competing boarding operators, preventing Levorato Marcevaggi from negotiating any extensions of existing contracts with oil companies for a duration longer than necessary to complete the market opening process.</w:t>
      </w:r>
    </w:p>
    <w:p>
      <w:r>
        <w:t>* In this version, some data are omitted, as elements of confidentiality or secrecy of the information were deemed to exist.</w:t>
      </w:r>
    </w:p>
    <w:p>
      <w:r>
        <w:t>22 On February 22, 2018, ENAC defined the tariff at [omissis]/euro/mc.</w:t>
      </w:r>
    </w:p>
    <w:p>
      <w:r>
        <w:t>23 In the party's memorandum sent concurrently with the final version of the commitments, Levorato again confirmed that the reading offered by the participants in the market test is "contradicted by a simple examination of the commitment presented: the undersigned has indeed expressly clarified that the granting of any extensions will be linked to the need to allow oil companies to select the provider of into plane services downstream of the tender for the sub-concession of the storage facility."</w:t>
      </w:r>
    </w:p>
    <w:p>
      <w:r>
        <w:t>BULLETIN NO. 12 OF APRIL 3, 2018 19</w:t>
      </w:r>
    </w:p>
    <w:p>
      <w:r>
        <w:t>VI.3. The commitment of Sacbo to create an additional four parking bays for tankers and to apply the principle of rotation</w:t>
      </w:r>
    </w:p>
    <w:p>
      <w:r>
        <w:t>VI.3.1. The originally proposed measures</w:t>
      </w:r>
    </w:p>
    <w:p>
      <w:r>
        <w:t>61. Sacbo has committed to create the following additional parking bays for tankers: two bays in a new area/yard in the northern zone based on executive design already approved by ENAC, by December 31, 2017; two additional bays, in the same area, within thirty days from the approval by ENAC of a variant to the current design. Sacbo has also committed to create a building for driver parking and sanitary services.</w:t>
      </w:r>
    </w:p>
    <w:p>
      <w:r>
        <w:t>62. Regarding the assignment methods of the bays to different operators, Sacbo originally committed to initiate public procedures for their assignment, however providing that the maintenance of titles that have been acquired or that should be acquired on the bays by the refueling operators would be conditioned on the volume of fuel to be boarded, based on existing contracts. The principle of rotation would also apply to the four parking bays already assigned to Skytanking, while it would not apply to the five parking bays located in the area immediately adjacent to the storage facility, in the availability of the storage operator.</w:t>
      </w:r>
    </w:p>
    <w:p>
      <w:r>
        <w:t>VI.3.2. Elements emerged during the market test</w:t>
      </w:r>
    </w:p>
    <w:p>
      <w:r>
        <w:t>63. Skytanking and Carboil have deemed it unnecessary to proceed with the assignment of the bays through a tender. In this sense, Skytanking considers the tender superfluous as the number of bays is suitable to meet the requests of the into plane operators. According to the notifier, the carrying out of unnecessary tender procedures significantly slows down the time required for the rotation of operators at the end of the assignments and, moreover, creates barriers to access, reserving a privileged position for the winning bidder who would become, in fact, the only operator entitled to acquire contracts with oil companies for the provision of into plane services. Furthermore, Skytanking has also considered that the upcoming tender for the assignment of the storage facility should not include the assignment of the adjacent bays.</w:t>
      </w:r>
    </w:p>
    <w:p>
      <w:r>
        <w:t>64. Carboil, on the other hand, argued that the assignment of the bays according to rigid tender mechanisms is an unsuitable method to ensure an effective opening of the market, as it does not allow all operators to compete for the award of 100% of the supplies. In addition to considering the assignment of the bays through a tender inappropriate, Carboil also stated that the rotation – although commendable in principle – is not regulated in a precise manner, nor are there guarantees that the storage operator will pay a fee for the bays adjacent to the storage facility equivalent to that paid for the bays by other operators. Carboil also considered that sufficient ancillary infrastructures (such as offices, sanitary services, etc.) essential for providing the into plane service would not be guaranteed.</w:t>
      </w:r>
    </w:p>
    <w:p>
      <w:r>
        <w:t>VI.3.3. Accessory Modifications</w:t>
      </w:r>
    </w:p>
    <w:p>
      <w:r>
        <w:t>65. In the context of accessory modifications to the commitments, Sacbo has provided that all parking bays will be assigned through a rotation mechanism, thus eliminating the intermediate phase of provisional assignment through a tender and contemplating the rotation mechanism for all bays, including those adjacent to the storage facility. The rotation is defined as "periodic and non-discriminatory," and by virtue of it "the bays will be assigned based on the volumes managed or that will be managed by each operator based on awarded contracts or that will be awarded over time to each of them." Sacbo has committed to assign the bays under this unique mechanism within thirty days from the acceptance of the commitments; the assigned bays will be subject to tariffs in line with the regulations of the Transport Regulatory Authority.</w:t>
      </w:r>
    </w:p>
    <w:p>
      <w:r>
        <w:t>66. The airport operator has also committed to double, within thirty days from the acceptance of the commitments, the spaces to be set up for complementary services.</w:t>
      </w:r>
    </w:p>
    <w:p>
      <w:r>
        <w:t>VI.3.4. Assessments</w:t>
      </w:r>
    </w:p>
    <w:p>
      <w:r>
        <w:t>67. The Authority believes that the principle of rotation, accompanied by the construction of four additional bays in addition to the nine already available, is suitable to ensure full contestability of the boarding services market: the elimination, in the context of accessory modifications to the commitments, of the provisional assignment phase through a tender allows for cost savings for market access, which cannot be justified in the absence of resource scarcity. The number of bays made available to the airport operator appears sufficient to meet the demand for fuel at the airport, considering that Levorato Marcevaggi currently provides the entire service using a total of six bays. The Authority considers it particularly positive that the operator commits to apply the rotation mechanism also to the bays adjacent to the storage facility, thus neutralizing any competitive advantage that the storage operator – potentially also active in the into plane segment – would have held if it had also been the owner of the bays adjacent to it, and the related possibility of direct access to the storage facility. As already mentioned, the possibility of refueling within the storage facility will still be defined through mechanisms that are, ultimately, competitive in nature. It will indeed be up to the entity to which the five bays adjacent to the storage facility are assigned: considering that this is a lot of bays that can be awarded to a single entity, under the principle of rotation, these bays will be made available to the operator who will win the largest volume of fuels, downstream of competitive mechanisms that will take place in the market for the provision of into plane services. The operator has also committed to double the ancillary infrastructures made available to operators within thirty days from the acceptance of the commitments.</w:t>
      </w:r>
    </w:p>
    <w:p>
      <w:r>
        <w:t>68. Each operator will thus be able to compete for the award of 100% of the demand for boarding services expressed by the oil companies and, downstream of the award of the relevant contracts, may request the operator for the assignment of the necessary bays. This periodic assignment will follow principles of non-discrimination and objective nature, as it will be subject to uniform pricing and oriented to the volumes of fuel managed by the requesting entity, a method that the Authority considers suitable to ensure full equality of arms in the competitive conditions in the boarding services market.</w:t>
      </w:r>
    </w:p>
    <w:p>
      <w:r>
        <w:t>VI.4. The commitment of Sacbo and Levorato Marcevaggi to consensually resolve the assignment contract</w:t>
      </w:r>
    </w:p>
    <w:p>
      <w:r>
        <w:t>VI.4.1 The originally proposed measures</w:t>
      </w:r>
    </w:p>
    <w:p>
      <w:r>
        <w:t>69. The parties have committed to consensually resolve the current assignment contract, in the forms and under the conditions described in their respective forms.</w:t>
      </w:r>
    </w:p>
    <w:p>
      <w:r>
        <w:t>25 In particular, Sacbo has committed to send Levorato Marcevaggi, within 5 days from the acceptance of the commitments by the Authority, a proposal for consensual resolution that provides for the following conditions: (i) that the resolution of the assignment contract be signed by the parties within 7 days from the sending of the resolution proposal; (ii) that Sacbo, considering the ownership of the facility by Levorato Marcevaggi, pays to the latter a fair compensation, determined by January 31, 2018, by an independent and impartial expert to be jointly appointed by Sacbo and Levorato Marcevaggi; (iii) that Levorato Marcevaggi confirms the commitment to carry out the loading bay works within the contractually stipulated terms; (iv) that Levorato Marcevaggi ensures the operability of the storage facility to...</w:t>
      </w:r>
    </w:p>
    <w:p>
      <w:r>
        <w:rPr>
          <w:b/>
        </w:rPr>
        <w:t>[Pages 19–21]</w:t>
      </w:r>
    </w:p>
    <w:p>
      <w:r>
        <w:t>BULLETIN NO. 12 OF APRIL 3, 2018</w:t>
      </w:r>
    </w:p>
    <w:p>
      <w:r>
        <w:t>70. In the event of non-acceptance of the proposal for the termination of the "contract of assignment" sent to Levorato Marcevaggi, Sacbo has committed, in any case, to proceed with the unilateral termination of the contract within 15 days from the sending of the termination proposal, paying Levorato Marcevaggi fair compensation determined based on an appraisal by an independent and impartial expert appointed by Sacbo and Levorato.</w:t>
      </w:r>
    </w:p>
    <w:p>
      <w:r>
        <w:t>VI.4.2. The elements that emerged during the market test</w:t>
      </w:r>
    </w:p>
    <w:p>
      <w:r>
        <w:t>71. In its observations on the market test, Skytanking contested the specific methods of determining the compensation that will be paid by Sacbo to Levorato Marcevaggi, and both Skytanking and Carboil have raised concerns about anti-competitive effects arising from a possible over-determination of said value.</w:t>
      </w:r>
    </w:p>
    <w:p>
      <w:r>
        <w:t>VI.4.3. Accessory modifications</w:t>
      </w:r>
    </w:p>
    <w:p>
      <w:r>
        <w:t>72. On December 18, 2017, Sacbo presented some accessory modifications to respond to the observations made by the participants in the market test. Firstly, for the sole hypothesis of unilateral termination, Sacbo committed to entrust the determination of the fair compensation to be paid to Levorato Marcevaggi to an expert whose appraisal is verified by an independent and impartial expert appointed by the Authority, within a panel of experts indicated by Sacbo. With reference to the hypothesis of consensual termination of the sub-concession relationship, Sacbo instead committed to consider as costs to be used as the basis for the tender an amount not exceeding [omissis]% of the compensation that will be paid to Levorato Marcevaggi.</w:t>
      </w:r>
    </w:p>
    <w:p>
      <w:r>
        <w:t>VI.4.4. Assessments</w:t>
      </w:r>
    </w:p>
    <w:p>
      <w:r>
        <w:t>73. The Authority believes that the commitment of Sacbo and Levorato Marcevaggi to consensually terminate the existing sub-concession relationship fully addresses the concerns raised in the initiation of the proceedings regarding the existence of a contractual arrangement that hinders competition in boarding services, and the need to restore competitive conditions in the market also with reference to the storage service. The timing of the termination is clear and certain: Sacbo has indeed committed to send a proposal for consensual termination within 5 days from the acceptance of the commitments by the Authority, which Levorato Marcevaggi has committed to sign within 7 days from the receipt of Sacbo's proposal; moreover, to further complete the measure, Sacbo has guaranteed the same operationality of the airport until the successful bidder of the tender begins the activity subject to the assignment, and that it does not engage in behaviors that would suspend or compromise directly or indirectly the operationality of the airport itself; (v) that Levorato Marcevaggi does not initiate legal actions of any kind against Sacbo, nor challenge the provision with which the Authority will have closed the investigation without establishing any infringement.</w:t>
      </w:r>
    </w:p>
    <w:p>
      <w:r>
        <w:t>Levorato Marcevaggi has presented a reciprocal commitment to consensually resolve the assignment contract within [omissis] from the sending of the consensual termination proposal that Sacbo will transmit to Levorato Marcevaggi based on a previously shared text, which includes the following provisions: (i) that Sacbo, considering the ownership of the facility by Levorato Marcevaggi, pays the latter a fair compensation, determined by an independent and impartial expert appointed jointly by Sacbo and Levorato Marcevaggi by January 31, 2018; (ii) that Sacbo commits to ensure that the parking spaces for tank trucks, not adjacent to the storage facility and already built or under construction, are made available to the into-plane operators active at the airport based on the volumes managed or that will be managed by each operator based on the contracts awarded or that will be awarded to each of them over time; (iii) [omissis]; (iv) that neither party initiates legal actions of any kind against the other, nor challenges the provision with which the Authority will have closed the investigation without establishing any infringement.</w:t>
      </w:r>
    </w:p>
    <w:p>
      <w:r>
        <w:t>26 On this point, both Skytanking and Carboil have noted that the possible determination of excessive compensation would confer an economic advantage to Levorato Marcevaggi that could be exploited in the renewal of the contracts for the provision of boarding services or in the subsequent participation in the tender for the selection of the new storage facility manager. Skytanking has also considered that, if the future tender also concerns the purchase of temporary ownership of the storage facility, the amount to be tendered should be detached from the amount that Sacbo will pay to Levorato Marcevaggi as compensation, and should be substantially symbolic and not commensurate with the value of the structure.</w:t>
      </w:r>
    </w:p>
    <w:p>
      <w:r>
        <w:t>22 BULLETIN NO. 12 OF APRIL 3, 2018</w:t>
      </w:r>
    </w:p>
    <w:p>
      <w:r>
        <w:t>committed to proceed with the unilateral termination of the contract if the acceptance by Levorato Marcevaggi does not arrive within 15 days from the sending of the termination proposal.</w:t>
      </w:r>
    </w:p>
    <w:p>
      <w:r>
        <w:t>74. With reference to the alleged risks of discrimination against third parties arising from the level of fair compensation that Sacbo will pay to Levorato Marcevaggi in the event of consensual termination of the sub-concession, the Authority observes that the related quantification is entrusted to a third party, an expert in the field and qualified as independent and impartial, as well as appointed by two distinct parties with opposing interests. Furthermore, the compensation (equivalent to the appraised value of the facility) will not be passed on to the amount set as the basis for the future tender for the management of the storage facility, but will be used – moreover not in full measure – to determine the annual usage fee that will be requested from the winner of the tender, calculated in relation to the amortization period of the purchased assets, or, in the case of centralization, according to any indications provided by ENAC.</w:t>
      </w:r>
    </w:p>
    <w:p>
      <w:r>
        <w:t>VI.5. Sacbo's commitment to provide its consent in the event of centralization of the infrastructure by ENAC</w:t>
      </w:r>
    </w:p>
    <w:p>
      <w:r>
        <w:t>VI.5.1. The measures originally proposed</w:t>
      </w:r>
    </w:p>
    <w:p>
      <w:r>
        <w:t>75. Sacbo has committed to provide its consent in the event of centralization of the infrastructure by ENAC or, in the absence of centralization, to submit a request to ENAC for limitation pursuant to Article 12 of Legislative Decree No. 18/1999, for the limitation of the number of operators providing the storage service.</w:t>
      </w:r>
    </w:p>
    <w:p>
      <w:r>
        <w:t>VI.5.2. The elements that emerged during the market test and ENAC's communication regarding the initiation of the centralization procedure for the storage facility</w:t>
      </w:r>
    </w:p>
    <w:p>
      <w:r>
        <w:t>76. In the context of the market test, Carboil contested the formulation of the commitment by Sacbo, to the extent that the operator did not commit to formally request the centralization of the storage facility, but limited itself to expressing a generic consent.</w:t>
      </w:r>
    </w:p>
    <w:p>
      <w:r>
        <w:t>77. In a communication sent to Sacbo and the Authority on December 15, 2017, ENAC acknowledged that Sacbo "has provided, among its commitments, its consent to the centralization of the facility," and "considering that it is entirely evident that the infrastructure is not duplicable due to lack of space, nor is it reasonably conceivable that a second fuel storage facility could be built in a timely manner," it ordered the initiation of the investigation for the definition of the storage facility as a centralized infrastructure. In that communication, ENAC invited Sacbo to convene the Users' Committee, as provided for by Article 9 of Legislative Decree No. 18/1999, and to send a copy of the related minutes to ENAC. With reference to the management methods of the storage facility, ENAC also represented that "the management of the centralized fuel storage infrastructures, in addition to being carried out directly by the operator, may also be entrusted to a third operator, equipped with specific professionalism – certified according to legal parameters – and of which the operator itself holds substantial ownership and effective control. Finally, it is noted that the use of the aforementioned infrastructure must be regulated by a specific procedure in the Airport Regulation, as well as regulated from a tariff perspective."</w:t>
      </w:r>
    </w:p>
    <w:p>
      <w:r>
        <w:t>VI.5.3. Accessory modifications</w:t>
      </w:r>
    </w:p>
    <w:p>
      <w:r>
        <w:t>78. In the final version of the commitments, following ENAC's letter of December 15, 2017, Sacbo committed to convene the Users' Committee by January 31, 2018; Sacbo also committed to send to ENAC, within 15 days following the meeting of the Users' Committee, the related minutes signed by the users themselves, as well as to be heard regarding the aforementioned centralization and to provide any documents and information necessary for that purpose.</w:t>
      </w:r>
    </w:p>
    <w:p>
      <w:r>
        <w:t>79. Sacbo also committed to issue a tender for the selection of the new manager of the storage facility in line with the indications provided by ENAC.</w:t>
      </w:r>
    </w:p>
    <w:p>
      <w:r>
        <w:t>VI.5.4. Assessments</w:t>
      </w:r>
    </w:p>
    <w:p>
      <w:r>
        <w:t>80. The Authority believes that the initiation of the procedure aimed at the centralization of the infrastructure by ENAC, following the consent expressed by Sacbo, has in fact determined the overcoming of Carboil's formal criticism regarding the failure to submit the request for centralization by the operator. More generally, the Authority believes that Sacbo's commitment to carry out all necessary activities within this centralization procedure, and to follow ENAC's indications regarding the methods of issuing and the content of the next tender for the storage facility, is such as to ensure the full cooperation of the operator within the process of centralization of the storage facility, and that this will ensure that such infrastructure is made available to third parties according to principles of equal access and non-discrimination.</w:t>
      </w:r>
    </w:p>
    <w:p>
      <w:r>
        <w:t>VI.6. The tender for the selection of the new manager of the storage facility</w:t>
      </w:r>
    </w:p>
    <w:p>
      <w:r>
        <w:t>VI.6.1. The measures originally proposed</w:t>
      </w:r>
    </w:p>
    <w:p>
      <w:r>
        <w:t>81. Within 10 days from the termination of the current assignment with Levorato Marcevaggi, Sacbo has committed to issue a public tender for the temporary ownership of the storage facility and the external loading bay, as well as for the use of the parking spaces for tank trucks adjacent to the storage facility. On this point, the commitments included the option to issue two separate tenders, one for the storage facility and the other for the adjacent parking spaces, but this scenario was subject to a risk study confirming the possibility that the refueling within the storage facility could also occur by a party that, although unique, is different from the one providing the storage service.</w:t>
      </w:r>
    </w:p>
    <w:p>
      <w:r>
        <w:t>82. Sacbo has also committed to issue a tender that:</w:t>
        <w:br/>
        <w:t>− takes into account the methods possibly prescribed by ENAC in the event of centralization of the storage facility. In this context, with reference to a scenario of non-centralization of the infrastructure, Sacbo has also committed to take an active role, by proposing a specific request to ENAC, so that ENAC sets the tariff to be used as the basis for the tender and ensures ENAC's tariff oversight for the entire duration of the assignment resulting from the tender;</w:t>
        <w:br/>
        <w:t>− provides, in the tender notice, that the awarded party will be subject to the tariffs approved by ART calculated based on the airport area assigned;</w:t>
        <w:br/>
        <w:t>− provides, in the tender notice, that the tender will be awarded based on objective and non-discriminatory assignment criteria that guarantee pro-competitive conditions, anchored, among other things, to parameters related to safety, technical capacity, and the quality of service and maintenance, as well as other criteria and parameters that may be indicated by ENAC. In this context, Sacbo has committed to communicate the criteria for awarding the tender to the Authority before the publication of the tender notice;</w:t>
        <w:br/>
        <w:t>− provides in the tender that the awarded party must pay an amount for the purchase of the ownership of the storage facility lower than the compensation that Sacbo has paid to Levorato Marcevaggi, so that Sacbo will incur an economic loss directly related to the need to ensure the effective contestability of the services in question.</w:t>
      </w:r>
    </w:p>
    <w:p>
      <w:r>
        <w:rPr>
          <w:b/>
        </w:rPr>
        <w:t>[Pages 22–24]</w:t>
      </w:r>
    </w:p>
    <w:p>
      <w:r>
        <w:t>24 BULLETIN NO. 12 OF APRIL 3, 2018</w:t>
      </w:r>
    </w:p>
    <w:p>
      <w:r>
        <w:t>- provide, in the tender, that the temporary ownership of the storage facility and the loading bay, their management, and the adjacent stalls to the storage facility, be assigned until December 31, 2020, when the new storage facility will be operational, in order to avoid extensions of the assignment.</w:t>
      </w:r>
    </w:p>
    <w:p>
      <w:r>
        <w:t>83. Finally, Sacbo has committed to invite all into-plane operators who have so far expressed interest in carrying out storage activities at Bergamo airport to participate in the tender, and to award the contract within sixty days following the publication of the tender, with the successful bidder for the storage facility being operational within 45 days from the award.</w:t>
      </w:r>
    </w:p>
    <w:p>
      <w:r>
        <w:t>84. Sacbo has also committed to apply a reduction of [omissis]% of the fees owed to it by Levorato Marcevaggi for the concession of the areas where the storage facility is located, which Levorato Marcevaggi has committed to pass on to the items of the fee (affected by the fee reduction) charged to the entities that use the storage and warehousing services.</w:t>
      </w:r>
    </w:p>
    <w:p>
      <w:r>
        <w:t>VI.6.2. Elements emerged during the market test</w:t>
      </w:r>
    </w:p>
    <w:p>
      <w:r>
        <w:t>85. Both Skytanking and Carboil noted that the future tender for the selection of the entity that will provide the storage service at the airport should only concern the management of the storage facility and not the transfer of its temporary ownership, with the related payment of a sum for its purchase by the successful bidder. The sum that the successful bidder would be required to pay if the transfer of ownership were anticipated would, according to the parties, be difficult to amortize in the short duration of the sub-concession, which will expire on December 31, 2020.</w:t>
      </w:r>
    </w:p>
    <w:p>
      <w:r>
        <w:t>86. Carboil also emphasized that Sacbo's commitment, in addition to merely replicating obligations already imposed on the operator by law or sector regulations, would result in a measure that is insignificant for the opening of the into-plane market, as the discount offered to Levorato Marcevaggi would apply to oil companies and not to the into-plane operators. Carboil then pointed out that the commitment is incomplete in that it does not impose on the storage facility operator an obligation for separate accounting between the storage/warehousing service and the into-plane service, which is instead essential to ensure effective parity among competitors.</w:t>
      </w:r>
    </w:p>
    <w:p>
      <w:r>
        <w:t>87. As already anticipated, regarding the tender, ENAC has instead considered that the management of the centralized storage facility can also be ensured by entrusting it to a third operator, “of which the operator itself holds substantial ownership and effective control.”</w:t>
      </w:r>
    </w:p>
    <w:p>
      <w:r>
        <w:t>VI.6.3. Accessory modifications</w:t>
      </w:r>
    </w:p>
    <w:p>
      <w:r>
        <w:t>88. Sacbo has modified the commitments presented by providing that the tender will concern only the management of the storage facility and the external loading bay and not the transfer of its temporary ownership28, unless otherwise provided by ENAC in the event of centralization of the storage facility, in which case the tender will be announced taking into account the methods possibly prescribed by ENAC during the authorization process. Following the objections raised by Carboil, Sacbo has also committed to provide in the tender that the successful bidder has the obligation of separate accounting between the storage service and the into-plane service.</w:t>
      </w:r>
    </w:p>
    <w:p>
      <w:r>
        <w:t>89. Sacbo has also clarified that the tender will not include the stalls adjacent to the storage facility, which will be assigned by virtue of the rotation mechanism described below.</w:t>
      </w:r>
    </w:p>
    <w:p>
      <w:r>
        <w:t>90. Regarding the commitment to provide a reduction of [omissis]% of the fees owed by Levorato, in order to clarify the commitment in question, Sacbo has finally modified the formulation of the commitment specifying that such discount is passed on in the storage fee, believing that this measure will benefit the entire aviation refueling sector and thus also indirectly favor the into-plane suppliers. The final version of the commitments presented by Levorato Marcevaggi incorporates this provision, in that it contemplates that the company will pass on this discount to the fee charged to the entities that use the storage and warehousing services.</w:t>
      </w:r>
    </w:p>
    <w:p>
      <w:r>
        <w:t>VI.6.4. Assessments</w:t>
      </w:r>
    </w:p>
    <w:p>
      <w:r>
        <w:t>91. The Authority positively assesses Sacbo's commitment to announce a tender for the selection of the manager of the only storage facility, as it restores the necessary competitive dynamics for the storage market. Furthermore, the conditions of the tender appear suitable to ensure broad participation, on equal terms for all interested operators; following the observations of third parties involved in the market test, Sacbo has then modified the initially proposed measures by providing that the tender will concern only the management of the storage facility, unless otherwise provided by ENAC following the centralization of the storage facility (which as such are not within the availability of the party), thereby also addressing any concerns regarding the difficulty of fully amortizing the investment incurred.</w:t>
      </w:r>
    </w:p>
    <w:p>
      <w:r>
        <w:t>VI.7. The commitment to advance by about a year the realization of a new storage facility and to implement activities for the preservation and improvement of competitive conditions at the airport and of the airport</w:t>
      </w:r>
    </w:p>
    <w:p>
      <w:r>
        <w:t>VI.7.1. Originally proposed measures</w:t>
      </w:r>
    </w:p>
    <w:p>
      <w:r>
        <w:t>92. Sacbo has then committed to realize the new centralized storage facility by the summer of 2020, approximately one year ahead of the timelines set out in the current PSA 2016-2030. In particular, in order to accelerate the timelines for the construction of the new storage facility, pending the VIA authorization deadline and the urban planning authorization in the conference of services, Sacbo has committed to advance the start of the preliminary design of the new storage facility by the end of 2017.</w:t>
      </w:r>
    </w:p>
    <w:p>
      <w:r>
        <w:t>93. Sacbo has finally committed to activate a price monitoring system for all individual segments of the into-plane refueling market – of which it can provide evidence to ENAC or the Authority, if necessary – in order to improve the competitive performance of the services in question and of the airport as a whole.</w:t>
      </w:r>
    </w:p>
    <w:p>
      <w:r>
        <w:t>VI.7.2. Elements emerged during the market test</w:t>
      </w:r>
    </w:p>
    <w:p>
      <w:r>
        <w:t>94. Regarding the construction of the new storage facility, Carboil noted that Sacbo's commitment would be incomplete as it does not specify the access modalities to the new storage facility by into-plane operators and the related conditions of use. It would also be a measure that the airport operator would have had to undertake anyway to fulfill its obligations to ensure the full functionality of the airport.</w:t>
      </w:r>
    </w:p>
    <w:p>
      <w:r>
        <w:t>95. Regarding the price monitoring system, Carboil argued that the commitment presented amounts to a mere statement of intent, lacking binding force and unsuitable to produce an effective and efficient opening effect of the into-plane market.</w:t>
      </w:r>
    </w:p>
    <w:p>
      <w:r>
        <w:t>VI.7.3. Accessory modifications</w:t>
      </w:r>
    </w:p>
    <w:p>
      <w:r>
        <w:t>96. Sacbo has not presented accessory modifications to the commitments.</w:t>
      </w:r>
    </w:p>
    <w:p>
      <w:r>
        <w:t>VI.7.4. Assessments</w:t>
      </w:r>
    </w:p>
    <w:p>
      <w:r>
        <w:t>97. The Authority positively assesses the operator's commitment, which consists of advancing the construction of the new storage facility, completing it by the summer of 2020, approximately one year ahead of the timelines set out in the PSA. The commitment thus has added value and contributes to the full opening of the onboard services market through the early construction of a storage facility with greater capacity compared to the currently existing facility at the airport site. With reference to the price monitoring system, the Authority believes that it can help verify the competitive conditions in the onboard services market at Bergamo airport, and thus fits into the overall commitments proposed.</w:t>
      </w:r>
    </w:p>
    <w:p>
      <w:r>
        <w:t>VII. CONCLUSIVE ASSESSMENTS</w:t>
      </w:r>
    </w:p>
    <w:p>
      <w:r>
        <w:t>98. In conclusion, the commitments presented by Sacbo and Levorato Marcevaggi appear overall suitable to address the competitive concerns expressed at the initiation of the proceedings, and the potential detriment to intra-European trade, as they allow for a timely opening of the aviation fuel onboard services market at Bergamo airport and restore competitive conditions for the storage market and related services at the same airport.</w:t>
      </w:r>
    </w:p>
    <w:p>
      <w:r>
        <w:t>99. The Authority will monitor the execution of the commitments and reserves the right to reopen the proceedings ex officio for the purposes and effects of what is provided for by Article 14-ter, paragraphs 2 and 3, of Law No. 287/90.</w:t>
      </w:r>
    </w:p>
    <w:p>
      <w:r>
        <w:t>CONSIDERING, therefore, that the commitments presented by Sacbo - Società per l’Aeroporto civile di Bergamo Orio al Serio S.p.A. and Levorato Marcevaggi S.r.l. are suitable to eliminate the anticompetitive profiles subject to the investigation;</w:t>
      </w:r>
    </w:p>
    <w:p>
      <w:r>
        <w:t>CONSIDERING to order the mandatory nature of the commitments presented by Sacbo - Società per l’Aeroporto civile di Bergamo Orio al Serio S.p.A. and Levorato Marcevaggi S.r.l. pursuant to Article 14-ter, paragraph 1, of Law No. 287/90;</w:t>
      </w:r>
    </w:p>
    <w:p>
      <w:r>
        <w:t>All of the above having been stated and considered:</w:t>
      </w:r>
    </w:p>
    <w:p>
      <w:r>
        <w:t>RESOLVES</w:t>
      </w:r>
    </w:p>
    <w:p>
      <w:r>
        <w:t>a) to make the commitments presented by Sacbo - Società per l’Aeroporto civile di Bergamo Orio al Serio S.p.A. and Levorato Marcevaggi S.r.l. mandatory, pursuant to Article 14-ter, paragraph 1, of Law No. 287/90, in the terms described above and attached to this provision, which are an integral part thereof;</w:t>
      </w:r>
    </w:p>
    <w:p>
      <w:r>
        <w:t>b) that Sacbo - Società per l’Aeroporto civile di Bergamo Orio al Serio S.p.A. and Levorato Marcevaggi S.r.l. present to the Authority a first detailed report on the implementation of the commitments undertaken by June 30, 2018, and subsequently by December 31 of each of the years 2018, 2019, and 2020;</w:t>
      </w:r>
    </w:p>
    <w:p>
      <w:r>
        <w:t>c) to close the proceedings without establishing the infringement, pursuant to Article 14-ter, paragraph 1, of Law No. 287/90.</w:t>
      </w:r>
    </w:p>
    <w:p>
      <w:r>
        <w:t>This provision will be notified to the interested parties and published in the Bulletin of the Authority for Competition and the Market.</w:t>
      </w:r>
    </w:p>
    <w:p>
      <w:r>
        <w:rPr>
          <w:b/>
        </w:rPr>
        <w:t>[Pages 25–27]</w:t>
      </w:r>
    </w:p>
    <w:p>
      <w:r>
        <w:t>BULLETIN NO. 12 OF APRIL 3, 2018</w:t>
      </w:r>
    </w:p>
    <w:p>
      <w:r>
        <w:t>27</w:t>
        <w:b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paragraph 2, of the Decree of the President of the Republic No. 1199 of November 24, 1971, within the term of one hundred and twenty days from the date of notification of the provision itself.</w:t>
      </w:r>
    </w:p>
    <w:p>
      <w:r>
        <w:t>THE SECRETARY GENERAL THE PRESIDENT</w:t>
        <w:br/>
        <w:t>Roberto Chieppa Giovanni Pitruzzella</w:t>
      </w:r>
    </w:p>
    <w:p>
      <w:r>
        <w:t>28 BULLETIN NO. 12 OF APRIL 3, 2018</w:t>
      </w:r>
    </w:p>
    <w:p>
      <w:r>
        <w:t>CONCENTRATION OPERATIONS</w:t>
        <w:br/>
        <w:t>C12152 - EUROPEAN LABORATORY SERVICES/LIFEBRAIN</w:t>
        <w:br/>
        <w:t>Provision No. 27090</w:t>
        <w:br/>
        <w:t>THE AUTHORITY FOR THE GUARANTEE OF COMPETITION AND THE MARKET</w:t>
        <w:br/>
        <w:t>IN ITS MEETING of March 14, 2018;</w:t>
        <w:br/>
        <w:t>HEARD the Rapporteur Professor Michele Ainis;</w:t>
        <w:br/>
        <w:t>HAVING REGARD TO Law No. 287 of October 10, 1990;</w:t>
        <w:br/>
        <w:t>HAVING REGARD TO the D.P.R. No. 217 of April 30, 1998;</w:t>
        <w:br/>
        <w:t>HAVING REGARD TO the act of the company European Laboratory Services S.à.r.l., received on February 26, 2018;</w:t>
        <w:br/>
        <w:t>CONSIDERING the following:</w:t>
      </w:r>
    </w:p>
    <w:p>
      <w:r>
        <w:t>I. THE PARTIES</w:t>
        <w:br/>
        <w:t>European Laboratory Services S.à.r.l. (hereinafter, “ELS”) is a company under Luxembourg law controlled by Global Healthcare Services S.à.r.l., a Luxembourg company established by the fund Investindustrial VI L.P. (hereinafter, “Investindustrial”). Investindustrial is a private equity fund managed by Investindustrial Advisors Limited, an English company controlled by Investindustrial S.A., the parent company of the Investindustrial group, a European group of investment companies, holdings, and financial consulting firms. In 2016, the revenue of the companies in the Investindustrial group’s portfolio was [3-4]1 billion euros worldwide, of which [2-3] in the European Union and [0-1] in Italy.</w:t>
      </w:r>
    </w:p>
    <w:p>
      <w:r>
        <w:t>Lifebrain AG (hereinafter, “LB”) is a holding company under Austrian law controlled by lb EK Management GmbH &amp; Co KG. LB, through the company Laboratorio Analisi Guidonia (LAG), is active in Italy in the field of laboratory analysis of clinical pathologies. LAG operates in 15 Italian regions through 90 controlled companies active in the laboratory analysis sector. In 2016, the revenue generated by LB was 56.5 million euros worldwide, of which [50-100] generated in Italy.</w:t>
      </w:r>
    </w:p>
    <w:p>
      <w:r>
        <w:t>II. DESCRIPTION OF THE OPERATION</w:t>
        <w:br/>
        <w:t>The operation in question consists of the acquisition of exclusive control of LB by ELS, through the newly established company Grifondoro S.r.l.</w:t>
      </w:r>
    </w:p>
    <w:p>
      <w:r>
        <w:t>Pursuant to the sale agreement, the seller undertakes – for a period of two years and within the national territory – not to operate directly or indirectly in a field of activity that competes with LB’s activity (defined as a strategy for establishing a group in Europe focused on the laboratory diagnostics sector) and not to participate directly or indirectly in another company operating in the field of medical diagnostics or in business areas related to the strategy for establishing a group in Europe focused on the laboratory diagnostics sector. The non-competition clause does not prohibit the sellers from acquiring or holding stakes of less than 10% in any company operating in the same field as LB.</w:t>
      </w:r>
    </w:p>
    <w:p>
      <w:r>
        <w:t>III. QUALIFICATION OF THE OPERATION</w:t>
        <w:br/>
        <w:t>The notified operation, as it involves the acquisition of exclusive control of part of a company, constitutes a concentration pursuant to Article 5, paragraph 1, letter b), of Law No. 287/90.</w:t>
      </w:r>
    </w:p>
    <w:p>
      <w:r>
        <w:t>It falls within the scope of application of Law No. 287/90, as the conditions set out in Article 1 of Regulation (EC) No. 139/04 do not apply, and is subject to the obligation of prior notification provided for by Article 16, paragraph 1, of the same law, as amended by Article 1, paragraph 177, of Law No. 124 of August 4, 2017, since the total revenue generated in the last financial year at the national level by the group of companies involved was over 492 million euros and the revenue generated individually at the national level by at least two of the companies involved was over 30 million euros.</w:t>
      </w:r>
    </w:p>
    <w:p>
      <w:r>
        <w:t>The non-competition agreement described above can be qualified as ancillary to the notified concentration, as it is functional to safeguarding the value of the acquired company, provided that it is geographically limited to the area of activity of the acquired company2.</w:t>
      </w:r>
    </w:p>
    <w:p>
      <w:r>
        <w:t>IV. ASSESSMENT OF THE CONCENTRATION</w:t>
        <w:br/>
        <w:t>The product market</w:t>
        <w:br/>
        <w:t>From a commodity perspective, the sector concerned by the operation in question is the healthcare sector, with particular reference to laboratory analysis services for clinical pathologies, in which the company subject to acquisition operates3.</w:t>
      </w:r>
    </w:p>
    <w:p>
      <w:r>
        <w:t>Clinical laboratory analyses typically include a wide range of tests (cytological, histological, hematological, etc.) of a chemical, biological, and microbiological nature; they differ from more complex and specialized analyses for which specific and technologically advanced machinery is required, and for which demand is generally willing to make particular choices.</w:t>
      </w:r>
    </w:p>
    <w:p>
      <w:r>
        <w:t>Clinical analysis laboratories utilize one or more sampling centers, usually within or nearby the laboratory itself.</w:t>
      </w:r>
    </w:p>
    <w:p>
      <w:r>
        <w:t>The demand for the services in question is quite diversified and generally includes: patients, who, freely or referred by their attending physician, choose to turn to a specific laboratory; public hospitals (in particular hospital companies due to their management autonomy; hospital facilities, in fact, as they are directly managed by the local health authorities, usually use the laboratories organized by them); private hospital facilities, which sometimes opt for external management of clinical analysis services; finally, private doctors and clinics.</w:t>
      </w:r>
    </w:p>
    <w:p>
      <w:r>
        <w:t>In Italy, the remuneration for services provided by private laboratories occurs through two main modalities. If the service is requested from a facility contracted with the public healthcare system, the latter bears the related cost (contractual regime); the</w:t>
      </w:r>
    </w:p>
    <w:p>
      <w:r>
        <w:t>2 See Communication from the European Commission on restrictions directly related and necessary to concentrations, 2005/C 56/03, published in the Official Journal of the European Union on March 5, 2005, C 56/24.</w:t>
        <w:br/>
        <w:t>3 See C11792 - SL DIAGNOSTIC SERVICES ITALY/EUROLAB, provision No. 24005 of October 17, 2012, in Bulletin 42/2012 and C11606 - SL DIAGNOSTIC SERVICES ITALY/CENTRO A. FLEMING, provision No. 23600 of May 16, 2012, in Bulletin 20/2012.</w:t>
      </w:r>
    </w:p>
    <w:p>
      <w:r>
        <w:rPr>
          <w:b/>
        </w:rPr>
        <w:t>[Pages 28–30]</w:t>
      </w:r>
    </w:p>
    <w:p>
      <w:r>
        <w:t>30 BULLETIN NO. 12 OF APRIL 3, 2018</w:t>
      </w:r>
    </w:p>
    <w:p>
      <w:r>
        <w:t>remuneration charged to the public service occurs according to tariffs established at the regional level, alongside the payment of the so-called health ticket by the patient. Conversely, for services provided without a contract, that is, privately, the demand directly bears the entire cost (private regime). Generally, the offer does not provide all services under a contractual arrangement; in fact, often the analyses, particularly the more complex and expensive ones, are carried out in a private regime.</w:t>
      </w:r>
    </w:p>
    <w:p>
      <w:r>
        <w:t>According to estimates from the notifying party, the value of the market for clinical laboratory pathology analysis services was over 2.6 billion euros in 2016 and slightly increased in 2017.</w:t>
      </w:r>
    </w:p>
    <w:p>
      <w:r>
        <w:t>The geographic market</w:t>
      </w:r>
    </w:p>
    <w:p>
      <w:r>
        <w:t>From the perspective of geographic relevance, the market in question must be considered local in size, given the strong localization of demand. Indeed, on one hand, individual patients have health needs strongly connected to their place of residence, while on the other hand, the same hospital and outpatient facilities are usually interested in a laboratory not far from their collection centers, so that the transport of samples to be analyzed is facilitated and expedited. Ultimately, the demand requires a certain proximity to the place where the sample collection takes place and to the place where the relevant laboratory analysis is conducted.</w:t>
      </w:r>
    </w:p>
    <w:p>
      <w:r>
        <w:t>In this specific case, the issue of the exact delimitation of the geographic scope of the market can be left open since even in the most restrictive hypothesis, the assessment of the operation would not change.</w:t>
      </w:r>
    </w:p>
    <w:p>
      <w:r>
        <w:t>Effects of the operation</w:t>
      </w:r>
    </w:p>
    <w:p>
      <w:r>
        <w:t>None of the portfolio companies controlled by funds managed by companies belonging to the Investindustrial Group operate in the market for clinical laboratory pathology analysis services. LB, on the other hand, is active in Italy with approximately 200 laboratories.</w:t>
      </w:r>
    </w:p>
    <w:p>
      <w:r>
        <w:t>In light of the observations made, it is therefore believed that the concentration in question is not suitable to produce detrimental effects on competition considering that it involves merely replacing one operator with another.</w:t>
      </w:r>
    </w:p>
    <w:p>
      <w:r>
        <w:t>CONSIDERED, therefore, that the operation in question does not result, pursuant to Article 6, paragraph 1, of Law No. 287/90, in the establishment or strengthening of a dominant position in the relevant market, such as to eliminate or substantially and durably reduce competition;</w:t>
      </w:r>
    </w:p>
    <w:p>
      <w:r>
        <w:t>CONSIDERED, furthermore, that the non-competition obligations between the parties are ancillary to this operation only to the limits described above and that the Authority reserves the right to evaluate, where the conditions exist, the aforementioned agreements that occur beyond the indicated limits;</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the Bulletin of the Competition and Market Authority.</w:t>
      </w:r>
    </w:p>
    <w:p>
      <w:r>
        <w:t>BULLETIN NO. 12 OF APRIL 3, 2018 31</w:t>
      </w:r>
    </w:p>
    <w:p>
      <w:r>
        <w:t>THE SECRETARY GENERAL THE PRESIDENT</w:t>
      </w:r>
    </w:p>
    <w:p>
      <w:r>
        <w:t>Roberto Chieppa Giovanni Pitruzzella</w:t>
      </w:r>
    </w:p>
    <w:p>
      <w:r>
        <w:t>32 BULLETIN NO. 12 OF APRIL 3, 2018</w:t>
      </w:r>
    </w:p>
    <w:p>
      <w:r>
        <w:t>REPORTING AND CONSULTATIVE ACTIVITY</w:t>
      </w:r>
    </w:p>
    <w:p>
      <w:r>
        <w:t>AS1491 – FRIULI VENEZIA GIULIA REGION – LAW 44/2017 - LAW CONNECTED TO THE 2018-2020 BUDGET MANEUVER</w:t>
      </w:r>
    </w:p>
    <w:p>
      <w:r>
        <w:t>Rome, February 21, 2018</w:t>
      </w:r>
    </w:p>
    <w:p>
      <w:r>
        <w:t>Presidency of the Council of Ministers</w:t>
      </w:r>
    </w:p>
    <w:p>
      <w:r>
        <w:t>Department for Regional Affairs</w:t>
      </w:r>
    </w:p>
    <w:p>
      <w:r>
        <w:t>With reference to the request for an opinion formulated by your Department regarding the provisions of the regional law of the Friuli Venezia Giulia Region of December 28, 2017, No. 44, entitled “Law connected to the 2018-2020 budget maneuver” (hereinafter also the Regional Law), the Authority, in its meeting of February 14, 2018, intended to formulate the following observations pursuant to Article 22 of Law No. 287/90.</w:t>
      </w:r>
    </w:p>
    <w:p>
      <w:r>
        <w:t>The Authority believes that some provisions of the aforementioned Regional Law, which consists of 11 articles, are in conflict with national and community principles regarding competition and, therefore, present profiles of unconstitutionality for violation of Article 117, paragraph 2, letter e), of the Constitution.</w:t>
      </w:r>
    </w:p>
    <w:p>
      <w:r>
        <w:t>Specifically, Article 4, paragraph 2, of the Regional Law provides for two amendments to Article 25 of Regional Law of April 15, 2016, No. 5, entitled “Organization of functions related to the integrated water service and the integrated management of urban waste,” in particular:</w:t>
      </w:r>
    </w:p>
    <w:p>
      <w:r>
        <w:t>i. the reformulation of Article 25, paragraph 2, in the following terms: “The Municipalities and the Liquidation Commissioners of the CATO are authorized to extend the expiring contracts by December 31, 2017, necessary to ensure the continuity of services. In any case, the acts taken to ensure the continuity of services lose effectiveness sixty days after the appointment of the General Director pursuant to Article 10, unless the Regional Assembly does not provide for its validation. In the event of non-validation, the Regional Assembly adopts, within the following thirty days, the measures deemed necessary to regulate the legal relationships that may have arisen based on the non-validated act”;</w:t>
      </w:r>
    </w:p>
    <w:p>
      <w:r>
        <w:t>ii. the insertion of paragraph 3-bis, according to which: “The AUSIR adopts any realignment of the concessions made in application of Article 8, paragraph 4, of the Agreement between the autonomous Friuli Venezia Giulia Region and the Veneto Region of October 31, 2017, by the Optimal Territorial Area Consultation ‘Lemene’ in the event of an aggregation of integrated water service management companies.”</w:t>
      </w:r>
    </w:p>
    <w:p>
      <w:r>
        <w:t>The aforementioned legislative amendments are part of a legal text (Regional Law No. 5/2016) that has radically changed the organization of the management of the integrated water service (SII) and the integrated management of urban waste in the autonomous Friuli Venezia Giulia Region.</w:t>
      </w:r>
    </w:p>
    <w:p>
      <w:r>
        <w:rPr>
          <w:b/>
        </w:rPr>
        <w:t>[Pages 31–33]</w:t>
      </w:r>
    </w:p>
    <w:p>
      <w:r>
        <w:t>BULLETIN NO. 12 OF APRIL 3, 2018</w:t>
      </w:r>
    </w:p>
    <w:p>
      <w:r>
        <w:t>The Authority has already had the opportunity to signal to the Friuli Venezia Giulia Region the potential anti-competitive effects arising from l.r. n. 5/2016 – in particular from Article 16, paragraph 5 – in the offering of integrated water services and in the management of urban waste, with the report AS1454 - Autonomous Region of Friuli Venezia Giulia - Organization of functions related to integrated water services and integrated waste management services, dated November 23, 2017.</w:t>
      </w:r>
    </w:p>
    <w:p>
      <w:r>
        <w:t>Specifically, Article 16, paragraph 5, of l.r. n. 5/2016 provides that, in the event of aggregation of companies managing the integrated water service and the integrated urban waste service, “the economic operator succeeding the initial concessionaire continues the management of the services until the scheduled deadlines. The AUSIR, after verifying the persistence of qualitative criteria and conditions of economic-financial balance, orders the alignment of the deadlines of the existing concessions, updating the overall expiration date with the longer-term assignment” (emphasis added).</w:t>
      </w:r>
    </w:p>
    <w:p>
      <w:r>
        <w:t>The provision thus allows for the alignment of the expiration of the assignments subject to the corporate aggregation process to the expiration of the assignment with the longest term, resulting in their automatic extension. The alignment is ordered by AUSIR (Single Authority for Water Services and Waste), that is, the governing body of the single regional area for the integrated water service and urban hygiene services, whose full operation is conditioned by law on the appointment of its General Director. The appointment was made with the Resolution of the Regional Assembly of the Area n. 2 of January 17, 2018, and thus on the same date AUSIR became fully operational.</w:t>
      </w:r>
    </w:p>
    <w:p>
      <w:r>
        <w:t>In the aforementioned report AS1454, the potential anti-competitive effects arising from the possibility of automatic extension ex lege of the duration of the assignments of the integrated water service and the urban waste management service were highlighted, which, considering the current deadlines of the assignments, could lead to an extension of the related validity period even until 2045, resulting in a postponement of the selection of the single area manager through public tender or other methods permitted by the legal system.</w:t>
      </w:r>
    </w:p>
    <w:p>
      <w:r>
        <w:t>In this regard, the Authority first recalled the decisions with which the Constitutional Court sanctioned the illegitimacy of national and regional legal norms introducing automatic extensions of assignments and mechanisms for mere circumvention of the deadlines of existing assignments, deeming them contrary to community and national principles protecting competition.</w:t>
      </w:r>
    </w:p>
    <w:p>
      <w:r>
        <w:t>Secondly, it was noted how the same Authority, regarding provisions for automatic extensions of assignments, has repeatedly stated that “the possibility of extending assignments in concessions for local public services of economic relevance beyond the established deadlines should represent a completely exceptional and temporally limited circumstance, due to its potentially contrary impact on the principles of free competition, equal treatment, and non-discrimination. It is, in fact, essential that in sectors characterized by a long duration of assignments, the tool of extension is confined to unpredictable exceptional situations, otherwise unmanageable [….] The Authority has also deemed it appropriate to highlight how in determining the time frame of the concession, the economic needs, the necessary amortization of the invested capital, and the specific public interests related to the individual sector under examination should be accurately balanced.”</w:t>
      </w:r>
    </w:p>
    <w:p>
      <w:r>
        <w:t>The new formulation of Article 25, paragraph 2, of l.r. 5/2016, introduced by Article 4, paragraph 2, of the Regional Law subject to this request for opinion, allowing the extension of the assignments expiring on December 31, 2017, up to 60 days from the appointment of the General Director of AUSIR and subject to the related validation by the regional assembly of the area, appears intended to regularize also the corporate aggregations that occurred before the full operation of AUSIR, that is, before January 17, 2018.</w:t>
      </w:r>
    </w:p>
    <w:p>
      <w:r>
        <w:t>Furthermore, with specific reference to the Integrated Water Service, the new paragraph 3-bis of Article 25 (also introduced by the Regional Law in question) provides that AUSIR shall adopt any alignment of the concessions carried out (in application of Article 8, paragraph 4, of the Agreement between the Autonomous Region of Friuli Venezia Giulia and the Veneto Region) by the interregional optimal territorial consultation (so-called CATO) Lemene, in the case of aggregation of companies managing the integrated water service.</w:t>
      </w:r>
    </w:p>
    <w:p>
      <w:r>
        <w:t>The provision, in legitimizing the extension of the assignments ordered by CATO Lemene, seems to refer to the recent incorporation of the company Sistema Ambiente S.r.l. - manager of the integrated water service in part of the municipalities included in the former ATO Friuli Occidentale and with an assignment expiring on June 30, 2039 – into the company Livenza Tagliamento Acqua S.p.A., manager of the integrated water service in the former interregional ATO Lemene and whose assignment was expiring on December 31, 2017. The aforementioned merger by incorporation became definitive on December 22, 2017, that is, before the full operation of AUSIR (which occurred, as seen, on January 17, 2018), which should have ordered the alignment of the existing concessions.</w:t>
      </w:r>
    </w:p>
    <w:p>
      <w:r>
        <w:t>In accordance with the aforementioned provision, with resolution of December 29, 2017, n. 17, CATO Lemene thus ordered the alignment of the expiration of the management of Livenza Tagliamento Acqua S.p.A. to 2039, an alignment that will therefore be adopted by AUSIR, based on the new provision of Article 25, paragraph 3-bis, l.r. 5/2016.</w:t>
      </w:r>
    </w:p>
    <w:p>
      <w:r>
        <w:t>The amendments in question therefore appear aimed at remedying situations of extension of assignments in the integrated water service and in the integrated urban waste management resulting from corporate aggregation operations carried out outside the already questionable provisions of Article 16 of l.r. n. 5/2016.</w:t>
      </w:r>
    </w:p>
    <w:p>
      <w:r>
        <w:t>In this regard, it must be reiterated that the anticipated possibility of automatic extension of the expiration of the affected assignments in the case of corporate aggregations certainly appears capable of causing a significant delay in the new assignments of the integrated water service and the integrated urban waste management in compliance with national and European sector regulations.</w:t>
      </w:r>
    </w:p>
    <w:p>
      <w:r>
        <w:t>In conclusion, Article 4, paragraph 2, of Regional Law n. 44/2017, as well as Article 16, paragraph 5, of Regional Law n. 5/2016, in allowing significant ex lege extensions of the current assignments of the integrated water service and the integrated urban hygiene service, introduce competitive restrictions that do not appear justified, from the standpoint of adequacy and proportionality, by the aim of rationalizing regional public participation in the companies currently managing such services and therefore violate Article 117, paragraph 2, letter e), of the Constitution.</w:t>
      </w:r>
    </w:p>
    <w:p>
      <w:r>
        <w:t>This opinion will be published in the Bulletin referred to in Article 26 of Law n. 287/90, unless any reasons opposing publication are represented within 30 days from the receipt of this communication.</w:t>
      </w:r>
    </w:p>
    <w:p>
      <w:r>
        <w:t>THE PRESIDENT</w:t>
        <w:br/>
        <w:t>Giovanni Pitruzzella</w:t>
      </w:r>
    </w:p>
    <w:p>
      <w:r>
        <w:rPr>
          <w:b/>
        </w:rPr>
        <w:t>[Pages 34–36]</w:t>
      </w:r>
    </w:p>
    <w:p>
      <w:r>
        <w:t>36 BULLETIN NO. 12 OF APRIL 3, 2018</w:t>
      </w:r>
    </w:p>
    <w:p>
      <w:r>
        <w:t>AS1492 – TECHNICAL OBSTACLES AND EXCESSIVE ECONOMIC BURDENS NOT PROPORTIONAL TO THE PURPOSES OF THE OBLIGATION TO HAVE MULTIPLE TYPES OF FUELS AT FUEL DISTRIBUTION FACILITIES</w:t>
      </w:r>
    </w:p>
    <w:p>
      <w:r>
        <w:t>Rome, February 23, 2018</w:t>
      </w:r>
    </w:p>
    <w:p>
      <w:r>
        <w:t>Ministry of Economic Development</w:t>
      </w:r>
    </w:p>
    <w:p>
      <w:r>
        <w:t>The Antitrust Authority, in its meeting on February 21, 2018, intended to provide, pursuant to Article 22, Law No. 287/90, the opinion requested on the draft "Ministerial Decree pursuant to Article 1, paragraph 98 of Law No. 124 of August 4, 2017, which amends Article 83-bis, paragraph 17, of Decree-Law No. 112 of June 25, 2008 (converted into Law No. 133 of August 6, 2008) concerning technical obstacles or excessive economic burdens not proportional to the purposes of the obligation to have multiple types of fuels at fuel distribution facilities," transmitted by this Ministry most recently on February 13, 2018.</w:t>
      </w:r>
    </w:p>
    <w:p>
      <w:r>
        <w:t>As is known, Article 83-bis, paragraph 17, of Decree-Law No. 112/2008, converted into Law No. 133 of August 6, 2008, was most recently amended by Article 1, paragraph 98, of Law No. 124 of August 4, 2017, titled "Annual Law for the Market and Competition." This recent provision has entrusted this Ministry with the task of identifying the "technical obstacles or excessive economic burdens not proportional to the purposes of the obligation" that make the simultaneous presence of multiple types of fuels, including methane for refueling stations, inapplicable in the case of installation and operation of a fuel distribution facility. The forthcoming Decree must be adopted "taking into account the development needs of the alternative fuels market pursuant to Directive 2014/94/EU of the European Parliament and of the Council, of October 22, 2014," transposed in Italy by Legislative Decree No. 257 of December 16, 2016.</w:t>
      </w:r>
    </w:p>
    <w:p>
      <w:r>
        <w:t>In particular, Article 18 of Legislative Decree No. 257/16, for the issuance or maintenance of the authorization to carry out fuel distribution activities in the network, provides for the obligation to equip with fast electric charging infrastructure and natural gas (or LNG) refueling, even if only self-service, in cases of the establishment of new facilities or total restructuring of existing facilities, as well as when existing facilities exceed certain annual dispensing thresholds and according to predetermined deadlines. According to what is established by paragraph 6 of the aforementioned Article 18, this obligation applies unless one of the following "technical impossibilities" occurs: a) lack of sufficient space pursuant to fire safety regulations, exclusively for facilities already authorized at the date of entry into force of the decree; b) for natural gas, a distance greater than 1000 m between the facility and the gas distribution network, if the latter has a pressure of less than 3 bar; c) for LNG, a land distance from the nearest LNG depot greater than 1000 km.</w:t>
      </w:r>
    </w:p>
    <w:p>
      <w:r>
        <w:t>On this point, the Authority recalls that the regulatory framework regarding the third fuel has defined a framework of asymmetric obligations only for new facilities which, due to the underlying purpose of improving environmental efficiency, has been assessed by the Constitutional Court as compatible with the protection of competition, on the express assumption that the simultaneous presence of multiple types of fuels cannot be imposed absolutely, but "only to the extent that it is technically possible to implement, or does not involve excessive or disproportionate costs."</w:t>
      </w:r>
    </w:p>
    <w:p>
      <w:r>
        <w:t>In this regard, the Authority intends to reiterate that unjustified forms of asymmetric regulation can harm the proper functioning of the market, to the extent that they have a discriminatory impact on new entrants.</w:t>
      </w:r>
    </w:p>
    <w:p>
      <w:r>
        <w:t>That said, the Authority acknowledges that the draft Ministerial Decree subject to opinion, in considering that the technical impossibilities provided for by Article 18, paragraph 6, of Legislative Decree No. 257/2016 also reflect the economic impossibilities of the investment, has intended to unify the hypotheses of "technical obstacles" and those of "excessive economic burdens" referred to in Article 83-bis, paragraph 17 of the Decree-Law.</w:t>
      </w:r>
    </w:p>
    <w:p>
      <w:r>
        <w:t>In this regard, it is noted that, with reference to the listing contained in Article 1 of the decree, the hypotheses referred to in letter a) configure a situation of impossibility from a technical point of view for the realization of the investment, while the hypotheses referred to in letters b) and c) also appear to constitute sources of excessive and disproportionate economic burdens with respect to the purposes of the obligation of the third fuel for the opening of new facilities.</w:t>
      </w:r>
    </w:p>
    <w:p>
      <w:r>
        <w:t>Therefore, a favorable opinion is expressed for the decree transmitted, in the sense indicated in the motivation.</w:t>
      </w:r>
    </w:p>
    <w:p>
      <w:r>
        <w:t>The present opinion will be published in the Bulletin referred to in Article 26 of Law No. 287/90, unless reasons opposing publication are represented within 30 days from the receipt of this communication.</w:t>
      </w:r>
    </w:p>
    <w:p>
      <w:r>
        <w:t>THE PRESIDENT</w:t>
      </w:r>
    </w:p>
    <w:p>
      <w:r>
        <w:t>Giovanni Pitruzzella</w:t>
      </w:r>
    </w:p>
    <w:p>
      <w:r>
        <w:t>1 Constitutional Court, May 12, 2016, No. 105.</w:t>
        <w:br/>
        <w:t>2 See, on this point, the reports of May 13, 2014, AS1133, Sicily Region. Consolidated text of production activities - fuel distribution, May 13, 2014, Bulletin No. 25/14 and of September 9, 2014, AS1148, Consolidated text of commerce: road and highway fuel distribution sector, Bulletin No. 37/2014.</w:t>
      </w:r>
    </w:p>
    <w:p>
      <w:r>
        <w:t>38 BULLETIN NO. 12 OF APRIL 3, 2018</w:t>
      </w:r>
    </w:p>
    <w:p>
      <w:r>
        <w:t>AS1493 – PROCEDURES FOR THE ASSIGNMENT OF FREQUENCY USE RIGHTS TO FACILITATE THE TRANSITION TO 5G TECHNOLOGY</w:t>
      </w:r>
    </w:p>
    <w:p>
      <w:r>
        <w:t>Rome, March 22, 2018</w:t>
      </w:r>
    </w:p>
    <w:p>
      <w:r>
        <w:t>Minister of Economic Development</w:t>
      </w:r>
    </w:p>
    <w:p>
      <w:r>
        <w:t>Authority for Communications Guarantees</w:t>
      </w:r>
    </w:p>
    <w:p>
      <w:r>
        <w:t>On March 14, 2018, the Antitrust Authority, based on the powers conferred by Article 22 of Law No. 287 of October 10, 1990, resolved to present some considerations regarding the competitive aspects concerning the implementing measures of the provisions of Article 1, paragraphs 1026-1046, of Law No. 205 of December 27, 2017, titled "State Budget for the financial year 2018 and multi-year budget for the three-year period 2018-2020" regarding the assignment of frequencies for mobile broadband telecommunications services.</w:t>
      </w:r>
    </w:p>
    <w:p>
      <w:r>
        <w:t>In the coming months, according to the scheme identified in Article 1, paragraphs 1026-1046, of Law No. 205/2017, Italy will prepare to define the procedures for the assignment of radio frequency use rights to be allocated to bidirectional terrestrial mobile electronic communication services using the 694-790 MHz band (the so-called 700 MHz band) and the pioneer spectrum bands 3.6-3.8 GHz and 26.5-27.5 GHz. These competitive selection procedures must be defined in line with the objective of ensuring the use of the spectrum, ensuring the widest level of coverage and access for all users to services based on 5G technology, throughout the national territory, taking into account the duration of the granted use rights, ensuring long-term socio-economic benefits.</w:t>
      </w:r>
    </w:p>
    <w:p>
      <w:r>
        <w:t>The Authority believes that these procedures represent an opportunity to ensure and expand competitive market conditions and to incentivize investments in mobile telecommunications services. As is known, in fact, the mobile telecommunications services market exhibits the characteristics of an oligopolistic market, whose level of concentration has increased as a result of the community concentration operation M.7758 between Wind Telecomunicazioni S.p.A. and H3G S.p.A., favoring unilateral and, above all, coordinated competitive risks.</w:t>
      </w:r>
    </w:p>
    <w:p>
      <w:r>
        <w:t>In this context, it is necessary to ensure that the process of assigning frequencies for mobile broadband communication services represents an opportunity for the entry and establishment of new operators, in order to reduce the level of concentration in the market in question.</w:t>
      </w:r>
    </w:p>
    <w:p>
      <w:r>
        <w:t>1 See European Commission Decision of September 1, 2016, case M.7758 – Hutchison Europe Telecommunications S.à.r.l./VimpelCom Luxembourg Holding S.à.r.l.</w:t>
        <w:br/>
        <w:t>2 See, for example, AGCM Provision No. 27025 of February 7, 2018, case I820 – Monthly billing with tariff increase.</w:t>
      </w:r>
    </w:p>
    <w:p>
      <w:r>
        <w:rPr>
          <w:b/>
        </w:rPr>
        <w:t>[Pages 37–39]</w:t>
      </w:r>
    </w:p>
    <w:p>
      <w:r>
        <w:t>BULLETIN NO. 12 OF APRIL 3, 2018</w:t>
      </w:r>
    </w:p>
    <w:p>
      <w:r>
        <w:t>The definition of auction rules that favor the entry or consolidation of new operators also appears necessary in light of the established practice in previous years of renewing frequency usage rights without conducting new competitive procedures. Although the renewal of frequency usage rights is provided for, only once and for a maximum period of 15 years, by Article 25, paragraph 6, of Legislative Decree No. 259 of August 1, 2003 (“Electronic Communications Code”), it should be noted that – in light of the fact that some historical operators can rely on frequencies whose usage rights have a duration of up to 35 years – the assignment of new frequencies (the so-called digital dividend) represents the only moment in which it is possible for new operators or the consolidation of operators (both infrastructure-based and full-MVNO virtual) of still limited size to enter through competitive comparison. This is especially true for frequencies that, due to their propagation characteristics, are considered more valuable, namely frequencies below 1 GHz that are necessary to promote network coverage. As can be seen in Figure 1, frequency resources below 1 GHz are asymmetrically assigned in favor of historical operators, who hold four FDD blocks of 2x5 MHz each, while the new entrant, who acquired the frequencies released as a result of the community concentration M.7758, holds a single block, resulting from the measures adopted following the aforementioned community concentration operation.</w:t>
      </w:r>
    </w:p>
    <w:p>
      <w:r>
        <w:t>Figure 1 – Frequencies held by MNOs in the band below 1 GHz</w:t>
      </w:r>
    </w:p>
    <w:p>
      <w:r>
        <w:t>Furthermore, also with reference to the duration of the frequency usage rights, it should be noted that there is a high asymmetry in favor of historical operators who, as a result of frequency renewal measures, benefit from a duration of frequency usage rights in the 900 MHz band exceeding 30 years.</w:t>
      </w:r>
    </w:p>
    <w:p>
      <w:r>
        <w:t>Table 1 - Frequencies held by MNOs</w:t>
      </w:r>
    </w:p>
    <w:p>
      <w:r>
        <w:t>Indeed, unlike other countries – such as Germany, where the previously assigned frequency usage rights (bands 900 MHz, 1452–1492 MHz, and 1800 MHz) have been subject, once expired, to a new competitive procedure in which all operators participated – Italy has proceeded with the renewal of usage rights, excluding the possibility of new operators emerging in the market. The competitive procedures for the assignment of the 700 MHz, 3.6-3.8 GHz, and 26.5-27.5 GHz bands, therefore, appear to be central to ensuring a competitive context in the mobile telecommunications market in the medium and long term. The importance of such assignment is also recognized by the European Commission, which believes that the acquisition of new frequencies could eliminate the scale constraints that the new operator Iliad might encounter in the long term.</w:t>
      </w:r>
    </w:p>
    <w:p>
      <w:r>
        <w:t>In light of these premises, the Authority positively evaluates those provisions contained in the Public Consultation on the frequency assignment procedures referred to in AGCOM Resolution No. 89/18/CONS, which allocate reserves in favor of certain operators and limit the acquisition of frequencies. Such measures appear necessary to avert the risk that historical operators, through overbidding and other opportunistic behaviors, prevent access to frequencies for new operators.</w:t>
      </w:r>
    </w:p>
    <w:p>
      <w:r>
        <w:t>Furthermore, it is believed that the indication of the duration of the usage right – until December 31, 2037 – as well as the prior indication of the possibility of renewing the usage right, only once, for a maximum period of eight years, sets precise limits on the renewal of usage titles for scarce resources, while allowing operators to know at the auction for the frequency assignment the potential duration of the usage right and to use this information for the preparation of their bids.</w:t>
      </w:r>
    </w:p>
    <w:p>
      <w:r>
        <w:t>Regarding the 700 MHz band, the choice to identify six FDD blocks of 2x5 MHz, for a total of 60 MHz of spectrum, is positively evaluated, consistent with the choice made by some European countries that have already assigned such frequencies (Germany, France, and Finland).</w:t>
      </w:r>
    </w:p>
    <w:p>
      <w:r>
        <w:t>Moreover, it is deemed appropriate that the limits on the acquisition of frequencies identified in the aforementioned Resolution are confirmed, and in particular:</w:t>
        <w:br/>
        <w:t>1. the possibility of acquiring a maximum of three blocks in the 700 MHz band;</w:t>
        <w:br/>
        <w:t>2. the limit of 60 MHz that can be held considering all frequencies below 1 GHz (a maximum of six blocks among those already held in the 800 MHz and 900 MHz bands and those assigned in the 700 MHz band).</w:t>
      </w:r>
    </w:p>
    <w:p>
      <w:r>
        <w:t>This choice, in fact, allows for an expansion of competitive comparison for a resource that is extremely important for the coverage of telecommunications networks. It is appropriate to observe, in fact, that in France, a country where the distribution of frequency usage rights below 1 GHz among operators is identical to that of Italy, the same limits on frequency acquisition have been established.</w:t>
      </w:r>
    </w:p>
    <w:p>
      <w:r>
        <w:t>The Authority notes that the balancing of frequency resources could occur through the assignment of three FDD blocks of 2x5 MHz to entities other than the incumbent MNOs. In this sense, the provision of a two-phase procedure could be suitable for achieving this objective. In particular, by introducing the reservation of at least two FDD blocks of 2x5 MHz in favor of certain categories of new entrants who hold fewer usage rights for mobile communication services on terrestrial frequencies and the preparation of a subsequent phase in which all operators – historical and new entrants – can compete for the acquisition of the remaining resources.</w:t>
      </w:r>
    </w:p>
    <w:p>
      <w:r>
        <w:t>On this point, it is also deemed satisfactory the choice to define a procedure reserved for all “entities meeting the participation requirements established for all participants, excluding the three incumbent mobile operators in the market, namely Telecom Italia, Vodafone, and Wind Tre.” In this sense, it could be useful to clarify the definition of “new entrant,” as provided in Article 1 of the draft provision under consultation, in order to include all entities mentioned previously, including the remedy taker of the community concentration M.7758 referred to in point 57 of the resolution under examination. In particular, it would be necessary to specify the definition of “start of services” – that is, whether, for example, this definition refers to the beginning of the provision and commercialization of mobile telecommunications services to the public – in order to accurately identify the range of operators who can access the reserved phase as indicated in the preparatory document of the draft resolution.</w:t>
      </w:r>
    </w:p>
    <w:p>
      <w:r>
        <w:t>Regarding the amount of frequencies identified by Resolution No. 89/18/CONS, based on the previous considerations, it is deemed appropriate to identify the solution that provides for the reservation of two blocks of 2x5 MHz in the 700 MHz band.</w:t>
      </w:r>
    </w:p>
    <w:p>
      <w:r>
        <w:t>Regarding the 3.6 – 3.8 GHz band, considering the greater bandwidth available, it is believed that the competitive risks due to overbidding are more mitigated. In this context, measures aimed at promoting the contestability of usage rights could be limited to providing for the presence of multiple lots to be assigned. In this perspective, it is hoped that the solution will be adopted that provides for the definition of four blocks of 50 MHz or, alternatively, three blocks of 80 MHz and one block of 40 MHz.</w:t>
      </w:r>
    </w:p>
    <w:p>
      <w:r>
        <w:rPr>
          <w:b/>
        </w:rPr>
        <w:t>[Pages 40–42]</w:t>
      </w:r>
    </w:p>
    <w:p>
      <w:r>
        <w:t>42 BULLETIN NO. 12 OF APRIL 3, 2018</w:t>
      </w:r>
    </w:p>
    <w:p>
      <w:r>
        <w:t>Furthermore, the introduction of a cap of 100 MHz that takes into account all frequencies in the 3.4 – 3.6 MHz band, the expiration of usage rights in 2023, and any renewals thereof is viewed positively. Overall, these measures appear suitable to enhance competitive comparison and also allow for the participation of small infrastructure and full-MVNO virtual operators.</w:t>
      </w:r>
    </w:p>
    <w:p>
      <w:r>
        <w:t>Finally, regarding the frequencies in the 26.5-27.5 GHz band, the reservation of a block of 200 MHz is viewed positively, as previously discussed concerning the 700 MHz band, as well as a favorable opinion regarding the provision of a cap of 200 MHz for each operator.</w:t>
      </w:r>
    </w:p>
    <w:p>
      <w:r>
        <w:t>In conclusion, the Authority positively assesses the reservations and limits on the acquisition of frequencies provided in the draft resolution under consultation, as indicated earlier. In general, it is deemed necessary to proceed swiftly with the competitive procedures subject to the draft measure, as well as with the release and availability of the 700 MHz band to mobile operators, as provided for by national and European legislation.</w:t>
      </w:r>
    </w:p>
    <w:p>
      <w:r>
        <w:t>In this regard, the Authority hopes that the corrective measures present in resolution no. 89/18/CONS titled “Public consultation on the procedures for the assignment and rules for the use of available frequencies in the 694-790 MHz, 3600-3800 MHz, and 26.5-27.5 GHz bands for terrestrial electronic communications systems in order to facilitate the transition to 5G technology, pursuant to Law No. 205 of December 27, 2017” will be confirmed. These measures, in fact, appear necessary to reduce the level of concentration in the mobile telecommunications services market and to avert the risks that operators adopt coordinated behaviors linked to the oligopolistic configuration of the aforementioned market.</w:t>
      </w:r>
    </w:p>
    <w:p>
      <w:r>
        <w:t>BULLETIN NO. 12 OF APRIL 3, 2018 43</w:t>
      </w:r>
    </w:p>
    <w:p>
      <w:r>
        <w:t>This opinion will be published in the Bulletin of the Authority pursuant to Article 26 of Law No. 287/90.</w:t>
      </w:r>
    </w:p>
    <w:p>
      <w:r>
        <w:t>THE PRESIDENT</w:t>
      </w:r>
    </w:p>
    <w:p>
      <w:r>
        <w:t>Giovanni Pitruzzella</w:t>
      </w:r>
    </w:p>
    <w:p>
      <w:r>
        <w:t>44 BULLETIN NO. 12 OF APRIL 3, 2018</w:t>
      </w:r>
    </w:p>
    <w:p>
      <w:r>
        <w:t>UNFAIR TRADE PRACTICES</w:t>
      </w:r>
    </w:p>
    <w:p>
      <w:r>
        <w:t>PS10926 - BULLETINS REGISTRATION OF COMPANIES</w:t>
      </w:r>
    </w:p>
    <w:p>
      <w:r>
        <w:t>Provision No. 27092</w:t>
      </w:r>
    </w:p>
    <w:p>
      <w:r>
        <w:t>THE ANTITRUST AUTHORITY</w:t>
      </w:r>
    </w:p>
    <w:p>
      <w:r>
        <w:t>IN ITS MEETING of March 14, 2017;</w:t>
      </w:r>
    </w:p>
    <w:p>
      <w:r>
        <w:t>HEARD the Rapporteur Professor Michele Ainis;</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documents of the proceeding;</w:t>
      </w:r>
    </w:p>
    <w:p>
      <w:r>
        <w:t>I. THE PARTY</w:t>
      </w:r>
    </w:p>
    <w:p>
      <w:r>
        <w:t>1. L MENDONCA BUSINESS DATA S.L. (hereinafter also “MENDONCA”) as a professional, pursuant to Article 18, paragraph 1, letter b) of the Consumer Code. The company manages a multimedia portal for commercial advertising accessible via the website http://www.ir-imprese.it, which includes, among other things, a database containing some data related to companies active in Italy, including micro-enterprises as defined in Article 18, paragraph 1, letter d-bis) of the Consumer Code. MENDONCA implements a promotion system aimed at selling paid advertising spaces through the sending of a pre-printed form containing the main business data of the interested companies.</w:t>
      </w:r>
    </w:p>
    <w:p>
      <w:r>
        <w:t>II. THE COMMERCIAL PRACTICE</w:t>
      </w:r>
    </w:p>
    <w:p>
      <w:r>
        <w:t>2. The commercial practice carried out by MENDONCA consists of unilaterally registering the business data of Italian companies in a database - available online at the website http://www.ir-imprese.it - solely to induce the same companies to subscribe, based on misleading communication, to a paid subscription for a service promoting the main business information via the internet.</w:t>
      </w:r>
    </w:p>
    <w:p>
      <w:r>
        <w:t>3. In particular, based on numerous requests for intervention received since May 2017 sent by the Chamber of Commerce of Caserta, the Chamber of Commerce of Padova, Unioncamere, the Mondo X Association, as well as numerous companies - including micro-enterprises as per Article 18, paragraph 1, letter d-bis of the Consumer Code - and the documentation in the records, it has emerged that MENDONCA sends to numerous small and medium-sized enterprises located in various Italian Regions a commercial communication consisting of a pre-printed order form, which includes the main business data of the contacted companies, acquired unilaterally and in the absence of prior information regarding this to such companies.</w:t>
      </w:r>
    </w:p>
    <w:p>
      <w:r>
        <w:t>4. Based on the investigative findings, the subscription by the recipient companies - once they have verified the pre-filled business data and made any additions and/or corrections - results in an unaware adherence to a “subscription” for a fee to a...</w:t>
      </w:r>
    </w:p>
    <w:p>
      <w:r>
        <w:rPr>
          <w:b/>
        </w:rPr>
        <w:t>[Pages 43–45]</w:t>
      </w:r>
    </w:p>
    <w:p>
      <w:r>
        <w:t>BULLETIN NO. 12 OF APRIL 3, 2018</w:t>
      </w:r>
    </w:p>
    <w:p>
      <w:r>
        <w:t>45 service consisting of the inclusion - by MENDONCA - of the business data - for a binding minimum duration of two years - within an advertising portal accessible via the internet at the address http://www.ir-imprese.it, managed by the professional. The amount requested by MENDONCA is a total of 1704 euros for two years of "subscription".</w:t>
      </w:r>
    </w:p>
    <w:p>
      <w:r>
        <w:t>5. The commercial communication in question presents a graphic layout aimed at emphasizing the mandatory nature of the aforementioned registration in the database by the contacted company and inducing the same to automatically sign the transmitted form. In fact, in the heading of this form, the expression "Registration of Companies" is prominently displayed, in large and underlined characters. Lower down, in the central part of the communication, with less graphic prominence and underlined characters, the expression "-Please correct and/or insert the missing data for the update-” is shown. Below, on the left side of the communication, there is a grid containing the already acquired data of the company to which the communication is addressed, relating to "Company Name", "Address", "Tel.", "Fax", "Sector", "Mail", "Page". Only in significantly smaller characters, on the same page of the communication, it is indicated that "the publication of the data is carried out only once at a cost of EUR 71.00 per month for a duration of two years; the invoice issued will refer to the two years of service. Payment not deferred." It is also indicated in the same graphic style, in smaller characters, as follows: "By signing, you confirm that you accept these conditions, allowing the retention of the business data for 2 years." The communication does not include the general contract conditions, nor is there any reference to the general terms and conditions which are reported exclusively on the website managed by MENDONCA at the web page "http://www.ir-imprese.it/terms-and-conditions".</w:t>
      </w:r>
    </w:p>
    <w:p>
      <w:r>
        <w:t>6. Once the pre-inserted business data by MENDONCA has been confirmed, integrated and/or corrected, the contacted companies, to which a "file number" is assigned, are required to confirm the accuracy of the data (possibly integrating them) by signing, also affixing "Stamp and legally binding signature", as well as to send back via fax the same form with all the aforementioned elements to MENDONCA. It is noted in this regard, in particular, how the request for transmission of the communication, indicated in large characters with prescriptive terminology, specifies expressly for each individual company a specific deadline by which the contacted company "should" transmit the aforementioned communication via fax.</w:t>
      </w:r>
    </w:p>
    <w:p>
      <w:r>
        <w:t>7. After signing the form, if the contacted company does not pay the requested amount, MENDONCA sends the same company a subsequent communication highlighting the following: "First notice. After numerous reminders, the following invoice is still not paid. We therefore ask you to regularize the situation. To date, we have not received any feedback regarding the payment." In this communication, a box is then included containing the requested amount as "total price", equal to 1704 euros, and another amount requested, as "penalty", equal to 10 euros. Lower down, it is indicated, in bold characters, that payment must be made "within and no later than 12 days", followed by the indication of a specific date for each company.</w:t>
      </w:r>
    </w:p>
    <w:p>
      <w:r>
        <w:t>8. In the event that the contacted company does not pay the requested amount - already subject to a first "reminder" - MENDONCA subsequently sends another communication highlighting in large and bold characters: "final payment reminder". Lower down, in the same communication, it is expressly noted as follows: "we invite you to make the payment of the invoice within twelve days from the receipt of this letter. If this letter also does not receive a response, we will be forced to take legal action to recover the aforementioned sums. We also inform you that this serves as a formal notice of default for all legal purposes." In the communication just described, a box is then included containing the requested amount as "total price", equal to 1704 euros, and another amount requested, as "penalty", equal to 20 euros.</w:t>
      </w:r>
    </w:p>
    <w:p>
      <w:r>
        <w:t>III. RESULTS OF THE PROCEEDING</w:t>
      </w:r>
    </w:p>
    <w:p>
      <w:r>
        <w:t>1) The procedure process</w:t>
      </w:r>
    </w:p>
    <w:p>
      <w:r>
        <w:t>9. In relation to the conduct described above, on October 2, 2017, the initiation of the investigative procedure for possible violation of Articles 20, 24, 25, paragraph 1, letter d) and 26 paragraph 1, letter f) of the Consumer Code was notified to the Party. In this context, misleadingness was hypothesized, as well as the suitability of MENDONCA's commercial conduct to exert undue pressure that limits the will of the recipient companies, pushing them, in particular, to activate payment of the requested amount based on the fear of violating legal obligations related to the necessary inclusion of their business data in a register of a public entity.</w:t>
      </w:r>
    </w:p>
    <w:p>
      <w:r>
        <w:t>10. To the professional, simultaneously with the communication of the initiation of the procedure, a request for information was also transmitted, formulated pursuant to Article 12, paragraph 1, of the Regulation, regarding, among other things: i) the criteria by which the highlighted deadlines in the letter were identified within which Italian micro-enterprises should make the payment of the amount indicated in the pre-filled form; ii) the criteria by which the Italian micro-enterprises to which the company's offer was sent were selected; iii) the information sources used by MENDONCA to obtain the commercial data concerning the contacted micro-enterprises; iv) the number, list, and economic activity of the Italian companies that have signed the commercial proposal, specifying the date of the annual subscription to the online database from the beginning of MENDONCA's activity to date; v) the companies that have paid for the service from the beginning of the activity to date. On December 22, 2017, the Party was informed of the conclusion date of the investigative phase pursuant to Article 16, paragraph 1, of the Regulation and the allegations against MENDONCA were confirmed, particularly hypothesizing, in relation to the above-described commercial practice, the possible violation of Articles 20, 24, 25, paragraph 1, letter d) and 26 paragraph 1, letter f) of the Consumer Code.</w:t>
      </w:r>
    </w:p>
    <w:p>
      <w:r>
        <w:t>2) The defensive arguments of the Parties</w:t>
      </w:r>
    </w:p>
    <w:p>
      <w:r>
        <w:t>11. The professional did not submit any memorandum, nor did he respond to the aforementioned request for information.</w:t>
      </w:r>
    </w:p>
    <w:p>
      <w:r>
        <w:t>IV. CONCLUSIVE ASSESSMENTS</w:t>
      </w:r>
    </w:p>
    <w:p>
      <w:r>
        <w:t>12. As a preliminary matter, it should be noted that the commercial practice under examination mostly involved small and medium-sized enterprises, or micro-enterprises that meet the characteristics referred to in Article 18, paragraph 1, letter d-bis) of the Consumer Code.</w:t>
      </w:r>
    </w:p>
    <w:p>
      <w:r>
        <w:t>13. The communication disseminated by MENDONCA, sent by mail to such active companies in Italy, consists of a pre-filled form, requesting the correction and integration of their business data in such a way as to induce the receiving companies into the false belief that they must fulfill, in this way, the obligations of registration or annotation in the register of companies. The sending of this form, in reality, does not concern obligations related to registration with the Register of Companies, but is instead aimed at obtaining the signature of the form by the contacted companies in order to bind them to the purchase of an unsolicited advertising service, consisting of the inclusion of their business data in a database disseminated on the internet. The commercial nature of the proposal sent by MENDONCA, due to its graphic and content presentation, is not apparent. The form sent by the professional appears, in fact, as an institutional communication, likely to generate in the recipient companies the erroneous belief that the completion and/or correction of the missing data in the form is necessary for them to fulfill their obligation of registration or annotation in the Register of Companies. The misunderstanding generated in the recipients, in particular, regarding the nature of the service provided and the identity and qualification of the professional arises from the presence of certain elements in the communication sent to the companies by the professional, as well as from a series of misleading and deceptive omissions present in that communication.</w:t>
      </w:r>
    </w:p>
    <w:p>
      <w:r>
        <w:t>14. Firstly, it explicitly refers, moreover with oversized and underlined graphic characters, as well as placed in a prominent position as a "heading" of the communication itself, to a "Registration of Companies". The commercial communication is also confusing due to the marginalization of the identifying business data of the professional, reported in the text with minimal character sizes; the subject receiving the communication is consequently led to believe that it comes from a public entity or office. Equally misleading is the prescriptive indication of a short deadline within which the recipient company seems obliged to respond (in fact, it is present in large characters and underlined "Respond by [date] to fax number [...]").</w:t>
      </w:r>
    </w:p>
    <w:p>
      <w:r>
        <w:t>15. Secondly, the commercial proposal sent by MENDONCA is severely lacking in relation to the information concerning the actual characteristics of the service offered by the professional. In fact, in advertising communications aimed at promoting the purchase of a paid service, it is essential to present such service in a clear and exhaustive manner for potential buyers. In this case, on the contrary, the professional presents the offered service in a completely marginal and obscure manner. This consideration also applies to the information regarding the expenditure commitment to which the recipient company should bind itself. This amount, equal to 71 euros per month for a total of 1,704 euros for two years of "subscription", is indicated in extremely reduced characters; moreover, the communication refers exclusively to the monthly amount due (71 euros), without explicitly mentioning the total amount due for the two years (1704 euros), which is then invoiced in a single solution to the recipient company.</w:t>
      </w:r>
    </w:p>
    <w:p>
      <w:r>
        <w:t>16. The aggressiveness of the conduct continues in the phase following the signing of the form. In fact, if the contacted company does not pay the requested amount - already subject to a first "reminder" - MENDONCA subsequently sends another communication where immediate payment of the sum already indicated in the previously delivered commercial communication is demanded, also threatening legal action for the recovery of that sum and simultaneously stating that the last communication sent "is valid as a formal notice of default for all legal purposes."</w:t>
      </w:r>
    </w:p>
    <w:p>
      <w:r>
        <w:rPr>
          <w:b/>
        </w:rPr>
        <w:t>[Pages 46–48]</w:t>
      </w:r>
    </w:p>
    <w:p>
      <w:r>
        <w:t>48 BULLETIN NO. 12 OF APRIL 3, 2018</w:t>
      </w:r>
    </w:p>
    <w:p>
      <w:r>
        <w:t>act of formal notice for all legal effects” in addition to the claim for an additional amount, equal to 20 euros, as a “penalty”.</w:t>
      </w:r>
    </w:p>
    <w:p>
      <w:r>
        <w:t>17. In light of the above, the conduct described constitutes a violation pursuant to Articles 20, 24, 25, paragraph 1, letter d) and 26, paragraph 1, letter f) of the Consumer Code. The lack of professional diligence is to be found in the specific ways in which MENDONCA carries out and conveys its commercial communication, both graphically and temporally, which are all tactics that the professional uses to improperly influence the decision-making process of the businesses receiving such communication, leading them to make a commercial decision that they would not have otherwise made.</w:t>
      </w:r>
    </w:p>
    <w:p>
      <w:r>
        <w:t>V. QUANTIFICATION OF THE SANCTION</w:t>
      </w:r>
    </w:p>
    <w:p>
      <w:r>
        <w:t>18. Pursuant to Article 27, paragraph 9 of the Consumer Code, with the provision that prohibits an unfair commercial practice, the Authority orders the application of an administrative pecuniary sanction from 5,000 to 5,000,000 euros, taking into account the severity and duration of the violation.</w:t>
      </w:r>
    </w:p>
    <w:p>
      <w:r>
        <w:t>19. Regarding the quantification of the sanction, account must be taken, as applicable, of the criteria identified by Article 11 of Law No. 689/81, by virtue of the reference provided in Article 27, paragraph 13, of the Consumer Code: in particular, the severity of the violation, the actions taken by the business to eliminate or mitigate the infringement, the personality of the agent, as well as the economic conditions of the business itself.</w:t>
      </w:r>
    </w:p>
    <w:p>
      <w:r>
        <w:t>In relation to L MENDONCA BUSINESS DATA S.L., there are no financial data available, as the professional did not provide any response to the request for information, nor did he participate in any way in the proceedings. The volume of activity attributable to the above-described commercial practice can be roughly estimated at around 193,000 euros, multiplying the number of businesses registered in the database available on the website http://www.ir-imprese.it as of February 13, 20182 by the total amount claimed for each registration.</w:t>
      </w:r>
    </w:p>
    <w:p>
      <w:r>
        <w:t>20. With regard to the severity of the violation, consideration is given in this case to the spread of the commercial practice across the national territory, as in the course of his activities the professional has registered numerous businesses located in most of the Italian Regions within his telematic bank. The severity of the practice is also appreciated by considering the means used to transmit the commercial communication to businesses, consisting of a postal communication capable of reaching directly and personally the recipients, the insidious methods of subscribing to the biennial subscription, as well as the significant economic detriment that arises from the implementation of such a commercial practice, taking into account the limited economic-financial dimensions of the businesses and micro-enterprises and the fact that they, in most cases, have just started their business activity by registering with the competent Chamber of Commerce at the moment they receive the communication from MENDONCA.</w:t>
      </w:r>
    </w:p>
    <w:p>
      <w:r>
        <w:t>It should also be considered that the message, due to its structural and textual characteristics, corresponds to a precise communication strategy of the professional aimed at generating a deliberate confounding effect on the recipient businesses.</w:t>
      </w:r>
    </w:p>
    <w:p>
      <w:r>
        <w:t>2 See doc. 62, web pages acquired in the investigation file on February 13, 2018.</w:t>
      </w:r>
    </w:p>
    <w:p>
      <w:r>
        <w:t>BULLETIN NO. 12 OF APRIL 3, 2018 49</w:t>
      </w:r>
    </w:p>
    <w:p>
      <w:r>
        <w:t>21. Regarding the duration of the violation, it is noted that from the available elements acquired, it appears that the commercial practice carried out by MENDONCA has been in effect since at least May 20173 until, at least, November 2017, the date of the last report received by the Authority.4</w:t>
      </w:r>
    </w:p>
    <w:p>
      <w:r>
        <w:t>22. Based on these elements, it is therefore deemed appropriate to determine the amount of the administrative pecuniary sanction applicable to L MENDONCA BUSINESS DATA S.L. in the amount of 20,000 € (twenty thousand euros).</w:t>
      </w:r>
    </w:p>
    <w:p>
      <w:r>
        <w:t>THEREFORE, CONSIDERING the above considerations, that the commercial practice in question is deemed unfair pursuant to Articles 20, 24, 25, paragraph 1, letter d) and 26, paragraph 1, letter f) of the Consumer Code as it is contrary to professional diligence and capable of misleading the recipients regarding the identity and qualifications of L MENDONCA BUSINESS DATA S.L., as well as the nature and economic conditions of the offer advertised by the professional, unduly conditioning the economic behavior of the recipient businesses, and being likely to harm their economic behavior;</w:t>
      </w:r>
    </w:p>
    <w:p>
      <w:r>
        <w:t>RESOLVES</w:t>
      </w:r>
    </w:p>
    <w:p>
      <w:r>
        <w:t>a) that the commercial practice described in point II of this provision carried out by the company L MENDONCA BUSINESS DATA S.L. constitutes, for the reasons and limits stated in the motivation, an unfair commercial practice pursuant to Articles 20, 24, 25, paragraph 1, letter d) and 26, paragraph 1, letter f) of the Consumer Code, and prohibits its dissemination or continuation;</w:t>
      </w:r>
    </w:p>
    <w:p>
      <w:r>
        <w:t>b) to impose on the company L MENDONCA BUSINESS DATA S.L. an administrative pecuniary sanction of 20,000 € (twenty thousand euros);</w:t>
      </w:r>
    </w:p>
    <w:p>
      <w:r>
        <w:t>The imposed administrative sanction must be paid within thirty days from the notification of this provision, via bank transfer (in euros) to the Treasury, using the IBAN code IT04A0100003245348018359214 (BIC code: BITAITRRENT), which corresponds to the accounting number 18/3592/14.</w:t>
      </w:r>
    </w:p>
    <w:p>
      <w:r>
        <w:t>After the aforementioned deadline, for a delay period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Antitrust Authority.</w:t>
      </w:r>
    </w:p>
    <w:p>
      <w:r>
        <w:t xml:space="preserve">3 See doc. n. 1 of the investigation file. </w:t>
        <w:br/>
        <w:t>4 See doc. 60, report from a business, received on November 21, 2017.</w:t>
      </w:r>
    </w:p>
    <w:p>
      <w:r>
        <w:t>50 BULLETIN NO. 12 OF APRIL 3, 2018</w:t>
      </w:r>
    </w:p>
    <w:p>
      <w:r>
        <w:t>Pursuant to Article 27, paragraph 12, of the Consumer Code, in case of non-compliance with the provision, the Authority applies an administrative pecuniary sanction from 10,000 to 5,000,000 euros. In cases of repeated non-compliance, the Authority may order the suspension of business activity for a period not exceeding thirty days.</w:t>
      </w:r>
    </w:p>
    <w:p>
      <w:r>
        <w:rPr>
          <w:b/>
        </w:rPr>
        <w:t>[Pages 49–51]</w:t>
      </w:r>
    </w:p>
    <w:p>
      <w:r>
        <w:t>BULLETIN NO. 12 OF APRIL 3, 2018 51</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r>
    </w:p>
    <w:p>
      <w:r>
        <w:t>THE SECRETARY GENERAL THE PRESIDENT</w:t>
        <w:br/>
        <w:t>Roberto Chieppa Giovanni Pitruzzella</w:t>
      </w:r>
    </w:p>
    <w:p>
      <w:r>
        <w:t>52 BULLETIN NO. 12 OF APRIL 3, 2018</w:t>
      </w:r>
    </w:p>
    <w:p>
      <w:r>
        <w:t>PS10986 - OSCAR RENT (ONLY SPECIAL CARS) - FAILURE TO DELIVER CARS</w:t>
      </w:r>
    </w:p>
    <w:p>
      <w:r>
        <w:t>Provision no. 27093</w:t>
      </w:r>
    </w:p>
    <w:p>
      <w:r>
        <w:t>THE AUTHORITY FOR THE GUARANTEE OF COMPETITION AND THE MARKET</w:t>
      </w:r>
    </w:p>
    <w:p>
      <w:r>
        <w:t>IN ITS MEETING of March 14, 2018;</w:t>
      </w:r>
    </w:p>
    <w:p>
      <w:r>
        <w:t>HEARD the Rapporteur Professor Michele Ainis;</w:t>
      </w:r>
    </w:p>
    <w:p>
      <w:r>
        <w:t>VIEWED Part II, Title III, and Part III, Title III, of Legislative Decree of September 6, 2005, no. 206,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its provision of December 20, 2017, with which the adoption of the precautionary measure was decided, pursuant to Article 27, paragraph 3, of the Consumer Code;</w:t>
      </w:r>
    </w:p>
    <w:p>
      <w:r>
        <w:t>VIEWED its provision of November 15, 2017, with which the inspection was ordered, at the professional's premises, pursuant to Article 27, paragraphs 2 and 3, of the Consumer Code;</w:t>
      </w:r>
    </w:p>
    <w:p>
      <w:r>
        <w:t>VIEWED the documents of the procedure;</w:t>
      </w:r>
    </w:p>
    <w:p>
      <w:r>
        <w:t>I. THE PARTIES</w:t>
      </w:r>
    </w:p>
    <w:p>
      <w:r>
        <w:t>1. The company Only Special Cars S.r.l., abbreviated as Oscar Rent S.r.l., then Oscar Rent &amp; Partners S.r.l. now XPROJECT CARS ASSOCIATED LORIGA &amp; LELLA S.r.l., Tax Code 04332000233 (hereinafter only OSCAR RENT), in its capacity as a professional, pursuant to Article 18, letter b), of the Consumer Code. The company was established on April 2, 2015, and its corporate purpose includes, among others, the long-term rental of new and used vehicles. From the financial statements for the year 2016, a turnover of Euro 206,285.00 is reported (see chamber data of March 5, 2018). For 2017, in the absence of an approved financial statement, the order of magnitude of the turnover can be inferred from the accounting data resulting from the invoices issued from January 31 to November 16, totaling 4,681, from which a turnover of Euro 5,110,528.56 is highlighted.</w:t>
      </w:r>
    </w:p>
    <w:p>
      <w:r>
        <w:t>2. National Consumers' Union - Rome office, in its capacity as a notifier. The Association, belonging to the CNCU, is responsible for protecting the rights and interests of consumers and users.</w:t>
      </w:r>
    </w:p>
    <w:p>
      <w:r>
        <w:t>3. European Consumer Centre - Trento office, in its capacity as a notifier. The European Centre (ECC) operates under the Law of the Province of Trento no. 8/1997 for the protection of consumers, under a convention with the Autonomous Province of Trento.</w:t>
      </w:r>
    </w:p>
    <w:p>
      <w:r>
        <w:t>1 In particular, for fees related to ongoing contracts, invoices amounting to Euro 174,043.32 have been issued, regarding reservation rights invoices amounting to Euro 3,390,693.84, and regarding security deposits invoices amounting to Euro 1,245,109.84, of which a total of Euro 250,639.99 has been refunded, of which Euro 88,654.84 as security deposits and Euro 161,985.15 as reservations (inspection documents from no. 155 to no. 5,717).</w:t>
      </w:r>
    </w:p>
    <w:p>
      <w:r>
        <w:t>2 National Council of Consumers and Users; representative body of consumer and user associations at the national level, established by law of July 30, 1998, no. 281, incorporated into the Consumer Code (Legislative Decree of September 6, 2005, no. 206).</w:t>
      </w:r>
    </w:p>
    <w:p>
      <w:r>
        <w:t>BULLETIN NO. 12 OF APRIL 3, 2018 53</w:t>
      </w:r>
    </w:p>
    <w:p>
      <w:r>
        <w:t>II. COMMERCIAL PRACTICES</w:t>
      </w:r>
    </w:p>
    <w:p>
      <w:r>
        <w:t>4. The procedure concerns the behaviors carried out by the professional in offering the long-term car rental service for new and used vehicles, consisting of:</w:t>
        <w:br/>
        <w:t>A) the failure to deliver the vehicles ordered by customers within the terms provided in the respective delivery orders and the incorrect information regarding the delivery times of the vehicles;</w:t>
        <w:br/>
        <w:t>B) the failure to refund customers for the deposits paid at the time of signing the orders, specifically to those who, after more than 90 days from the deadlines indicated by the professional, have revoked the order, availing themselves of a specific contractual clause contained in the general terms and conditions of the contract and in the rental contract.</w:t>
      </w:r>
    </w:p>
    <w:p>
      <w:r>
        <w:t>5. In particular, the reports from the European Consumer Centre and the National Consumers' Union, received by the Authority starting from August 2017, and the information acquired ex officio, show that the professional - after concluding the car rental contracts, having consumers sign a delivery order in which the amounts due for the type of rented vehicle and the delivery terms of the vehicle are indicated - did not proceed to deliver the rented vehicles within the agreed terms and did not respond to numerous reminders and requests, first for fulfillment and then for the refund of the amounts paid by consumers at the time of signing the orders. Consumers also complained about the difficulties in communicating with the company, which only rarely and after several reminders provided customers with clarifications on the failure to meet delivery times, the reasons underlying it, and the expected times for processing refund requests.</w:t>
      </w:r>
    </w:p>
    <w:p>
      <w:r>
        <w:t>III. RESULTS OF THE PROCEDURE</w:t>
      </w:r>
    </w:p>
    <w:p>
      <w:r>
        <w:t>1) The procedure's process</w:t>
      </w:r>
    </w:p>
    <w:p>
      <w:r>
        <w:t>6. On November 15, 2017, the investigative procedure PS10986 was initiated, pursuant to Articles 27, paragraph 3, of the Consumer Code and 6 of the Regulation, in order to verify the existence of unfair commercial practices carried out by the professional, in violation of Articles 20, 21, paragraph 1, letter b), 22, 23, paragraph 1, letter e), 24 and 25, paragraph 1, letter d) and 66-bis of the Consumer Code, with a simultaneous presentation of the reasons for severity and urgency that could justify the provisional suspension of the practices, pursuant to Article 27, paragraph 3, of the Consumer Code.</w:t>
      </w:r>
    </w:p>
    <w:p>
      <w:r>
        <w:t>7. On November 22, 2017, at the operational headquarters of the professional, inspection checks were carried out to acquire documentation useful to prove the existence of the behaviors subject to the procedure.</w:t>
      </w:r>
    </w:p>
    <w:p>
      <w:r>
        <w:t>8. By provision of December 20, 2017, notified to the professional on December 29, the Authority ordered the suspension of the practice related to the signing of orders for the rental of unavailable vehicles, considering the prerequisites of fumus boni iuris and periculum in mora to be present, ordering the suspension of any activity aimed at signing delivery orders for unavailable vehicles.</w:t>
      </w:r>
    </w:p>
    <w:p>
      <w:r>
        <w:t>9. On January 8, 2018, the professional transmitted a note containing the measures taken in compliance with the Authority's provisions, also informing of the cessation of commercial activity, which the Authority took note of in its meeting of January 25, 2018 (see communication to the professional on January 20, 2018 prot. no. 16453).</w:t>
      </w:r>
    </w:p>
    <w:p>
      <w:r>
        <w:t>3 Reports of August 18, 2017, no. 64825, of October 3, 2017, no. 74310, and of October 24, 2017, no. 79340, of February 16, 2018, no. 21388, and of January 22, 2008, no. 14375.</w:t>
      </w:r>
    </w:p>
    <w:p>
      <w:r>
        <w:rPr>
          <w:b/>
        </w:rPr>
        <w:t>[Pages 52–54]</w:t>
      </w:r>
    </w:p>
    <w:p>
      <w:r>
        <w:t>54 BULLETIN NO. 12 OF APRIL 3, 2018</w:t>
      </w:r>
    </w:p>
    <w:p>
      <w:r>
        <w:t xml:space="preserve">10. On February 13, 2018, Oscar Rent had access to the documents in the file.  </w:t>
        <w:br/>
        <w:t xml:space="preserve">11. On February 14, 2018, the date of conclusion of the investigative phase, set for March 6, 2018, was communicated to the Party, pursuant to Article 16, paragraph 1, of the Regulation. In the same communication, the violations of the Consumer Code contested to the professional were specified. Oscar Rent did not submit final defense briefs.  </w:t>
        <w:br/>
        <w:t xml:space="preserve">2) The evidence acquired  </w:t>
        <w:br/>
        <w:t xml:space="preserve">i) Practice sub A)  </w:t>
        <w:br/>
        <w:t xml:space="preserve">12. Oscar Rent offered long-term rental services for a term of 12 or 24 months for new and used cars. From the documentation acquired, it emerges that the professional advertised long-term rental of vehicles under particularly advantageous conditions. The main proposals of the professional are divided into six categories (YOUNG, monthly fee 99 euros, BUSINESS MINI, monthly fee 173 euros, PREMIUM, monthly fee 398 euros, SUV PLUS, monthly fee 698 euros, LUXURI, monthly fee 875 euros, WORK, monthly fee 99 euros. All fees are to be understood as including VAT).  </w:t>
        <w:br/>
        <w:t xml:space="preserve">13. The professional acquired reservations for long-term rental contracts both directly, with personnel operating at the Verona headquarters, and through a commercial network of occasional collaborators (600 units), freely operating throughout the national territory, known as "Procacciatori," to whom interested consumers were directed. The promotion of the activity was carried out through publications on the company website www.oscar.rent.it, with frequent updates of the "showcase" of bookable cars and indication of rates and conditions.  </w:t>
        <w:br/>
        <w:t xml:space="preserve">14. Once the consumer identified the vehicle subject to the rental, the collaborator entered the corresponding order into the company's information system; this entry generated a form to be printed and signed by the consumer for confirmation and acceptance of the contractual conditions. This "Delivery Order" included the characteristics of the rented vehicle, the duration of the rental, the monthly fee, the delivery terms of the vehicle agreed with the professional, as well as the indication of the amounts to be paid as a security deposit and confirmation of the vehicle reservation.  </w:t>
        <w:br/>
        <w:t xml:space="preserve">15. In the delivery orders and rental contracts (of which the order represents an attachment), it was also provided that the professional was obliged to promptly communicate any delays in delivery compared to the times indicated in the order and that after 90 days from the failure to deliver within the agreed terms, the customer could exercise, by sending a specific request to the professional, the right to revoke the order, from which the automatic termination of the contract and the consequent return, by the renter, of the amounts paid at the time of the order derived.  </w:t>
        <w:br/>
        <w:t xml:space="preserve">16. The delivery orders were considered valid by the professional only if accompanied by the receipt of payment of the amounts indicated therein, specifically identified for each vehicle. In return for such payments, Oscar Rent issued a regular invoice. Until February 1, 2017, both a security deposit and an amount for the vehicle reservation had to be paid within 5 days of the order. Starting from February 1, 2017, the company provided that the security deposit was no longer to be paid within 5 days of the confirmation of the order received but was to be paid by the customer 15 days before the delivery of the vehicle.  </w:t>
        <w:br/>
        <w:t xml:space="preserve">17. From the documentation acquired, it appears that the professional was the owner of 275 vehicles. The vehicles were purchased from various dealers as orders arrived, based on the most requested models.  </w:t>
        <w:br/>
        <w:t xml:space="preserve">18. From a database acquired at the company's headquarters, it emerged that the professional received, in the last two years (2016-2017), a total of 4,469 orders, of which approximately 2,003 rental contracts were concluded thanks to the payment - by consumers - of the amounts provided for the confirmation of the order.  </w:t>
        <w:br/>
        <w:t xml:space="preserve">19. From the acquired documents, it appears that the company began receiving delivery orders no earlier than the second half of 2015 and therefore concluded the first car rental contracts, lasting 12 or 24 months, starting from early 2016. In light of the over 2000 confirmed delivery orders, the acquired documentation indicates that the professional delivered 197 vehicles. From a database acquired in the records specifically concerning vehicle deliveries, it clearly emerges that only for a minority of the received orders was delivery made.  </w:t>
        <w:br/>
        <w:t xml:space="preserve">20. From the elements in the records, it also appears that the professional did not comply with the delivery times of the vehicles starting from December 2016 and that delivery difficulties increased in the following months, as evidenced by the trend of refunds made.  </w:t>
        <w:br/>
        <w:t xml:space="preserve">The rental contract, in Article 6 - Delivery of Vehicles, provides:  </w:t>
        <w:br/>
        <w:t xml:space="preserve">"The delivery of vehicles will be made by the renter based on the times provided and agreed in attachment A. In case of delay in the delivery of the car, the renter, to protect and guarantee the relationship with the user, undertakes to promptly communicate, by email, to the latter any delivery delays, even if due to causes not attributable to the renter. After 90 days from the non-delivery within the terms agreed in attachment 'A', the customer can exercise the right of revocation and automatically terminate the contract, by sending the renter a request for termination and revocation with the consequent return, by the renter, of the amounts paid (Security Deposit and Vehicle Reservation Amount) by means of a cashier's check or bank transfer."  </w:t>
        <w:br/>
        <w:t xml:space="preserve">21. The evidence shows that until October 2017, the company, despite the inability to fulfill the acquired delivery orders, continued to promote the conclusion of long-term car rental contracts and to collect the amounts paid by new customers as a reservation fee.  </w:t>
        <w:br/>
        <w:t xml:space="preserve">22. From the invoices acquired, it emerged that, in the period between January 31 and November 16, 2017, a large part of the professional's revenue was constituted precisely by reservation fees and security deposits, for which invoices were issued for approximately 3.4 million euros and 1.2 million euros, respectively. The professional, on the other hand, issued invoices for rental fees related to ongoing contracts for less than 180,000 euros.  </w:t>
        <w:br/>
        <w:t xml:space="preserve">i) Practice sub B)  </w:t>
        <w:br/>
        <w:t xml:space="preserve">23. In light of the increasing number of missed vehicle deliveries on the scheduled dates, consumers turned to Oscar Rent both to obtain information about their Order and to obtain a refund of the amounts paid as a reservation fee and security deposit.  </w:t>
        <w:br/>
        <w:t xml:space="preserve">24. In some cases, Oscar Rent responded by further delaying the delivery time by 50-60 days. Starting from June 2017, it appears that the company stopped any communication with customers. In the complaints acquired during the inspection, consumers indeed complained about the lack of response to their requests for clarification and the fact that the company did not answer the phone. In light of such inadequate management of consumer requests, the company, in July 2017, experienced a series of disturbances due to the failure to deliver vehicles and the failure to refund the amounts paid by customers.  </w:t>
        <w:br/>
        <w:t xml:space="preserve">25. From the evidence in the records, it appears that only in 139 cases the professional refunded customers, after verifying that 90 days had actually passed since the scheduled delivery date in the order and giving priority to customers who had made the request through trusted lawyers. The peak of refunds was recorded in June 2017 (about 50 credit notes) and refers to cars booked at the latest in the first quarter of 2017, while the professional continued to acquire orders in the following months.  </w:t>
        <w:br/>
        <w:t xml:space="preserve">26. From the acquired credit notes, it appears that the company issued 5 in January 2017, 6 in February, 12 in March, 4 in April, 6 in May, 53 in June, 15 in July, 12 in August, 20 in September, 11 in October, and 19 in November 2017.  </w:t>
        <w:br/>
        <w:t xml:space="preserve">27. This circumstance is inferred from the invoices issued by the company concerning the amounts paid by customers as a reservation fee. In this regard, it is noted that, in September and October 2017, the professional issued 21 invoices for the deposits received as vehicle reservations.  </w:t>
        <w:br/>
        <w:t xml:space="preserve">28. The evidence acquired during the inspection shows that the company communicated an estimated delay of 50/60 days.  </w:t>
        <w:br/>
        <w:t>29. In light of the complaints received, the company was subject to inspections due to the failure to deliver vehicles and the failure to refund the amounts paid by customers.</w:t>
      </w:r>
    </w:p>
    <w:p>
      <w:r>
        <w:rPr>
          <w:b/>
        </w:rPr>
        <w:t>[Pages 55–57]</w:t>
      </w:r>
    </w:p>
    <w:p>
      <w:r>
        <w:t>BULLETIN NO. 12 OF APRIL 3, 2018</w:t>
      </w:r>
    </w:p>
    <w:p>
      <w:r>
        <w:t>57</w:t>
        <w:br/>
        <w:t>From the analysis of the documentation, it appears that between January 31 and November 16, 2017, the professional refunded approximately €250,000, of which about €89,000 was for security deposits and the remainder for amounts paid as reservations.</w:t>
      </w:r>
    </w:p>
    <w:p>
      <w:r>
        <w:t>25. In several other cases, as evidenced by reports received from Oscar Rent itself, the professional did not proceed with the refund of the requested amounts. Currently, numerous consumers are creditors of Oscar Rent for the amounts advanced for vehicles not delivered.</w:t>
      </w:r>
    </w:p>
    <w:p>
      <w:r>
        <w:t>3) The Professional's Defensive Arguments</w:t>
      </w:r>
    </w:p>
    <w:p>
      <w:r>
        <w:t>26. The professional did not submit any defensive memorandum to the Authority in order to provide evaluation elements regarding the provisional suspension of the activity, pursuant to Article 27, paragraph 3 of the Consumer Code.</w:t>
      </w:r>
    </w:p>
    <w:p>
      <w:r>
        <w:t>27. Following the adoption of the measure suspending the unfair commercial practice, in a communication dated January 8, 2018, the professional stated that: i) as of October 2017, the company would have disabled the website and restricted access to the reserved area by collaborators, as evidenced by the last reservation uploaded, which dates back to October 10, 2017; ii) from that date, all activities aimed at signing delivery orders for unavailable vehicles would be suspended, as requested in the precautionary measure, and any other social activity. In this regard, the professional attached a chamber registration, extracted on December 15, 2017, which shows the inactivity of the company.</w:t>
      </w:r>
    </w:p>
    <w:p>
      <w:r>
        <w:t>28. The professional did not provide any feedback after receiving the communication setting the deadline for concluding the investigative phase, which specified the allegations subject to initiation and concluded that the conduct attributable to the professional could constitute a violation of Articles 20, 21, paragraph 1, letter b), 22, 23 paragraph 1, letter e), 24 and 25, paragraph 1, letter d) of the Consumer Code.</w:t>
      </w:r>
    </w:p>
    <w:p>
      <w:r>
        <w:t>IV. CONCLUSIVE ASSESSMENTS</w:t>
      </w:r>
    </w:p>
    <w:p>
      <w:r>
        <w:t>29. The elements acquired and present in the proceedings lead to the conclusion that the professional did not provide consumers with correct information regarding the delivery times of the rented vehicles and the difficulties encountered in meeting the agreed delivery times, did not deliver the vehicles ordered by customers in compliance with the contractual obligations assumed, nor refunded customers, following a specific request made after 90 days from the deadline indicated in the orders for the delivery of the vehicle, the amounts they paid as reservations and security deposits. Furthermore, the documents reveal that the company did not have an effective communication system with its customers and rarely provided clarifications on the status of the respective orders.</w:t>
      </w:r>
    </w:p>
    <w:p>
      <w:r>
        <w:t>i) Practice sub A)</w:t>
      </w:r>
    </w:p>
    <w:p>
      <w:r>
        <w:t>30. The evidence collected during the investigation clearly shows that the company provided misleading indications regarding the availability of the vehicles offered for rent and their delivery times. The documents demonstrate, in fact, that despite the difficulties encountered by the professional in managing the acquired orders - deducible from the small number of vehicles available compared to the confirmed orders (all related to annual or biennial rentals) and the significant number of complaints received from customers at least since June 2017 for the non-delivery of the rented vehicles within the indicated terms - the professional promoted and concluded - through its dense network of agents operating throughout the national territory - a high number of long-term car rental contracts, proceeding to collect the amounts paid by customers as reservation fees and security deposits. The large number of delivery orders (4,469 total orders) received by the professional in the last two years (2016-2017) and the contracts concluded (about 2,000), resulting from the documentation acquired in the proceedings and not contested by the professional, represent a significant figure when read together with the number of vehicles delivered in the same period (only 197) and the number of vehicles of which the professional is the owner (n. 275), which clearly highlights the professional's inability to fulfill the commitments made. The same databases acquired from the professional testify to the disproportion between the contracts concluded (following the payment of the amounts in advance) and the available vehicles.</w:t>
      </w:r>
    </w:p>
    <w:p>
      <w:r>
        <w:t>31. The evidence also demonstrates how Oscar Rent was fully aware of the difficulties in delivering the vehicles booked within the agreed terms with customers, not having a corresponding fleet, and yet continued to acquire orders and collect reservation fees and security deposits, which represented over 95% of the revenue generated in 2017 by the professional. In particular, in June 2017, when the difficulties in delivering the rented vehicles became clearly evident, the company communicated to customers an estimated delay of 50/60 days and faced a massive demand for refunds due to the non-delivery of vehicles within the agreed terms, issuing 50 credit notes in favor of customers who had made the request through their lawyers. Nevertheless, in September and October 2017, despite customer complaints and the disorder generated by the non-delivery of vehicles and the non-refund of the amounts paid by customers, the company continued to acquire orders, as evidenced by 21 additional invoices for deposits received as reservation fees.</w:t>
      </w:r>
    </w:p>
    <w:p>
      <w:r>
        <w:t>32. Furthermore, the documents do not show that the professional took measures to contain or remedy the difficulties encountered, nor that he informed his collaborators of what was happening, providing them with operational indications aimed at temporarily suspending or otherwise reducing the promotion of the conclusion of delivery orders. Such behavior, on the other hand, would have been reasonably expected based on the general principles of good faith, fairness, and loyalty that must guide commercial activities. The absence of any suitable measures to address the emerging difficulties instead appears to testify to a completely intentional conduct aimed at collecting the amounts provided for at the time of signing the delivery orders, despite being aware of the inability to fulfill the contractual commitments assumed.</w:t>
      </w:r>
    </w:p>
    <w:p>
      <w:r>
        <w:t>33. For the above reasons, the conduct carried out by the professional must be considered unfair pursuant to Articles 21, paragraph 1, letter b) and 23, letter e) of the Consumer Code, due to the misleading nature of the indications provided by the professional regarding the availability of the offered products and their delivery times, as well as due to the failure to indicate to consumers the reasons for which the professional could reasonably believe he was unable to deliver the ordered goods within the agreed terms with customers.</w:t>
      </w:r>
    </w:p>
    <w:p>
      <w:r>
        <w:t>ii) Practice sub B)</w:t>
      </w:r>
    </w:p>
    <w:p>
      <w:r>
        <w:t>34. The professional appears to have hindered in various ways the exercise of consumers' rights to obtain a refund of the amounts paid at the time of the order as reservation and security deposit, in the event of cancellation due to delayed and/or non-delivery within 90 days following the expiration of the deadline provided in the orders for the delivery of the rented vehicle.</w:t>
      </w:r>
    </w:p>
    <w:p>
      <w:r>
        <w:t>35. First of all, the evidence acquired shows that the amounts paid at the time of order confirmation were refunded only to a very limited subset of consumers who had not received the ordered vehicle within the agreed terms and who had expressed their intention to withdraw from the contract. In some cases, the refund was denied even through the lack of response to requests made in this regard, while in other cases, the professional attempted to postpone the delivery deadlines precisely in order not to return what was owed.</w:t>
      </w:r>
    </w:p>
    <w:p>
      <w:r>
        <w:t>36. In particular, the evidence acquired during the inspection clearly shows that the professional did not respond to reminders and/or requests for clarification sent by consumers following the non-delivery of the rented vehicles, even going so far as to deactivate the Call Center in June 2017, precisely at the moment when an increasing number of customers began to complain about both excessive delays in delivery and the non-refunds of the amounts paid at the time of the order.</w:t>
      </w:r>
    </w:p>
    <w:p>
      <w:r>
        <w:t>37. The evidence acquired shows that the failure to return the amounts paid by consumers, as reservation fees and security deposits, cannot find any justification in the company's economic conditions: there is no evidence of a lack of liquidity on the part of the company, in light of the documentary evidence of invoices amounting to almost €5 million collected from reservation fees and security deposits; nor is there evidence of purchases or investments made by the professional during that same period that could have temporarily deprived him of the necessary liquid resources to meet the aforementioned refund requests.</w:t>
      </w:r>
    </w:p>
    <w:p>
      <w:r>
        <w:t>38. The conduct carried out by the professional represents an unfair practice in violation of the provisions of Articles 24 and 25, paragraph 1, letter d) of the Consumer Code, as it constitutes an undue obstacle to the exercise of consumers' contractual rights.</w:t>
      </w:r>
    </w:p>
    <w:p>
      <w:r>
        <w:t>V. QUANTIFICATION OF THE SANCTION</w:t>
      </w:r>
    </w:p>
    <w:p>
      <w:r>
        <w:t>38. Pursuant to Article 27, paragraph 9, of the Consumer Code, with the measure prohibiting the unfair commercial practice, the Authority orders the application of an administrative pecuniary sanction from €5,000 to €5,000,000, taking into account the severity and duration of the violation.</w:t>
      </w:r>
    </w:p>
    <w:p>
      <w:r>
        <w:t>39.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rPr>
          <w:b/>
        </w:rPr>
        <w:t>[Pages 58–60]</w:t>
      </w:r>
    </w:p>
    <w:p>
      <w:r>
        <w:t>60 BULLETIN NO. 12 OF APRIL 3, 2018</w:t>
      </w:r>
    </w:p>
    <w:p>
      <w:r>
        <w:t>Practice A)</w:t>
      </w:r>
    </w:p>
    <w:p>
      <w:r>
        <w:t>40. Regarding the economic size of the professional, in the absence of an approved balance sheet for 2017, the order of magnitude of the turnover is inferred from the accounting data resulting from the invoices issued from January 31 to November 16, amounting to €5,110,528.56.</w:t>
      </w:r>
    </w:p>
    <w:p>
      <w:r>
        <w:t>41. With regard to the severity of the violation, it is noted that the contested conduct was characterized by widespread dissemination, considering that the offer of car rental contracts was promoted both through the Internet and through a dense network of collaborators operating throughout the national territory tasked with promoting the conclusion of the related contracts.</w:t>
      </w:r>
    </w:p>
    <w:p>
      <w:r>
        <w:t>42. As for the duration of the violation, the available evidence shows that the practice was carried out at least since December 2016, when the first unexecuted contract dates back, and until October 2017, when the professional's activity ceased, as stated in the compliance report regarding the precautionary measure.</w:t>
      </w:r>
    </w:p>
    <w:p>
      <w:r>
        <w:t>43. Based on these elements, for the practice described in Point II sub letter A), it is deemed appropriate to determine the base amount of the administrative pecuniary sanction applicable to Only Special Cars S.r.l., abbreviated as Oscar Rent S.r.l., then Oscar Rent &amp; Partners S.r.l. now XPROJECT CARS ASSOCIATED LORIGA &amp; LELLA S.r.l., C.F. 04332000233, in the amount of €150,000 (one hundred fifty thousand euros).</w:t>
      </w:r>
    </w:p>
    <w:p>
      <w:r>
        <w:t>Practice B)</w:t>
      </w:r>
    </w:p>
    <w:p>
      <w:r>
        <w:t>44. Regarding the elements related to the size of the professional and the dissemination of the practice, reference is made to what has been previously stated.</w:t>
      </w:r>
    </w:p>
    <w:p>
      <w:r>
        <w:t>45. Furthermore, both the circumstance that the professional has substantially interrupted all forms of communication with customers since June 2017, responding only rarely to requests for clarification and/or complaints made by consumers, and the fact that the professional has responded to a very limited number of refund requests are significant. It must also be taken into account the significant economic harm suffered by consumers who have not received refunds for the amounts paid following the signing of delivery orders, often exceeding one thousand euros.</w:t>
      </w:r>
    </w:p>
    <w:p>
      <w:r>
        <w:t>46. As for the duration of the violation, the available evidence shows that the practice was carried out by the professional at least since June 2017, when the first refund request remained unanswered, and at least until October 2017, when the professional's activity ceased, as stated in the compliance report regarding the precautionary measure.</w:t>
      </w:r>
    </w:p>
    <w:p>
      <w:r>
        <w:t>47. Based on these elements, for the practice described in Point II sub letter B), it is deemed appropriate to determine the base amount of the administrative pecuniary sanction applicable to Only Special Cars S.r.l., abbreviated as Oscar Rent S.r.l., then Oscar Rent &amp; Partners S.r.l. now XPROJECT CARS ASSOCIATED LORIGA &amp; LELLA S.r.l., C.F. 04332000233, in the amount of €150,000 (one hundred fifty thousand euros).</w:t>
      </w:r>
    </w:p>
    <w:p>
      <w:r>
        <w:t>THEREFORE, based on the considerations outlined above, it is determined that the commercial practice sub letter A) is deemed unfair pursuant to Articles 21, paragraph 1, letter b) and 23, letter e), of the Consumer Code as it is capable - through misleading information provided by the professional regarding the availability of the offered products and their delivery times - of appreciably distorting the economic behavior of the average consumer in relation to the service offered by the professional;</w:t>
      </w:r>
    </w:p>
    <w:p>
      <w:r>
        <w:t>IT IS FURTHER DETERMINED, based on the considerations outlined above, that the commercial practice sub letter B) is deemed unfair pursuant to Articles 24 and 25, paragraph 1, letter d), of the Consumer Code as it is capable - through the failure to refund the amounts paid by consumers and the absence of an efficient communication system or response to customer inquiries and/or requests for clarification - of unduly hindering the exercise of consumers' contractual rights;</w:t>
      </w:r>
    </w:p>
    <w:p>
      <w:r>
        <w:t>RESOLVES</w:t>
      </w:r>
    </w:p>
    <w:p>
      <w:r>
        <w:t>a) that the commercial practice described in point II sub letter A), of this provision, carried out by Only Special Cars S.r.l., abbreviated as Oscar Rent S.r.l., then Oscar Rent &amp; Partners S.r.l. now XPROJECT CARS ASSOCIATED LORIGA &amp; LELLA S.r.l., C.F. 04332000233, constitutes, for the reasons and within the limits stated in the motivation, an unfair commercial practice pursuant to Articles 21, paragraph 1, letter b) and 23, letter e), of the Consumer Code, and prohibits its dissemination or continuation;</w:t>
      </w:r>
    </w:p>
    <w:p>
      <w:r>
        <w:t>b) that the commercial practice described in point II sub letter B), of this provision, carried out by Only Special Cars S.r.l., abbreviated as Oscar Rent S.r.l., then Oscar Rent &amp; Partners S.r.l. now XPROJECT CARS ASSOCIATED LORIGA &amp; LELLA S.r.l., C.F. 04332000233, constitutes, for the reasons and within the limits stated in the motivation, an unfair commercial practice pursuant to Articles 24 and 25, paragraph 1, letter d), of the Consumer Code, and prohibits its dissemination or continuation;</w:t>
      </w:r>
    </w:p>
    <w:p>
      <w:r>
        <w:t>c) to impose, for the practice described in Point II sub letter A), on Only Special Cars S.r.l., abbreviated as Oscar Rent S.r.l., then Oscar Rent &amp; Partners S.r.l. now XPROJECT CARS ASSOCIATED LORIGA &amp; LELLA S.r.l., C.F. 04332000233, an administrative pecuniary sanction of €150,000 (one hundred fifty thousand euros);</w:t>
      </w:r>
    </w:p>
    <w:p>
      <w:r>
        <w:t>d) to impose, for the practice described in Point II sub letter B), on Only Special Cars S.r.l., abbreviated as Oscar Rent S.r.l., then Oscar Rent &amp; Partners S.r.l. now XPROJECT CARS ASSOCIATED LORIGA &amp; LELLA S.r.l., C.F. 04332000233, an administrative pecuniary sanction of €150,000 (one hundred fifty thousand euros);</w:t>
      </w:r>
    </w:p>
    <w:p>
      <w:r>
        <w:t>The administrative sanctions imposed must be paid within thirty days from the notification of this provision, using the tax codes indicated in the attached F24 model with identifying elements, pursuant to Legislative Decree No. 241/1997.</w:t>
      </w:r>
    </w:p>
    <w:p>
      <w:r>
        <w:t>Payment must be made electronically with a debit to one's bank or postal account, through the home banking and CBI services provided by banks or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payment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Competition and Market Authority.</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Administrative Procedure Code (Legislative Decree July 2, 2010, No. 104),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November 24, 1971, No. 1199, within one hundred twenty days from the date of notification of the provision itself.</w:t>
      </w:r>
    </w:p>
    <w:p>
      <w:r>
        <w:t>THE SECRETARY GENERAL THE PRESIDENT</w:t>
      </w:r>
    </w:p>
    <w:p>
      <w:r>
        <w:t>Roberto Chieppa Giovanni Pitruzzella</w:t>
      </w:r>
    </w:p>
    <w:p>
      <w:r>
        <w:rPr>
          <w:b/>
        </w:rPr>
        <w:t>[Pages 61–62]</w:t>
      </w:r>
    </w:p>
    <w:p>
      <w:r>
        <w:t>BULLETIN NO. 12 OF APRIL 3, 2018 63</w:t>
      </w:r>
    </w:p>
    <w:p>
      <w:r>
        <w:t>Antitrust Authority Weekly Bulletin</w:t>
        <w:br/>
        <w:t>of Competition and Market Year XXVIII - No. 12 - 2018</w:t>
        <w:br/>
        <w:t>Editorial Coordination Giulia Antenucci</w:t>
        <w:br/>
        <w:t>Editorial Staff Sandro Cini, Valerio Ruocco, Simonetta Schettini,</w:t>
        <w:br/>
        <w:t>Manuela Villani</w:t>
        <w:br/>
        <w:t>Antitrust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