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https://www.agcm.it/dotcmsDOC/bollettini/13-17.pdf</w:t>
      </w:r>
    </w:p>
    <w:p>
      <w:r>
        <w:t>Pages translated : 65</w:t>
      </w:r>
    </w:p>
    <w:p/>
    <w:p>
      <w:r>
        <w:rPr>
          <w:b/>
        </w:rPr>
        <w:t>[Pages 1–3]</w:t>
      </w:r>
    </w:p>
    <w:p>
      <w:r>
        <w:t>Bulletin</w:t>
        <w:br/>
        <w:t>Weekly</w:t>
        <w:br/>
        <w:t>Year XXVII - No. 13</w:t>
        <w:br/>
        <w:t>Published on the website www.agcm.it</w:t>
        <w:br/>
        <w:t>April 10, 2017</w:t>
      </w:r>
    </w:p>
    <w:p>
      <w:r>
        <w:t>SUMMARY</w:t>
        <w:br/>
        <w:t>AGREEMENTS AND ABUSE OF DOMINANT POSITION 5</w:t>
        <w:br/>
        <w:t>A489 - NEW IMAIE - ANTICOMPETITIVE CONDUCT</w:t>
        <w:br/>
        <w:t>Decision No. 26497 5</w:t>
        <w:br/>
        <w:t>A503 - EDITORIAL INITIATIVES COMPANY / PRESS REVIEW SERVICES IN THE PROVINCE OF</w:t>
        <w:br/>
        <w:t>TRENTO</w:t>
        <w:br/>
        <w:t>Decision No. 26498 23</w:t>
        <w:br/>
        <w:t>REPORTING AND CONSULTATIVE ACTIVITIES 27</w:t>
        <w:br/>
        <w:t>AS1362 - DISSEMINATION AND PUBLICATION OF DATA CONCERNING WORK PERFORMED UNDER TEMPORARY EMPLOYMENT 27</w:t>
        <w:br/>
        <w:t>AS1363 - MUNICIPALITY OF FOSSANO (CN) - EXTENSION OF THE MANAGEMENT CONCESSION OF MUNICIPAL SPORTS FACILITIES 30</w:t>
        <w:br/>
        <w:t>AS1364 - REGION OF SARDINIA - MODALITIES FOR IN-HOUSE ASSIGNMENT OF THE INTEGRATED WATER SERVICE TO ABBANOA SPA 34</w:t>
        <w:br/>
        <w:t>AS1365 - BILL ON THE REGULATION OF HOME RESTAURANT ACTIVITIES 39</w:t>
        <w:br/>
        <w:t>UNFAIR COMMERCIAL PRACTICES 43</w:t>
        <w:br/>
        <w:t>IP269 - FLYGO - CONFUSION WITH OFFICIAL SITE</w:t>
        <w:br/>
        <w:t>Decision No. 26499 43</w:t>
        <w:br/>
        <w:t>PS10495 - SYSTEMS FOR FURNISHING - FIDELITY CARD</w:t>
        <w:br/>
        <w:t>Decision No. 26501 47</w:t>
        <w:br/>
        <w:t>PS10582 - AIRWAY HELICOPTERS - AIR TRANSPORT</w:t>
        <w:br/>
        <w:t>Decision No. 26502 55</w:t>
        <w:br/>
        <w:t>PS10606 - ACQUA &amp; FARMA - WATER DEVICES</w:t>
        <w:br/>
        <w:t>Decision No. 26503 61</w:t>
      </w:r>
    </w:p>
    <w:p>
      <w:r>
        <w:t>BULLETIN NO. 13 OF APRIL 10, 2017 5</w:t>
        <w:br/>
        <w:t>AGREEMENTS AND ABUSE OF DOMINANT POSITION</w:t>
        <w:br/>
        <w:t>A489 - NEW IMAIE - ANTICOMPETITIVE CONDUCT</w:t>
        <w:br/>
        <w:t>Decision No. 26497</w:t>
        <w:br/>
        <w:t>THE ITALIAN COMPETITION AUTHORITY</w:t>
        <w:br/>
        <w:t>IN ITS MEETING of March 22, 2017;</w:t>
        <w:br/>
        <w:t>HEARD the Rapporteur Dr. Gabriella Muscolo;</w:t>
        <w:br/>
        <w:t>HAVING REGARD to Law No. 287 of October 10, 1990, and, in particular, Article 14-ter introduced by Law No. 248 of August 4, 2006, which amended and converted Decree-Law No. 223 of July 4, 2006;</w:t>
        <w:br/>
        <w:t>HAVING REGARD to Article 102 of the Treaty on the Functioning of the European Union (hereinafter, TFEU);</w:t>
        <w:br/>
        <w:t>HAVING REGARD to Regulation No. 1/2003 of the Council of December 16, 2002, concerning the application of the competition rules laid down in Articles 81 and 82 of the EC Treaty (now Articles 101 and 102 of the TFEU);</w:t>
        <w:br/>
        <w:t>HAVING REGARD to its resolution of April 13, 2016, which initiated an investigation pursuant to Article 14 of Law No. 287/90, against NUOVOIMAIE to ascertain the existence of any violations of Article 102 of the TFEU in the market for the management and intermediation of rights related to copyright belonging to artists, performers, and executors in the audiovisual and music sectors;</w:t>
        <w:br/>
        <w:t>HAVING REGARD to the "Communication on the procedures for the application of Article 14-ter of Law No. 287 of October 10, 1990," adopted in the meeting of September 6, 2012, and published in Bulletin No. 35 of September 17, 2012;</w:t>
        <w:br/>
        <w:t>HAVING REGARD to the communication of September 16, 2016, by which NUOVOIMAIE submitted Commitments pursuant to Article 14-ter of Law No. 287/90, as amended on September 30, 2016, according to the modalities indicated in the specific "Form for the submission of Commitments pursuant to Article 14-ter of Law No. 287/90";</w:t>
        <w:br/>
        <w:t>HAVING REGARD to its resolution of October 12, 2016, which ordered the publication, on October 24, 2016, of the Commitments proposed by NUOVOIMAIE on the Authority's website, in order to allow interested third parties to express their observations, and set November 23, 2016, as the deadline by which a decision on the Commitments should be adopted, pursuant to Article 14-ter of Law No. 287/90, except for the additional time necessary for the acquisition of mandatory opinions;</w:t>
        <w:br/>
        <w:t>HAVING REGARD to the observations received;</w:t>
        <w:br/>
        <w:t>HAVING REGARD to the observations and the final Commitments submitted by NUOVOIMAIE on December 23, 2016;</w:t>
        <w:br/>
        <w:t>HAVING REGARD to its communication to the European Commission, pursuant to Article 11, paragraph 4, of Regulation (EC) No. 1/2003;</w:t>
      </w:r>
    </w:p>
    <w:p>
      <w:r>
        <w:rPr>
          <w:b/>
        </w:rPr>
        <w:t>[Pages 4–6]</w:t>
      </w:r>
    </w:p>
    <w:p>
      <w:r>
        <w:t>6 BULLETIN NO. 13 OF APRIL 10, 2017</w:t>
      </w:r>
    </w:p>
    <w:p>
      <w:r>
        <w:t>HAVING REGARD TO the documents of the proceeding;</w:t>
      </w:r>
    </w:p>
    <w:p>
      <w:r>
        <w:t>CONSIDERED the following:</w:t>
      </w:r>
    </w:p>
    <w:p>
      <w:r>
        <w:t>I. THE PARTIES</w:t>
      </w:r>
    </w:p>
    <w:p>
      <w:r>
        <w:t>1. NUOVOIMAIE (hereinafter also NI) is an entity registered in the register of private legal entities of the Prefecture of Rome, pursuant to the Decree of the President of the Republic of February 10, 2000, No. 361, which operates in the collective management of intellectual property rights of performing artists and/or executors and their successors in the fields of music and audiovisual. NUOVOIMAIE has succeeded the monopolistic entity in the sector, the Mutual Institute for the Protection of Performing Artists and Executors, now in liquidation (hereinafter, IMAIE I.L. or old IMAIE), pursuant to Article 7 of Law No. 100 of June 29, 2010. Since May 2, 2013, it has been formally accredited in the list of intermediary companies for related rights, following the fulfillment of the legal communication obligations prescribed by the Decree of the President of the Council of Ministers of December 19, 2012. It represents over five thousand artists in the audiovisual sector and over six thousand artists in the music sector. The total assets managed by NUOVOIMAIE in the two sectors amounted in 2015 to [10-50]* million euros1.</w:t>
      </w:r>
    </w:p>
    <w:p>
      <w:r>
        <w:t>2. Artisti 7607 Società Cooperativa (hereinafter also Artisti 7607) operates as an intermediary in the administration and intermediation of rights contemplated by Law No. 633 of April 22, 1941 (Copyright Law, hereinafter also LDA), for the video sector, on behalf of artists, performers and/or executors and their successors. It received authorization to carry out this activity professionally on November 1, 2013, following the fulfillment of the legal communication obligations prescribed by the Decree of the President of the Council of Ministers of December 19, 2012. The company represents over one thousand Italian artists in the audiovisual sector. The assets managed by Artisti 7607 in the audiovisual sector amounted in 2015 to approximately [less than 1 million] euros.</w:t>
      </w:r>
    </w:p>
    <w:p>
      <w:r>
        <w:t>3. Itsright S.r.l. (hereinafter also Itsright) operates as an intermediary in the administration and intermediation of rights contemplated by Law No. 633/1941 for the music sector, on behalf of artists, performers and/or executors and their successors, as well as phonogram producers. It received authorization to carry out this activity professionally on March 29, 2013, following the fulfillment of the legal communication obligations prescribed by the Decree of the President of the Council of Ministers of December 19, 2012. The company represents over three thousand Italian artists in the music sector. The assets managed by Itsright on behalf of the artists in the music sector amounted in 2015 to approximately [1-10] million euros.</w:t>
      </w:r>
    </w:p>
    <w:p>
      <w:r>
        <w:t>* In this version, some data are omitted, as elements of confidentiality or secrecy of the information were deemed to exist.</w:t>
      </w:r>
    </w:p>
    <w:p>
      <w:r>
        <w:t>1 Data provided by NUOVOIMAIE based on the Annual review of the Societies’ Council for the Collective Management of Performers’ Rights (SCAPR) – General Assembly 2016 – Toronto.</w:t>
      </w:r>
    </w:p>
    <w:p>
      <w:r>
        <w:t>BULLETIN NO. 13 OF APRIL 10, 2017 7</w:t>
      </w:r>
    </w:p>
    <w:p>
      <w:r>
        <w:t>II. THE CONDUCTS ALLEGED</w:t>
      </w:r>
    </w:p>
    <w:p>
      <w:r>
        <w:t>4. At the outset, NUOVOIMAIE was accused of having adopted, since the liberalization of the sector, a complex exclusionary strategy to the detriment of new entrants in the market for management and intermediation services of rights related to copyright. In particular, this strategy would have been articulated in a series of conducts, such as: i) discrimination against those not registered with NUOVOIMAIE for the purpose of excluding competitors and retaining registered artists, performers, and executors (hereinafter also AIE); ii) refusal of access to the general archive of works and artists; iii) exclusionary conduct in the signing and implementation of agreements with foreign collective management companies (hereinafter also SGC or collecting); iv) exclusionary conduct in the signing and implementation of agreements with major national users.</w:t>
      </w:r>
    </w:p>
    <w:p>
      <w:r>
        <w:t>5. The aforementioned behaviors appeared to be capable of constituting an abusive strategy implemented by NUOVOIMAIE aimed at altering the competitive structure of management and intermediation services of rights related to copyright through the exclusion of new intermediary companies. Thus, the exclusionary conduct could result in serious harm to the category of AIE from a dual perspective: firstly, in terms of reducing the freedom to choose which collecting to associate with, as it would prevent the formation of plural and competitive markets; secondly, in terms of inefficiencies in the administration of rights related to copyright, given that the exclusion of competitors would result in the persistence of a de facto monopoly in favor of NUOVOIMAIE.</w:t>
      </w:r>
    </w:p>
    <w:p>
      <w:r>
        <w:t>III. THE RELEVANT MARKETS AND THE POSITION OF THE PARTIES</w:t>
      </w:r>
    </w:p>
    <w:p>
      <w:r>
        <w:t>6. Due to the reported conduct, the relevant markets for the assessment in question can be identified prima facie in the following markets:</w:t>
        <w:br/>
        <w:t>a) market for management and intermediation services of rights related to copyright belonging to AIE in the audiovisual sector;</w:t>
        <w:br/>
        <w:t>b) market for management and intermediation services of rights related to copyright belonging to AIE in the music sector;</w:t>
        <w:br/>
        <w:t>c) market for management and intermediation services of rights related to copyright belonging to AIE in the audiovisual sector carried out on behalf of other collectings;</w:t>
        <w:br/>
        <w:t>d) market for management and intermediation services of rights related to copyright belonging to AIE in the music sector carried out on behalf of other collectings.</w:t>
      </w:r>
    </w:p>
    <w:p>
      <w:r>
        <w:t>7. The intermediation of rights related to copyright involves the performance of a series of connected activities, some of which are influenced by regulation. Firstly, it is necessary to negotiate the terms of use of the work and the associated fees. Secondly, the uses must be monitored to establish the total amount due to the rights holders. Finally, the amounts accrued must be collected and then distributed according to rules established by the collectings (net of the share, of variable amount, retained to cover their operating costs, so-called “agio” or commission).</w:t>
      </w:r>
    </w:p>
    <w:p>
      <w:r>
        <w:t>8. The nature of the artistic work (musical piece or video) determines both the characteristics of its possible economic exploitations (for example, in terms of possible users) and the methods of determining the fees due to AIE and the consequent informational needs (for example, the precise identification of the cast in the case of films, which is not necessary for music). Therefore, the markets for “direct” (or retail, markets a) and b), above) and “indirect” (or wholesale, markets c) and d), above) management of rights related to copyright must be distinguished between the audiovisual sector and the music sector.</w:t>
      </w:r>
    </w:p>
    <w:p>
      <w:r>
        <w:t>9. From a geographical perspective, all markets currently have a national dimension, as substantial differences in sector regulations remain across different countries. Furthermore, the supranational management of such rights proves problematic, especially concerning equitable remuneration, the collection of which requires the performance of activities that are difficult to implement remotely, such as monitoring uses by a very large number of subjects.</w:t>
      </w:r>
    </w:p>
    <w:p>
      <w:r>
        <w:t>10. NUOVOIMAIE holds a dominant position in all relevant markets for the purposes of this proceeding, as the successor to the legal monopolist in the sector, with a resulting reputation and market strength greater than other intermediaries.</w:t>
      </w:r>
    </w:p>
    <w:p>
      <w:r>
        <w:t>IV. THE ORIGINALLY PROPOSED COMMITMENTS</w:t>
      </w:r>
    </w:p>
    <w:p>
      <w:r>
        <w:t>11. In response to the competitive issues raised by the Authority in the initiation order of this proceeding, NUOVOIMAIE, on September 16, 2016, submitted Commitments pursuant to Article 14-ter of Law No. 287/90, consisting in summary of:</w:t>
        <w:br/>
        <w:t>- the commitment (Commitment No. 1) not to advertise in any way the activity that the Institute may be required to carry out under the contract signed with IMAIE I.L., on June 3, 2014, nor to use in any way the information collected for purposes unrelated to the contract itself;</w:t>
        <w:br/>
        <w:t>- the commitment (Commitment No. 2) not to request exclusivity in the context of sponsorship agreements, partnerships, or similar, concerning musical or film events;</w:t>
        <w:br/>
        <w:t>- the commitment (Commitment No. 3) to inform, in writing, prior to the registration or granting of the mandate by an AIE, that the Institute retains a percentage of the rights collected to cover all its management costs (so-called “agio”) and that this percentage is quantified annually during the preparation of the budget, including such information in the registration and mandate forms;</w:t>
        <w:br/>
        <w:t>- the commitment (Commitment No. 4) to license access to the database established by NUOVOIMAIE (hereinafter, “NI Database”), on fair, reasonable, and non-discriminatory terms (fair, reasonable and non-discriminatory, hereinafter also FRAND) and in such a way as to: (i) allow full consultation and use of the NI Database in order to carry out all activities of management and intermediation of rights related to copyright belonging to AIE; (ii) not allow the downloading of data and/or the uploading of new or different data;</w:t>
        <w:br/>
        <w:t>- the commitment (Commitment No. 5) to provide all Authorized Intermediaries with a complete electronic copy of the database owned by IMAIE I.L., should it become part of the residual assets referred to in Article 7 of Decree-Law No. 64 of April 30, 2010, converted into law, with amendments, by Article 1, paragraph 1, of Law No. 100 of June 29, 2010;</w:t>
        <w:br/>
        <w:t>- the commitment (Commitment No. 6) to send to foreign collectings with which a multi-year bilateral contract is in place, signed during the period from the date of publication of Decree-Law No. 1 of January 24, 2012, to the date of accreditation of the first Authorized Intermediary, a communication informing them that, in derogation of what is provided for by the relevant</w:t>
      </w:r>
    </w:p>
    <w:p>
      <w:r>
        <w:rPr>
          <w:b/>
        </w:rPr>
        <w:t>[Pages 7–9]</w:t>
      </w:r>
    </w:p>
    <w:p>
      <w:r>
        <w:t>BULLETIN NO. 13 OF APRIL 10, 2017 9</w:t>
      </w:r>
    </w:p>
    <w:p>
      <w:r>
        <w:t>contract, NUOVOIMAIE grants the foreign collecting society the right to withdraw at any time, with a mere notice of 30 days;</w:t>
      </w:r>
    </w:p>
    <w:p>
      <w:r>
        <w:t>- in the commitment (Commitment No. 7) to send to all foreign collecting societies with which a bilateral contract of multi-year duration is in place a communication informing them that, in Italy, in addition to NUOVOIMAIE, other intermediaries are registered in the register published on the website of the Presidency of the Council of Ministers – Department for Information and Publishing, pursuant to Article 3, paragraph 2, of the Decree of the President of the Council of Ministers of December 19, 2012, also communicating the names of all Authorized Intermediaries and specifying the Internet address through which they can be contacted;</w:t>
      </w:r>
    </w:p>
    <w:p>
      <w:r>
        <w:t>- in the commitment (Commitment No. 8) to sign, in the future, contracts of annual duration exclusively with foreign collecting societies that require, for their renewal, a manifestation, expressed in writing, of the will of both parties to renew the agreement under the same conditions;</w:t>
      </w:r>
    </w:p>
    <w:p>
      <w:r>
        <w:t>- in the commitment (Commitment No. 9) to propose to Artisti 7607 Società Cooperativa and Diritti Artisti IPAA S.r.l. (hereinafter also IPAA), with reference to the contracts with Sky Italia S.r.l. (hereinafter also Sky) and Fox International Channels Italy S.r.l. (hereinafter Fox), the establishment of a Technical Commission to determine the amounts due to the AIEs of each collecting society, to stateless AIEs and to unidentified AIEs for the period November 1, 2013 – June 30, 2014, as well as to identify forms of use of the amounts due to unidentified AIEs and stateless AIEs in favor of the entire category;</w:t>
      </w:r>
    </w:p>
    <w:p>
      <w:r>
        <w:t>- in the commitment (Commitment No. 10) to propose to the counterparties, with reference to the contract with AICA – Associazione Italiana Confindustria Alberghi (hereinafter, AICA) and Federalberghi, a contractual amendment so as to provide that the amounts due to the Institute are determined in accordance with the provisions of Article 3, paragraph 3, of the Decree of the President of the Council of Ministers of January 17, 2014 and based on the data transmitted, with reference to individual calendar years, by SIAE;</w:t>
      </w:r>
    </w:p>
    <w:p>
      <w:r>
        <w:t>- in the commitment (Commitment No. 11) to sign in the future contracts for the collection of equitable remuneration solely in favor of the AIEs of its mandators, simultaneously offering all Authorized Intermediaries its availability to establish a Technical Commission to assign the task of: (i) assisting in negotiations with users with the aim of making the payment, by users in favor of all Authorized Intermediaries, of the fees due to their mandating AIEs easier, certain, and quicker; (ii) identifying forms of use of the amounts due to unidentified AIEs and stateless AIEs in favor of the entire category;</w:t>
      </w:r>
    </w:p>
    <w:p>
      <w:r>
        <w:t>- in the commitment (Commitment No. 12) to propose to RAI – Radiotelevisione Italiana S.p.A. (hereinafter also RAI) for the service of metadata and data processing for collecting interpreters and performers, subject of competitive procedure No. 6338691, the signing of a licensing contract concerning access, by an independent third technician identified by RAI itself, to the NI Database (excluding personal data relating to AIEs) under fair, reasonable, and non-discriminatory conditions.</w:t>
      </w:r>
    </w:p>
    <w:p>
      <w:r>
        <w:t>10 BULLETIN NO. 13 OF APRIL 10, 2017</w:t>
      </w:r>
    </w:p>
    <w:p>
      <w:r>
        <w:t>V. THE OUTCOME OF THE MARKET TEST</w:t>
      </w:r>
    </w:p>
    <w:p>
      <w:r>
        <w:t>12. Within the set deadlines for the conclusion of the market test, observations regarding the content of the Commitments described above were received from Artisti 7607 Società Cooperativa, Itsright S.r.l., R.A.S.I. – Rete Artisti Spettacolo per l’Innovazione, Diritti Artisti IPAA S.r.l., Istituto Bruno Leoni, Discovery Italia S.r.l., Sky Italia S.r.l., Fox Networks Group Italy S.r.l., RAI – Radiotelevisione Italiana S.p.A. Following the accessory modifications, the Parties were also given the opportunity, considering the specificities of the markets involved, to formulate further observations. Below are the main observations presented by the aforementioned parties.</w:t>
      </w:r>
    </w:p>
    <w:p>
      <w:r>
        <w:t>Main observations presented regarding Commitments Nos. 1 and 2</w:t>
      </w:r>
    </w:p>
    <w:p>
      <w:r>
        <w:t>13. With reference to Commitment No. 1, the market test highlighted the need for NI to not only cease all activities carried out under the agreement of June 3, 2014, between NUOVOIMAIE and IMAIE I.L., but also to make the content of the agreement public and share with intermediaries the information regarding AIEs obtained by virtue of the contract with the old Institute.</w:t>
      </w:r>
    </w:p>
    <w:p>
      <w:r>
        <w:t>14. Regarding Commitment No. 2, many collecting societies emphasized the importance of further integrating the communications provided by NUOVOIMAIE to its mandators with respect to both the agio applied by the Institute and the agio retained by the foreign management companies with which the Institute has ongoing relationships. No comments were transmitted regarding Commitment No. 3.</w:t>
      </w:r>
    </w:p>
    <w:p>
      <w:r>
        <w:t>Main observations presented regarding Commitments Nos. 4 and 5</w:t>
      </w:r>
    </w:p>
    <w:p>
      <w:r>
        <w:t>15. Regarding Commitment No. 4, the market test produced observations about the methods of accessing databases, the onerousness of access conditions, and the issue of privacy. In particular, it was noted that: (i) access to the database updated until the data of 2013 would not be useful (Commitment No. 4.2); (ii) without the download (i.e., extraction) of data, it would be impossible to carry out any research and processing of the amounts due to AIEs; (iii) the cost of the license (2-5% of the fees intermediated by each SGC) appears disproportionate and, therefore, would not be fair, reasonable, and non-discriminatory; (iv) the provision in point 4.5, namely that consultation and use of the data can only occur with prior consent from the AIEs, risks nullifying the Commitment.</w:t>
      </w:r>
    </w:p>
    <w:p>
      <w:r>
        <w:t>16. In relation to Commitment No. 5, several SGCs request that it also cover the distribution of the remaining active balance from the liquidation of the old IMAIE.</w:t>
      </w:r>
    </w:p>
    <w:p>
      <w:r>
        <w:t>Main observations presented regarding Commitments Nos. 6, 7, and 8</w:t>
      </w:r>
    </w:p>
    <w:p>
      <w:r>
        <w:t>17. The market test highlighted the need for NI to withdraw from all contracts entered into with foreign collecting societies.</w:t>
      </w:r>
    </w:p>
    <w:p>
      <w:r>
        <w:t>Main observations presented regarding Commitments Nos. 9, 10, 11, and 12</w:t>
      </w:r>
    </w:p>
    <w:p>
      <w:r>
        <w:t>18. Regarding Commitment No. 9, competing SGCs emphasized that the cost of organizing and managing the Technical Commission for determining the fees due to the AIEs of each collecting society is greater than the expected benefit. Users, on the other hand, pointed out how this Commitment could conflict with the interest in protecting confidential and commercially sensitive information (in particular, the content of the Fox/NI contract). Furthermore, this Commitment could allow for the establishment of an agreement among the various collecting societies to the detriment of users: in particular, the definition of common methods for calculating the fees owed to the AIEs represented in relations with users could distort competition among intermediaries.</w:t>
      </w:r>
    </w:p>
    <w:p>
      <w:r>
        <w:t>19. With reference to Commitment No. 10, this would not correct a summary and arbitrary market division in the agreement with AICA and Federalberghi in favor of NI, especially in the percentage relationship between artists with rights mandating different collecting societies and artists with rights who have not conferred a mandate. NI should, therefore, verify the representation percentages of the AIEs.</w:t>
      </w:r>
    </w:p>
    <w:p>
      <w:r>
        <w:t>20. In relation to Commitment No. 11, users highlight the risk of anti-competitive coordination of the conduct of the SGCs: since the Technical Commission consists exclusively of representatives of NI and the other collecting societies, there could be a risk of exchanging sensitive information, such as the mechanism for calculating the rates applied to users, the types of contracts (duration terms, payment, etc.), and the costs of intermediation, with effects of alignment among the conduct of the collecting societies to the detriment of users.</w:t>
      </w:r>
    </w:p>
    <w:p>
      <w:r>
        <w:t>21. Finally, regarding Commitment No. 12, NI's competitors noted that this Commitment replaces the contested RAI tender with a new contract, in which NI would always have a central monopolistic role. RAI, on the other hand, asks NI to allow access to its database both through RAI's internal sectors and through a third party indicated by RAI itself; furthermore, the access license must allow for the download of data and the compensation should in any case be fair and reasonable.</w:t>
      </w:r>
    </w:p>
    <w:p>
      <w:r>
        <w:t>VI. RESPONSES TO THE OBSERVATIONS AND ACCESSORY MODIFICATIONS TO THE COMMITMENTS OF NUOVOIMAIE</w:t>
      </w:r>
    </w:p>
    <w:p>
      <w:r>
        <w:t>22. Following the public consultation on the Commitments, on December 23, 2016, NI responded to the observations received and made accessory modifications to the Commitments originally presented, providing definitive versions of the respective Commitments, attached to this provision of which they constitute an integral part.</w:t>
      </w:r>
    </w:p>
    <w:p>
      <w:r>
        <w:t>23. NI reiterated its radical criticisms of the accusatory framework proposed by Itsright and Artisti 7607, reiterating that it presented Commitments solely in a collaborative manner and to dispel any competitive concerns expressed by the Authority in the initiation provision.</w:t>
      </w:r>
    </w:p>
    <w:p>
      <w:r>
        <w:t>The accessory modifications to the Commitments of NUOVOIMAIE</w:t>
      </w:r>
    </w:p>
    <w:p>
      <w:r>
        <w:t>24. NI first integrated Commitment No. 1 regarding relations with IMAIE I.L. by adding points 2, 3, and 4, in order to meet the needs expressed by new entrants in the market test. In particular, the accessory modifications made by NI aim to make the content of the contract signed on June 3, 2014 (Commitment No. 1.2) clear and to terminate any de facto extension or tacit renewal of the agreement itself (Commitment No. 1.3). In this sense, NI stated that it will only carry out merely eventual and residual activities in favor of IMAIE I.L. (technical assistance in case of disputes and/or objections to the passive state and support for the drafting of the final balance of the old institute).</w:t>
      </w:r>
    </w:p>
    <w:p>
      <w:r>
        <w:t>25. At the same time, the Party committed to transmit to the competing SGCs the information it has obtained in the execution of the contract regarding the AIEs registered with them, within the limits permitted by the rules on compulsory administrative liquidation and privacy (Commitment No. 1.4).</w:t>
      </w:r>
    </w:p>
    <w:p>
      <w:r>
        <w:rPr>
          <w:b/>
        </w:rPr>
        <w:t>[Pages 10–12]</w:t>
      </w:r>
    </w:p>
    <w:p>
      <w:r>
        <w:t>BULLETIN NO. 13 OF APRIL 10, 2017</w:t>
      </w:r>
    </w:p>
    <w:p>
      <w:r>
        <w:t>The duration of Commitment No. 1 (initially without time limits) has also been modified, so that points 2, 3, and 4 of Commitment No. 1 remain effective until all activities arising from the contract of June 3, 2014, with IMAIE I.L. have definitively ceased.</w:t>
      </w:r>
    </w:p>
    <w:p>
      <w:r>
        <w:t>26. Some modifications have also been made to Commitment No. 3 to further clarify to the mandating AIEs what the agio (i.e., the commission on the amounts collected on behalf of the artist) applied by NI is (already present on the Institute's website)2: in addition to the registration or mandate conferment forms, this information will now also be included by NI in the communications sent quarterly to its artists for the distribution of fees. Also for the amounts received through foreign SGCs with which the Institute has ongoing agreements for the collection of foreign equitable remuneration, the same indications regarding the commissions applied will be present in the registration/mandate forms and in the quarterly communications to the AIEs (Commitment No. 3.3).</w:t>
      </w:r>
    </w:p>
    <w:p>
      <w:r>
        <w:t>27. Secondly, there has been the offer to license to competitors free of charge the database of the Institute as updated in mid-March 2014 (Commitment No. 4.1), that is, one year after the entry into force of the Decree of the President of the Council of Ministers of December 19, 2012, on the minimum requirements of collecting societies, with the possibility of downloading (i.e., total or partial extraction) the relevant data. The license of NI's database will immediately make accessible the audiovisual or musical repertoire (based on the area of specialization of the licensee) of the former sector monopolist, allowing new entrants to carry out all operations required for the intermediation and management of rights related to copyright.</w:t>
      </w:r>
    </w:p>
    <w:p>
      <w:r>
        <w:t>28. The update of the archive data, moreover, will be that of the date of the provision that will make the Commitments mandatory by the Authority: therefore, if other information on audiovisual or musical works up to March 11, 2014 (for example, artists excluded from a cast, works not listed, etc.) is found before the closure of the procedure, it would be included in the asset transferred to the competitors. For works after March 11, 2014, as well as updates on works prior to that date entered into the archive after the Authority's provision, the competing SGCs can proceed independently or conclude the contract provided for by the subsequent Commitment No. 4.3.</w:t>
      </w:r>
    </w:p>
    <w:p>
      <w:r>
        <w:t>29. In fact, NI has also offered the possibility of entering into a license agreement for the use of its audiovisual and musical archive, complete with data after March 11, 2014, and daily updated and integrated by the Party (Commitment No. 4.3), at an annual license fee equal to 4.5% of the total rights administered by each intermediary. This amount has been calculated taking into account the direct and indirect management costs of NI's database, as declared to the Authority in an analysis commissioned to external consultants of the company. However, the request to allow the download of data with this type of license was not accepted, as the Party believes that the access mode offered allows in any case “[…] full consultation and use (with all search provisions) of the NI Database for the exclusive purpose of carrying out all activities of management and intermediation of the rights related to copyright due to the AIEs (including the activity of calculating the remuneration due to the represented AIEs, both in relations with users and in relations with the individual AIE)” (see point 4 of Commitment No. 4).</w:t>
      </w:r>
    </w:p>
    <w:p>
      <w:r>
        <w:t>30. In both cases, the personal data of the AIEs (address, phone, email, etc.) will be processed in accordance with the provisions of privacy legislation. To this end, a specific intervention will be requested from the Guarantor for the Protection of Personal Data, to which NI commits to request a specific opinion (Commitment No. 4.5) within ten days from the provision that makes the Commitments mandatory. If the aforementioned Guarantor does not express itself within three months from the sending of the related request for opinion, the Party will meanwhile ask “all AIEs, for whom there is an address (physical or email) in the NI Database, to provide the consent in question” (ibidem).</w:t>
      </w:r>
    </w:p>
    <w:p>
      <w:r>
        <w:t>31. Regarding the active residue of the liquidation of the old Institute (Commitment No. 5), NI specifies that the transfer of the active residue is expressly provided for by a legal provision (Article 7 of Decree-Law of April 30, 2010, No. 64, converted into law, with modifications, of Article 1, paragraph 1, of Law No. 100 of June 29, 2010), on which the institute cannot intervene. However, NI commits to promote a technical table with the sector supervisory bodies to promote its correct pro-rata distribution among all SGCs, so as to respect the representativeness of each collecting society.</w:t>
      </w:r>
    </w:p>
    <w:p>
      <w:r>
        <w:t>32. In relation to Commitments No. 6, 7, and 8, NI asserts that the commitments undertaken effectively address and, indeed, go well beyond the competitive concerns expressed in the Provision. In particular, the bilateral contracts of multi-year duration signed during the accreditation of other operators and those that will be signed in the future by NI are made immediately contestable by other authorized intermediaries. For other existing bilateral agreements, the possibility of cancellation with short notice is nevertheless provided. Furthermore, NI highlights that its main competitors, Artisti 7607 and Itsright, are also members of SCAPR and therefore have many opportunities in that context to propose themselves to other foreign collecting societies and conclude agreements for mutual representation. The Party, therefore, has deemed it appropriate to maintain unchanged the set of Commitments presented on September 16, 2016, in relation to the alleged exclusionary conduct in the upstream markets of the offer of collection and intermediation services of rights related to copyright in favor of foreign SGCs. This is because, in its opinion, the objections raised by the competing SGCs in the market test would be irrelevant to the measures offered and, in any case, would contain only unfounded criticisms.</w:t>
      </w:r>
    </w:p>
    <w:p>
      <w:r>
        <w:t>33. With reference to the contracts signed with users of audiovisual and musical works in Italy, various improvements have been made to the set of Commitments offered on September 16, 2016, by NI and, in particular, as anticipated, to Commitment No. 12 concerning the tender announced in February 2016 by RAI for the services of metadata and data processing in favor of the collecting societies of artists, which has been revised in light of the observations presented by RAI itself (infra).</w:t>
      </w:r>
    </w:p>
    <w:p>
      <w:r>
        <w:t>34. Firstly, regarding the equitable remuneration agreements with Sky and Fox, to dispel any doubts about the willingness to reach a shared solution with the interested collecting societies (Artisti 7607 and IPAA) on the amounts collected on behalf of the entire category eight months after liberalization (i.e., until June 30, 2014), NI proposes in the final Commitments an arbitration procedure (Commitment No. 9.1). The Commitment concretely provides for an assignment to an independent third party identified by mutual agreement between the Parties, subject to the authorization of the Authority, aimed at determining the amounts due to the AIEs of each collecting society, to stateless AIEs, and to unidentified AIEs for the period November 1, 2013 – June 30, 2014, as well as identifying forms of use of the amounts due to unidentified AIEs and stateless AIEs in favor of the entire category. This solution replaces the original one of a Technical Commission to address the objections of excessive burden and complexity raised by competitors in the market test.</w:t>
      </w:r>
    </w:p>
    <w:p>
      <w:r>
        <w:t>35. Where it is not possible to proceed in this way due to refusal or inertia of one or both competitors, NI maintains unchanged the procedure of Commitment No. 9.2, aimed at allowing all three collecting societies to proceed, in a timely and simultaneous manner, to the distribution of fees to their respective mandators – since the amounts in question have not yet been distributed even to their own AIEs by NI.</w:t>
      </w:r>
    </w:p>
    <w:p>
      <w:r>
        <w:t>36. With reference to Commitment No. 10, relating to the contract with AICA and Federalberghi of May 7, 2015, NI states that the criterion proposed in the Commitment formulated in September still identifies the amounts due to the Institute at a certain and objective figure, based on the amount of rights of the AIEs administered by each intermediary, certified pursuant to Article 2, paragraph 1, letter h), of the Decree of the President of the Council of Ministers of December 19, 2012, and communicated pursuant to the provisions of Article 3 of the same Decree and Article 3, paragraph 3, of the Decree of the President of the Council of Ministers of January 17, 2014, as transmitted by SIAE. However, in order to meet the observations of competitors, Commitment No. 10 has been modified in the final Commitments with the provision that NI withdraws from the agreement at the first available date (i.e., June 2017, if the Commitments are accepted at the beginning of 2017). This would allow each collecting society to enter into its own contract without being conditioned by the existing one with NI. NI reserves, in any case, the right to conclude a new equitable remuneration agreement with AICA and Federalberghi that provides for an objective criterion for the determination (necessarily lump-sum) of the amounts due to NI's AIEs.</w:t>
      </w:r>
    </w:p>
    <w:p>
      <w:r>
        <w:t>37. Thirdly, regarding Commitment No. 11, NI emphasizes that the objective of the Commitment has never been to encourage practices such as those feared by users and, regarding Commitment No. 12, while not sharing the criticisms raised, NI has modified the Commitments to accommodate the needs expressed in the market test.</w:t>
      </w:r>
    </w:p>
    <w:p>
      <w:r>
        <w:t>38. In this sense, Commitment No. 11.2, relating to future agreements that will be negotiated by the SGCs pursuant to Article 84 of Law No. 633/1941 with users, has been modified to avoid the risks of cartel feared by the users themselves, limiting the scope of the technical table to some limited sector issues, namely:</w:t>
        <w:br/>
        <w:t>- the search for solutions to problems related to the transparency of mandates and the definition of common standards in terms of reporting;</w:t>
        <w:br/>
        <w:t>- the identification of forms of use of the amounts due to unidentified AIEs and stateless AIEs (who do not request them within the terms provided by law) in favor of the entire category.</w:t>
      </w:r>
    </w:p>
    <w:p>
      <w:r>
        <w:t>39. Participation in the technical table has also been extended to all Authorized Intermediaries (including all collecting societies that may become Authorized Intermediaries after its establishment), to all users and their trade associations, as well as to governing bodies and competent authorities (Commitment No. 11.3).</w:t>
      </w:r>
    </w:p>
    <w:p>
      <w:r>
        <w:t>40. Finally, NI has reformulated Commitment No. 12.1, relating to the RAI tender for the assignment of metadata and data processing services for the collecting societies, in order to accommodate the main objections raised by the public broadcaster itself, allowing it to fulfill its obligations of</w:t>
      </w:r>
    </w:p>
    <w:p>
      <w:r>
        <w:rPr>
          <w:b/>
        </w:rPr>
        <w:t>[Pages 13–15]</w:t>
      </w:r>
    </w:p>
    <w:p>
      <w:r>
        <w:t>BULLETIN NO. 13 OF APRIL 10, 2017 15</w:t>
      </w:r>
    </w:p>
    <w:p>
      <w:r>
        <w:t>law and, in this way, speed up the distribution process of the revenues derived from RAI's uses, to the benefit of the entire category of AIEs and all SGCs.</w:t>
      </w:r>
    </w:p>
    <w:p>
      <w:r>
        <w:t>41. In particular, the final version of the Commitment under examination now provides that the license agreement can only be signed in full compliance with the applicable regulations – therefore, following any tender that RAI may issue – and that access to NI's Database can be made by RAI through its internal offices or through a third party freely identified by it; moreover, full consultation and use (with all consultation provisions automatically, through search keys) of the data are allowed, both through specific searches and through mass searches, including the downloading of data relating to primary AIEs (including primary voice actors) and supporting roles.</w:t>
      </w:r>
    </w:p>
    <w:p>
      <w:r>
        <w:t>VII. EVALUATION OF THE COMMITMENTS</w:t>
      </w:r>
    </w:p>
    <w:p>
      <w:r>
        <w:t>42. The competitive concerns that led to the initiation of the investigation concerned the risk that the former sector monopolist, following liberalization, could exclude new entrant SGCs from the relevant markets. The alleged exclusionary conduct, as emerges from the documents of the proceedings, in particular, would have relied on: (i) the contractual relationship with IMAIE I.L. arising from the contract of June 3, 2014; (ii) the exclusive possession of a general archive of the works of artists, originally received on a free loan from IMAIE I.L.; and (iii) the dense network of agreements with users and foreign SGCs entered into during the accreditation of competitors.</w:t>
      </w:r>
    </w:p>
    <w:p>
      <w:r>
        <w:t xml:space="preserve">43. Also in light of the ancillary modifications made to the original Commitments by NI, it is believed that the final Commitments presented by NI are suitable to resolve the competitive obstacles that were the subject of the initiation, as they: </w:t>
        <w:br/>
        <w:t xml:space="preserve">(i) are capable of eliminating the competitive advantage acquired by NI as a result of the signing of the contract with IMAIE I.L., putting an end to any further extension of the contractual relationship; </w:t>
        <w:br/>
        <w:t xml:space="preserve">(ii) restore a level playing field in the market by allowing free access to NI's database containing works up to March 11, 2014 (therefore, after the entry of competitors into the market) and access on FRAND terms to the database containing the constantly updated repertoire; </w:t>
        <w:br/>
        <w:t xml:space="preserve">(iii) regarding foreign contracts, NI offers foreign counterparties with whom it has entered into contracts during the accreditation of competitors the possibility to withdraw from the contract with merely thirty days' notice, thus making the market for the intermediation of rights related to copyright carried out on behalf of foreign collecting societies immediately contestable; </w:t>
        <w:br/>
        <w:t xml:space="preserve">(iv) finally, with reference to the management of relationships with users, the proposed Commitments are suitable to unblock the stalemate in negotiations between collecting societies and users in the relevant markets, particularly because: </w:t>
        <w:br/>
        <w:t xml:space="preserve">- an arbitration mechanism is provided for the distribution of fees collected by Sky and Fox and, in the future, a technical table to clarify the main common issues in the sector (communication standards for users, transparency of mandates), and </w:t>
        <w:br/>
        <w:t>- RAI is offered the possibility to build an independent archive of works, thus allowing the public broadcaster to fulfill its legal obligations.</w:t>
      </w:r>
    </w:p>
    <w:p>
      <w:r>
        <w:t>16 BULLETIN NO. 13 OF APRIL 10, 2017</w:t>
      </w:r>
    </w:p>
    <w:p>
      <w:r>
        <w:t>The evaluations related to each thematic area of contestation at the time of initiation are illustrated below.</w:t>
      </w:r>
    </w:p>
    <w:p>
      <w:r>
        <w:t>44. Regarding the first issue highlighted in the initiation provision, namely the discrimination aimed at excluding competitors and maintaining AIEs (paragraphs 44, 45, and 46 of the initiation provision), the measures proposed by NI appear appropriate and proportionate to the need to resolve the competitive obstacles arising from the execution of the agreement signed with IMAIE I.L. and to make transparent the costs and management methods of the activities of the former monopolist.</w:t>
      </w:r>
    </w:p>
    <w:p>
      <w:r>
        <w:t>45. In particular, with Commitment No. 1, contrary to what was claimed by the complainants, it is achieved to terminate the contract of June 3, 2014, between NI and IMAIE I.L. and to make its content public. The only potential activities that could still be carried out by NI in favor of the old IMAIE, in fact, are represented by the support that may be requested by the Liquidation Commissioners on past accounts (in case of disputes or objections to the calculated amounts) and for the final balance of the liquidation. However, such activities appear merely potential and secondary to the main object of the contract and therefore have no relevance from a competitive point of view. In this sense, the duration of Commitments Nos. 1.2, 1.3, and 1.4 appears objectively commensurate with the need to still foresee certain activities, albeit hypothetical or residual, for the liquidation of the assets of the old institute.</w:t>
      </w:r>
    </w:p>
    <w:p>
      <w:r>
        <w:t>46. Furthermore, addressing the needs expressed by competitors in the market test, through Commitment No. 1.4, NI commits to share "with other Authorized Intermediaries those information related to entitled artists obtained by virtue of said agreement" (observations of Artists 7607, in Doc. No. IMP.16, p. 5). Considering that this Commitment involves the transmission to a third party (the other SGCs) of "personal" information (AIE holders and the amount of fees due from the liquidation), it seems appropriate to provide that NI sends a specific request to the Data Protection Authority before sharing the information related to the fees due to the AIEs mandating the other collecting societies of which it has become aware in execution of the aforementioned contract with IMAIE I.L.</w:t>
      </w:r>
    </w:p>
    <w:p>
      <w:r>
        <w:t>47. With Commitments Nos. 2 and 3, it is ensured that there are no longer practices of artist loyalty in the context of musical or film events (David di Donatello, Venice Film Festival, etc.), through exclusivity clauses included in sponsorship agreements or similar by NI, as well as that artists are fully informed of the management costs required by NI for intermediation services. The communication of the commission applied by NI (now 15%) on the amounts collected on behalf of AIEs, both in the registration and mandate forms and in the quarterly communications regarding the distribution of fees, has been requested by the other collecting societies in light of the fact that the former monopolist has the form of a public economic entity and, therefore, is not subject to the drafting and publicity rules of the annual budget provided for by the Civil Code for companies (Book V, Title V, Chapter V, Section IX).</w:t>
      </w:r>
    </w:p>
    <w:p>
      <w:r>
        <w:t>48. The communication of the agio applied to artists by NI is deemed necessary in order to restore competitive conditions in the relevant markets, as it has been noted that such information allows artists, on the one hand, to dispel any misunderstandings regarding the costliness of the services offered by the Institute and, on the other hand, to compare this management cost with the commissions applied by other collecting societies. Considering the dominant position held by NI in the collection of foreign fees of AIEs, moreover, the ancillary modification introduced following the market test regarding the publicity of the commission withheld at source on the fees accrued abroad by AIEs (Commitment No. 3.3) is appreciated.</w:t>
      </w:r>
    </w:p>
    <w:p>
      <w:r>
        <w:t>49. Regarding the refusal of access to the general archive of works and artists (paragraphs 47, 48, and 49 of the initiation provision), Commitment No. 4, as modified in the final version, is suitable to rebalance the competitive positions of companies active in the sector by giving the competitors of the former monopolist the possibility to access the database used by the same Institute – in two ways, one free of charge and one for a fee.</w:t>
      </w:r>
    </w:p>
    <w:p>
      <w:r>
        <w:t>50. On this point, it is worth noting that, regardless of the protectability of NI's database under Law No. 633/1941 (Article 64-quinquies or Article 102-bis LDA), the difference in architecture and content of NI's asset compared to the archive of the previous Institute implies independent processing efforts and investments made on the asset originally received in January 2011 – and returned in 2012 – to IMAIE I.L. to carry out the management and intermediation activities of related rights. The management costs of the archive that NI incurs for managing the database have been justified by budget data and a benchmarking analysis on the management costs of other foreign collecting societies (e.g., French SGCs).</w:t>
      </w:r>
    </w:p>
    <w:p>
      <w:r>
        <w:t>51. It is also noted that NI offers competitors: (i) free of charge and with full download capability, access to a database containing the (updated) data relating to works disseminated until March 11, 2014 (see points 4.1. and 4.2.), or (ii) for a period of three years, a "turnkey" service that allows them to operate on all the data present in the NI Database (constantly updated), using all the functionalities provided therein, in exchange for a fee – equal to 4.5% of the fees managed by each SGC in the year – lower than the costs declared by NI (see points 4.3. and 4.4.).</w:t>
      </w:r>
    </w:p>
    <w:p>
      <w:r>
        <w:t>52. The setting of a fee as a percentage appears fair and proportionate, as it reflects the economic weight of each operator in the relevant market and does not discourage the entry of new operators. Only a percentage amount, in fact, can relate the fee requested by NI to the actual use of the asset made available to competitors, so as not to impact the fixed entry costs or weigh disproportionately on competitors who are in an initial phase of developing their commercial initiatives.</w:t>
      </w:r>
    </w:p>
    <w:p>
      <w:r>
        <w:t>53. Regarding the reasonableness of the identified percentage, the elements put forward by the Party and, in particular, the analysis of the costs incurred by NI for the processing of the database and the constant maintenance and updating of the information it contains, lead to the conclusion that the amount of 4.5% of the rights administered by each SGC is not unreasonable. Although there may be various methodologies for determining the usage fee of an asset and various forms of cost allocation are also possible, depending on the specific drivers of the relevant industry, the analysis conducted by the Party that identifies, in the ratio between its costs and the value of the market for related rights in Italy, a "reasonable" percentage measure of the fee for consulting its database can indeed be considered acceptable. This percentage is estimated by the Party to be equal to 5.4% and does not include any mark-up that NI would consider necessary to achieve a reasonable return on the total costs incurred.</w:t>
      </w:r>
    </w:p>
    <w:p>
      <w:r>
        <w:t>54. The comparative analysis conducted by the Party on the main European SGCs, on the other hand, would confirm that the costs incurred by the Institute for the entirety of the activities carried out are in line with the management expenses of other European SGCs. In this context, the license fee requested for access to the complete database would not allow NI to obtain an extra profit on the</w:t>
      </w:r>
    </w:p>
    <w:p>
      <w:r>
        <w:rPr>
          <w:b/>
        </w:rPr>
        <w:t>[Pages 16–18]</w:t>
      </w:r>
    </w:p>
    <w:p>
      <w:r>
        <w:t>18 BULLETIN NO. 13 OF APRIL 10, 2017</w:t>
      </w:r>
    </w:p>
    <w:p>
      <w:r>
        <w:t>investments incurred for the preparation and updating of such asset. Therefore, the fee requested for the license does not appear discriminatory towards competing collecting societies considering the costs borne by NI.</w:t>
      </w:r>
    </w:p>
    <w:p>
      <w:r>
        <w:t>55. In this sense, it can thus be concluded that Commitment No. 4.3 allows competitors to have an outsourcing service under economic conditions that appear: (i) fair, as they are equal in percentage terms for all entities operating in the sector and commensurate with the economic value of the rights they collectively manage each year; (ii) reasonable, given NI's costs in the proceedings, and (iii) non-discriminatory, as it places NI and the competing collecting societies on the same level in accessing the database.</w:t>
      </w:r>
    </w:p>
    <w:p>
      <w:r>
        <w:t>56. If new entrants, on the other hand, deem it appropriate to develop a competitive database compared to that of the former monopolist, Commitment No. 4.1 allows for the immediate acquisition of a broad and sufficient informational base to implement a cataloging structure competing with that of the former monopolist Institute. This would particularly allow new collecting societies to become autonomous regarding the essential input needed to carry out the intermediation of related rights and, in this way, effectively compete in the markets of greater economic value, those of collecting fees for foreign collecting societies. The free license of the archive updated as of March 2014, granted by NI in the final Commitments (Commitment No. 4.1), therefore implies an updating cost equivalent to the sunk cost necessary to create one's own archive of works and artists that any new entrant operator would have to incur to intermediation the rights related to copyright, regardless of its entry moment into the market.</w:t>
      </w:r>
    </w:p>
    <w:p>
      <w:r>
        <w:t>57. Regarding access to the personal data of the AIEs (telephone contacts, email, etc.), it must be considered that the referral to the opinion of the Guarantor for the Protection of Personal Data does not constitute a delaying measure, with which to render ineffective the implementation of Commitment No. 4, as claimed by some companies involved in the market test, but reflects the need to ensure the privacy of data subjects according to the procedural safeguards provided by law. In fact, NI undertakes to transmit to the Guarantor for the Protection of Personal Data, within ten days from the date of notification of the Authority's provision that makes the Commitments mandatory, a request for balancing interests, pursuant to Article 17 of Legislative Decree No. 196 of June 30, 2003, with which it will ask the Guarantor: (i) to authorize the transmission of data pursuant to Article 24, letter g), of the same Legislative Decree, according to which the consent of the data subjects is not required if the transmission is necessary to pursue a legitimate interest of the data controller or a third party recipient of the data; as well as (ii) to indicate any other possible measure, methodology, or precaution necessary to carry out the aforementioned transmission as quickly as possible. Pending the opinion of the aforementioned Guarantor, within three months from the request, NI will nonetheless proceed to request consent from the AIEs.</w:t>
      </w:r>
    </w:p>
    <w:p>
      <w:r>
        <w:t>58. Such privacy guarantee procedures for the AIEs do not, in any case, hinder the immediate effectiveness of the measure concerning all other information in NI's archive (title of the musical/audiovisual work, identification code, primary and secondary performers, year of publication), for which no consent from the AIE is required and which, therefore, will be made fully accessible to all collecting societies immediately, both in the context of the free license referred to in point 1 and in that of the onerous license referred to in point 3 of Commitment No. 4.</w:t>
      </w:r>
    </w:p>
    <w:p>
      <w:r>
        <w:t>BULLETIN NO. 13 OF APRIL 10, 2017 19</w:t>
      </w:r>
    </w:p>
    <w:p>
      <w:r>
        <w:t>59. It is then believed that Commitment No. 5 regarding the distribution of the residual active – including any database – of the liquidation of the old Institute referred to in Article 7 of Decree-Law No. 64 of April 30, 2010, converted into law, with amendments, by Article 1, paragraph 1, of Law No. 100 of June 29, 2010, is a measure consistent with the regulatory framework in force. The Party, in fact, during the process of redefining the essential regulatory aspects of the sector that will follow the entry into force of the Legislative Decree implementing Directive No. 2014/26/EU (including the repeal of Article 7, cited), the text of which was adopted by the Council of Ministers on March 3, 2017, has proposed promoting the establishment of a technical table with the competent authorities, with the aim of reaching the transfer of the residual active to all Authorized Intermediaries, pro rata, based on the representativeness of each of them. If the IMAIE I.L. database were transferred to NI, in any case, the Commitment provides for the sharing of the asset with other collecting societies (Commitment No. 5.3).</w:t>
      </w:r>
    </w:p>
    <w:p>
      <w:r>
        <w:t>60. Regarding the alleged exclusionary conduct in the signing and implementation of agreements with foreign collecting societies (paragraphs 50, 51, and 52 of the initiation provision), Commitments No. 6, 7, and 8 appear overall suitable to make the indirect markets of intermediation and management of rights related to copyright on behalf of foreign collecting societies contestable. The Commitments concern, in fact, not only the contracts concluded during the accreditation of other operators (Commitment No. 6) but also other existing bilateral agreements (Commitment No. 7) and the contracts that NUOVOIMAIE will sign in the future (Commitment No. 8), in order to make it possible for new entrants to propose services for collecting Italian fees to foreign collecting societies.</w:t>
      </w:r>
    </w:p>
    <w:p>
      <w:r>
        <w:t>61. More specifically, with Commitment No. 6 concerning the agreements signed by NI during the period from the publication of the liberalization decree to that of the Prime Minister's Decree on minimum requirements (i.e., between January 24, 2012, and March 11, 2013), NI grants its negotiating counterparts the right to withdraw with a mere 30-day notice, thus allowing them to accept alternative proposals to those of NI, should an offer from a competing collecting society prove more advantageous. The Commitment, therefore, immediately makes the contracts in question contestable.</w:t>
      </w:r>
    </w:p>
    <w:p>
      <w:r>
        <w:t>62. For the remaining contracts, namely those concluded after the publication of the Prime Minister's Decree on minimum requirements and, therefore, when the accreditation of competitors was possible (Commitment No. 7), moreover, NI commits to making known the existence of all other accredited collecting societies, thus providing the link to the website through which they can be contacted: in this way, foreign collecting societies can have full knowledge of the presence of other operators competing with NI, to whom they can potentially request the provision of collection and management services for fees in Italy. Therefore, although they are reciprocal multi-year contracts, considering that, after the initial validity period (generally two or three years), it is always possible to terminate the contract with a notice of 3-6 months, the proposed measure appears suitable to increase the degree of contestability of this set of contracts.</w:t>
      </w:r>
    </w:p>
    <w:p>
      <w:r>
        <w:t>63. The pro-competitive effect of Commitments No. 6 and 7 is further strengthened by Commitment No. 8, with which NI undertakes to enter into only annual agreements with renewal clauses in the future that require the written expression of the will of both contracting parties, so as not to make the renewal of the agreements automatic from year to year and to give competitors, at regular intervals, the opportunity to present alternative offers.</w:t>
      </w:r>
    </w:p>
    <w:p>
      <w:r>
        <w:t>64. Regarding foreign agreements, more generally, it should be noted that, first of all, the contractual modalities employed by NI coincide with industry standards agreed upon by collecting societies in SCAPR, the global organization to which all intermediaries of related rights belong, including Itsright and Artisti7607; moreover, there have been cases of termination of existing contracts with NI in favor of competing collecting societies (for example, in music, the contracts of Itsright with the Spanish collecting society AIE and with the American AARC). This, on the one hand, confirms the consistency of the contractual format with the Commitments offered by NI; on the other hand, it demonstrates that the Commitments fit into and strengthen an already contestable market context.</w:t>
      </w:r>
    </w:p>
    <w:p>
      <w:r>
        <w:t>65. Regarding the allegedly exclusionary conduct in the signing and implementation of fair compensation agreements with Italian users (paragraphs 53, 54, 55, and 56 of the initiation provision), it is believed that Commitments No. 9, 10, 11, and 12 can respond to the observations raised by the Authority and constitute a valid mechanism to unblock the stalemate in negotiations between collecting societies and users that has arisen in the relevant markets. In particular, it emerges from the proceedings that NI has collected amounts in the interest of the entire category after the liberalization of the market and the accreditation of competitors only concerning Sky and Fox and for a limited period of eight months (November 1, 2013 – June 30, 2014). These fees represent less than 5% of the fair compensation rights collected by NI for the audiovisual sector in the reference years. With Commitment No. 9, therefore, the Party has declared its willingness to return, through arbitration, the amounts collected and not yet distributed even to its associates, without retaining any interest or commission (the so-called agio). The Commitment, therefore, allows competitors to quickly distribute these fees to their mandators without granting any competitive advantage to NI.</w:t>
      </w:r>
    </w:p>
    <w:p>
      <w:r>
        <w:t>66. The remaining contracts with national users, on the other hand, concern only the AIE mandators of NI. The latter Institute has also signed the agreement with AICA and Federalberghi for its only mandators: this agreement, in any case, is sui generis because it concerns fair compensation for the use of television devices in hotel rooms – for which a calculation of compensation based on the actual use of the works would be random, and therefore a flat-rate fair compensation would be necessary. It is therefore believed that Commitment No. 10, with which NI undertakes to withdraw from the contract at the first available expiration and negotiate a new one according to an "objective" criterion, is sufficient to reintroduce the other collecting societies into the game, allowing them to start negotiations anew with AICA and Federalberghi, without existing agreements of NI conditioning the negotiations of new entrants in the relevant markets.</w:t>
      </w:r>
    </w:p>
    <w:p>
      <w:r>
        <w:t>67. Regarding future relationships with users, moreover, Commitment No. 11.2, through the establishment of a working group involving collecting societies, users, and competent public authorities, can contribute to finding a solution to the stalemate in negotiations with users caused by technical issues, including the presence of double mandates, the lack of clarity on the start and end date of each mandate, the lack of uniformity in the reporting transmitted by users to collecting societies, as well as the forms of use of the amounts due to stateless and unidentified AIEs in favor of the entire category.</w:t>
      </w:r>
    </w:p>
    <w:p>
      <w:r>
        <w:rPr>
          <w:b/>
        </w:rPr>
        <w:t>[Pages 19–21]</w:t>
      </w:r>
    </w:p>
    <w:p>
      <w:r>
        <w:t>BULLETIN NO. 13 OF APRIL 10, 2017 21</w:t>
      </w:r>
    </w:p>
    <w:p>
      <w:r>
        <w:t>68. Finally, the measures proposed regarding the competitive procedure initiated by RAI (Commitment No. 12) appear suitable to allow the public broadcaster to fulfill its legal obligations, while at the same time making it autonomous from NI's services for the reporting of the so-called issued (i.e., the report of the works broadcast in its schedules that must be communicated by law to the SGC). In fact, the license granted to RAI – under FRAND conditions to be negotiated between the Parties – allows it to access NI's database both through its internal offices and through a third party freely designated by it; moreover, it provides for the broadest methods of consultation and use of the data with all necessary search functions (automatically, through search keys, with specific or bulk searches), in addition to the downloading of data relating to primary AIEs (and primary dubbing artists) and secondary ones. The measure, therefore, is capable of facilitating an easy and swift distribution among all SGCs of the amounts due to their respective AIEs by one of the main national users.</w:t>
      </w:r>
    </w:p>
    <w:p>
      <w:r>
        <w:t>VIII. CONCLUSIONS</w:t>
      </w:r>
    </w:p>
    <w:p>
      <w:r>
        <w:t>69. In light of the above, the Commitments presented by NUOVOIMAIE appear suitable to eliminate the anticompetitive profiles subject to the investigation. They also seem capable of restoring the existing competitive dynamics in the affected markets, encouraging competition among companies aimed at providing the full range of services necessary to compete – including in the collection of fees on behalf of foreign collecting societies – and, at the same time, reactivating negotiations with users of the works for the benefit of the artists.</w:t>
      </w:r>
    </w:p>
    <w:p>
      <w:r>
        <w:t>CONSIDERING, therefore, that the Commitments presented by NUOVOIMAIE are suitable to eliminate the anticompetitive profiles subject to the investigation;</w:t>
      </w:r>
    </w:p>
    <w:p>
      <w:r>
        <w:t>CONSIDERING to order the mandatory nature of the Commitments presented by NUOVOIMAIE pursuant to Article 14-ter, paragraph 1, of Law No. 287/90;</w:t>
      </w:r>
    </w:p>
    <w:p>
      <w:r>
        <w:t>all of the above having been stated and considered:</w:t>
      </w:r>
    </w:p>
    <w:p>
      <w:r>
        <w:t>RESOLVES</w:t>
      </w:r>
    </w:p>
    <w:p>
      <w:r>
        <w:t>a) to make the Commitments presented by NUOVOIMAIE mandatory, pursuant to Article 14-ter, paragraph 1, of Law No. 287/90, in the terms described above and attached to this provision, which are an integral part thereof;</w:t>
      </w:r>
    </w:p>
    <w:p>
      <w:r>
        <w:t>b) to close the proceeding without establishing the infringement, pursuant to Article 14-ter, paragraph 1, of Law No. 287/90;</w:t>
      </w:r>
    </w:p>
    <w:p>
      <w:r>
        <w:t>c) that NUOVOIMAIE shall present to the Authority, within one hundred twenty days from the notification of this provision, an initial report on the status of implementation of the Commitments undertaken;</w:t>
      </w:r>
    </w:p>
    <w:p>
      <w:r>
        <w:t>22 BULLETIN NO. 13 OF APRIL 10, 2017</w:t>
      </w:r>
    </w:p>
    <w:p>
      <w:r>
        <w:t>d) that NUOVOIMAIE shall present to the Authority, for the three years following the submission of the first report, an annual report that allows for the verification of the correct implementation of the Commitments undertaken.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twenty days from the date of notification of the provision itself.</w:t>
      </w:r>
    </w:p>
    <w:p>
      <w:r>
        <w:t>THE SECRETARY GENERAL THE PRESIDENT</w:t>
      </w:r>
    </w:p>
    <w:p>
      <w:r>
        <w:t>Roberto Chieppa Giovanni Pitruzzella</w:t>
      </w:r>
    </w:p>
    <w:p>
      <w:r>
        <w:t>BULLETIN NO. 13 OF APRIL 10, 2017 23</w:t>
      </w:r>
    </w:p>
    <w:p>
      <w:r>
        <w:t>A503 - EDITORIAL INITIATIVES COMPANY/PRESS REVIEW SERVICES IN THE PROVINCE OF TRENTO</w:t>
      </w:r>
    </w:p>
    <w:p>
      <w:r>
        <w:t>Provision No. 26498</w:t>
      </w:r>
    </w:p>
    <w:p>
      <w:r>
        <w:t>THE COMPETITION AND MARKET AUTHORITY</w:t>
      </w:r>
    </w:p>
    <w:p>
      <w:r>
        <w:t>IN ITS MEETING of March 22, 2017;</w:t>
      </w:r>
    </w:p>
    <w:p>
      <w:r>
        <w:t>HEARD the Rapporteur Dr. Gabriella Muscolo;</w:t>
      </w:r>
    </w:p>
    <w:p>
      <w:r>
        <w:t>HAVING REGARD to Law No. 287 of October 10, 1990, and, in particular, Article 14-bis;</w:t>
      </w:r>
    </w:p>
    <w:p>
      <w:r>
        <w:t>HAVING REGARD to the D.P.R. No. 217 of April 30, 1998;</w:t>
      </w:r>
    </w:p>
    <w:p>
      <w:r>
        <w:t>HAVING REGARD to the Authority's Communication regarding the application of Article 14-bis of Law No. 287/90;</w:t>
      </w:r>
    </w:p>
    <w:p>
      <w:r>
        <w:t>HAVING REGARD to the report from the company Euregio S.r.l. GmbH, received on November 29, 2016, and last supplemented on December 6, 2016;</w:t>
      </w:r>
    </w:p>
    <w:p>
      <w:r>
        <w:t>HAVING REGARD to its resolution of December 21, 2016, which initiated an investigation procedure, pursuant to Articles 14 and 14-bis of Law No. 287/90, against the companies S.I.E. S.p.A. – Editorial Initiatives Company to ascertain the existence of a violation of Article 3 of Law No. 287/90;</w:t>
      </w:r>
    </w:p>
    <w:p>
      <w:r>
        <w:t>HAVING REGARD to its resolution of February 7, 2017, which ordered the following:</w:t>
      </w:r>
    </w:p>
    <w:p>
      <w:r>
        <w:t>a) the company S.I.E. S.p.A. – Editorial Initiatives Company shall promptly grant licenses aimed at conferring the right to include in the press reviews of operators who request it the contents of the publication L’Adige under FRAND conditions, that is, fair, reasonable, and non-discriminatory, taking into account the issues raised in this provision regarding the criticalities of the conditions proposed by S.I.E. S.p.A. – Editorial Initiatives Company as well as market practices and conditions;</w:t>
      </w:r>
    </w:p>
    <w:p>
      <w:r>
        <w:t>b) the granting of the press review rights license must occur within fifteen days from the request specifically made by the press review service operator. Given that the notifier has already made the license request, the fifteen-day period for granting the license in favor of Euregio starts from the notification of this provision;</w:t>
      </w:r>
    </w:p>
    <w:p>
      <w:r>
        <w:t>c) within twenty days from the notification of this provision, S.I.E. S.p.A. – Editorial Initiatives Company must send a detailed report on the activities carried out to comply with this resolution, attaching, among other things, the signed license agreements or drafts thereof. In the event of a lack of agreement between SIE and the press review service operator regarding the economic conditions of the license, the Authority reserves the right to determine the conditions for granting it in compliance with the principles of fairness, reasonableness, and non-discrimination.</w:t>
      </w:r>
    </w:p>
    <w:p>
      <w:r>
        <w:t>HAVING REGARD to the compliance report sent by S.I.E. S.p.A. on March 1, 2017, pursuant to letter c) of the resolution of February 7, 2017, and subsequently supplemented on March 9 and 13, 2017, from which it appears that S.I.E. S.p.A. and Euregio S.r.l. GmbH have not reached an agreement on the conditions for granting the press review rights license for L’Adige under the terms provided by the aforementioned resolution;</w:t>
      </w:r>
    </w:p>
    <w:p>
      <w:r>
        <w:rPr>
          <w:b/>
        </w:rPr>
        <w:t>[Pages 22–24]</w:t>
      </w:r>
    </w:p>
    <w:p>
      <w:r>
        <w:t>24 BULLETIN NO. 13 OF APRIL 10, 2017</w:t>
      </w:r>
    </w:p>
    <w:p>
      <w:r>
        <w:t>CONSIDERED, therefore, that due to the failure to reach an agreement and the persistent precautionary needs, the Authority must itself determine the conditions for granting the license in compliance with the principles of fairness, reasonableness, and non-discrimination as established in letter c) of the resolution of February 7, 2017, using for this purpose the evidence on record at this stage of the proceedings;</w:t>
      </w:r>
    </w:p>
    <w:p>
      <w:r>
        <w:t>CONSIDERED that the economic conditions of the license proposed by S.I.E. S.p.A. to Euregio S.r.l. GmbH do not correspond to market practice as they are the result of the overlap of different mechanisms for valuing the input that, in the market experiences brought to the attention of the Authority, have never been used cumulatively;</w:t>
      </w:r>
    </w:p>
    <w:p>
      <w:r>
        <w:t>CONSIDERED, furthermore, that the contractual models referenced by S.I.E. S.p.A. concern (i) a method of acquiring the input in digital format, optional and not mandatory in practice, which does not regulate the terms of the license for the use of content for press review, for which reference is made to the ARS license of Promopress; (ii) the granting of a so-called "business" license intended for companies that wish to create or have created press reviews intended for internal users and/or disseminate part of them on their website using content from all the publications adhering to Promopress;</w:t>
      </w:r>
    </w:p>
    <w:p>
      <w:r>
        <w:t>CONSIDERED, also, that (a) in relation to the contractual model under (i), no evidence has been provided that it has been concretely signed by press review operators, and the findings on record indicate that in common practice the acquisition of the input in digital format is granted following the subscription of a single digital subscription for each publication; and that (b) in relation to the model under (ii), S.I.E. S.p.A. itself notes that this model has never been used but only proposed by Promopress to the adhering publishers;</w:t>
      </w:r>
    </w:p>
    <w:p>
      <w:r>
        <w:t>CONSIDERED, from a different perspective, that the need expressed by S.I.E. S.p.A. regarding the necessity to verify compliance with the usage limits of the content provided by the potential license granted to press review operators appears worthy of contractual protection, provided that it does not harm the operational autonomy and confidentiality of the commercial and industrial data of the press review operators;</w:t>
      </w:r>
    </w:p>
    <w:p>
      <w:r>
        <w:t>CONSIDERED, finally, that the findings on record highlight that currently the only contractual experience that can be defined as consolidated in the reference market regarding the terms of granting the license for press review rights is represented by the Promopress model due to the common acceptance of the conditions provided therein by a representative part of the reference market from both the publishers' side and the press review operators' side;</w:t>
      </w:r>
    </w:p>
    <w:p>
      <w:r>
        <w:t>CONSIDERED that the application of the Promopress system to the case at hand requires its adjustment due to the bilateral nature of the relationship between S.I.E. S.p.A. and the individual press review operators requesting the license for the content of L’Adige;</w:t>
      </w:r>
    </w:p>
    <w:p>
      <w:r>
        <w:t>BULLETIN NO. 13 OF APRIL 10, 2017 25</w:t>
      </w:r>
    </w:p>
    <w:p>
      <w:r>
        <w:t>RESOLUTION</w:t>
      </w:r>
    </w:p>
    <w:p>
      <w:r>
        <w:t>a) that S.I.E. S.p.A. grants the license for the press review rights of L’Adige to Euregio S.r.l. GmbH, as well as to any other operator that requests it, under the conditions in force within the Promopress system, with particular reference to the content of Articles 2, 5, and 7 of the General Conditions of Contract of the ARS License, using as an economic parameter the same percentage of annual turnover recognized by press review operators to Promopress (currently 8%), calculating the fee in a manner proportional to the incidence of articles taken from L’Adige compared to the total number of articles reviewed by the requesting operator. In order to calculate the aforementioned fee, the requesting operators must transmit within thirty days from the end of each quarter, both to S.I.E. and to the Authority, a report containing the following information: 1) turnover generated from press review; 2) total number of articles included in the press reviews; 3) number of articles included in the press reviews coming from L’Adige. Payment of the fees must occur within thirty days from the transmission of the aforementioned report.</w:t>
      </w:r>
    </w:p>
    <w:p>
      <w:r>
        <w:t>b) the checks by S.I.E. S.p.A. on the veracity of the data transmitted quarterly by the press review operators must be agreed upon between the parties and, if no agreement is reached, entrusted to a third and independent party chosen by mutual agreement between the parties, and whose compensation will be equally shared among them;</w:t>
      </w:r>
    </w:p>
    <w:p>
      <w:r>
        <w:t>c) the above license must be granted within five days from the request. In the case of the notifier, the five-day term starts from the notification of this provision. The licenses issued in execution of this precautionary measure will be effective until the date of notification of the closure provision of the A503 procedure to S.I.E. S.p.A.;</w:t>
      </w:r>
    </w:p>
    <w:p>
      <w:r>
        <w:t>d) for any dispute arising between the parties regarding the licenses issued in execution of this precautionary measure, the Court of Trento shall have jurisdiction;</w:t>
      </w:r>
    </w:p>
    <w:p>
      <w:r>
        <w:t>e) S.I.E. S.p.A. may require the licensed operators to subscribe to a single annual digital subscription for the transmission of content in digital format under the economic conditions in force at the date of notification of this provision.</w:t>
      </w:r>
    </w:p>
    <w:p>
      <w:r>
        <w:t>This provision will be notified to the interested parties and published in the Bulletin of the Competition and Market Authority.</w:t>
      </w:r>
    </w:p>
    <w:p>
      <w:r>
        <w:t>26 BULLETIN NO. 13 OF APRIL 10, 2017</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or an extraordinary appeal may be proposed to the President of the Republic, pursuant to Article 8, paragraph 2,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rPr>
          <w:b/>
        </w:rPr>
        <w:t>[Pages 25–27]</w:t>
      </w:r>
    </w:p>
    <w:p>
      <w:r>
        <w:t>BULLETIN NO. 13 OF APRIL 10, 2017 27</w:t>
      </w:r>
    </w:p>
    <w:p>
      <w:r>
        <w:t>REPORTING AND CONSULTATIVE ACTIVITIES</w:t>
      </w:r>
    </w:p>
    <w:p>
      <w:r>
        <w:t>AS1362 - DISSEMINATION AND PUBLICATION OF DATA CONCERNING WORK PERFORMED UNDER TEMPORARY EMPLOYMENT</w:t>
      </w:r>
    </w:p>
    <w:p>
      <w:r>
        <w:t>Rome, February 2, 2017</w:t>
      </w:r>
    </w:p>
    <w:p>
      <w:r>
        <w:t>Ministry of Labor and Social Policies</w:t>
      </w:r>
    </w:p>
    <w:p>
      <w:r>
        <w:t>Directorate General for Active Policies, Employment Services, and Training</w:t>
      </w:r>
    </w:p>
    <w:p>
      <w:r>
        <w:t>With reference to the request for an opinion submitted by this administration, concerning the competitive implications related to the publication, by the Forma.Temp fund, of certain types of data provided by temporary employment agencies potentially indicative of sector dynamics, the Italian Competition Authority, in the exercise of the powers under Article 22 of the Law of October 10, 1990, No. 287, in its meeting of January 25, 2017, noted the following.</w:t>
      </w:r>
    </w:p>
    <w:p>
      <w:r>
        <w:t>Preliminarily, it is represented that Forma.Temp (hereinafter also referred to as "Fund") is a bilateral fund for training and income support for temporary workers, established by law pursuant to Article 12, paragraph 4, Legislative Decree No. 276 of September 10, 2003, constituted in the form of a non-profit association with legal personality and authorized by ministerial decree of the Ministry of Labor and Social Policies, which oversees it. The Fund's members are the two representative associations of temporary employment agencies, the Trade Union Organizations of temporary workers, and the three Trade Union Confederations.</w:t>
      </w:r>
    </w:p>
    <w:p>
      <w:r>
        <w:t>The Ministry requesting the opinion highlights that the Fund would find it useful to disseminate, also through the association's website, certain data it possesses by virtue of its institutional purposes, for the benefit of its members and the entire temporary employment sector as well as for its own and/or third-party analyses, studies, and research. Specifically, the Fund intends to publish monthly, also through its website, "aggregated and analytical data relating to the number of workers hired during the period for the different contractual types of the National Collective Labor Agreement for temporary employment as well as the total wages paid in relation to the hours worked."</w:t>
      </w:r>
    </w:p>
    <w:p>
      <w:r>
        <w:t>In this regard, it is useful to emphasize how the data that the Fund intends to disseminate is of competitive relevance, constituting cost elements considered by sector operators to define the value of the services offered in the temporary employment market. This is confirmed by the same administration in question, which, in the request for an opinion, highlights the following: "data on wages constitute the basis for temporary employment agencies to determine the value of the services they invoice to client companies, that is, the user companies where the worker will perform their service in temporary employment. However, these wage data are not coincident either in absolute value or in percentage terms with the amount of the value of the services that are invoiced to client companies, which are strongly influenced by the commercial policies, related to the loading of costs and margins, defined by each Temporary Employment Agency."</w:t>
      </w:r>
    </w:p>
    <w:p>
      <w:r>
        <w:t>Thus reconstructed the legal and factual framework that underlies the request for the opinion in question, it is deemed appropriate to recall the consolidated orientations of the Authority on the dissemination of data with competitive implications.</w:t>
      </w:r>
    </w:p>
    <w:p>
      <w:r>
        <w:t>In this regard, the Authority has repeatedly reiterated that the criteria for assessing the sensitivity of business data and the propensity of sensitive information to impact competition among businesses depend on various factors, among which can be included: the nature of the information collected, the historical nature of the data, the frequency of detection and publication of the same, as well as the level of aggregation of the data and the level of market coverage.</w:t>
      </w:r>
    </w:p>
    <w:p>
      <w:r>
        <w:t>In particular, in the indicated rulings, the Authority has highlighted how the publication of data in aggregated form to the public and to all market operators cannot in itself be considered in conflict with the regulations protecting competition among businesses, provided that the temporal frequency of detection appears suitable for the dissemination of data of a historical nature, making it more difficult to trace back to the business policies of the operators concerned.</w:t>
      </w:r>
    </w:p>
    <w:p>
      <w:r>
        <w:t>Finally, the information conveyed must in any case not contain specific indications of competitive relevance on individual commercial behaviors.</w:t>
      </w:r>
    </w:p>
    <w:p>
      <w:r>
        <w:t>Applying the aforementioned interpretative indications to the case at hand, the dissemination of the data proposed by the administration in question may be considered compliant with antitrust regulations when it is carried out with a level of aggregation of the conveyed information and a frequency of publication such as to prevent data users from reconstructing, even approximately, the amount of the most recent individual wages paid by each agency to their respective temporary workers.</w:t>
      </w:r>
    </w:p>
    <w:p>
      <w:r>
        <w:t>In this sense, a level of aggregation that summarizes in a single figure the total wages paid by all the concerned agencies, although distinguished by the contractual types contemplated by the relevant National Collective Labor Agreement, can be considered adequate. As for the temporal frequency of dissemination, in order to ensure the historical nature of the disseminated information, it is deemed preferable that it coincides with a period longer than one month, normally not less than one year, in any case determined taking into account the peculiarities of the dynamics of the relevant sector.</w:t>
      </w:r>
    </w:p>
    <w:p>
      <w:r>
        <w:t>The Authority invites communication, within a period of 45 days from the receipt of this opinion, of the determinations made regarding what has been highlighted in this opinion.</w:t>
      </w:r>
    </w:p>
    <w:p>
      <w:r>
        <w:t>1 See, for example: provision No. 12426 of September 18, 2003 (case I366B) Italian Music Industry Federation; provision No. 7003 of March 26, 1999 (case I366) Italian Music Industry Federation; provision No. 13622 of September 30, 2004 (case I575) Ras-Generali/Iama Consulting; provision No. 19562 of February 25, 2009 (case I694) Price list of pasta; AS713 of June 10, 2010 (opinion pursuant to Article 22 Law 287/90 rendered to the Province of Florence). See also the Guidelines of the European Commission on the applicability of Article 101 of the Treaty on the Functioning of the European Union to horizontal cooperation agreements (Official Journal of the EU C 11 of January 14, 2011).</w:t>
      </w:r>
    </w:p>
    <w:p>
      <w:r>
        <w:t>BULLETIN NO. 13 OF APRIL 10, 2017 29</w:t>
      </w:r>
    </w:p>
    <w:p>
      <w:r>
        <w:t>This opinion will be published in the bulletin referred to in Article 26 of Law No. 287/90. Any confidentiality needs must be communicated to the authority within thirty days from the receipt of this, specifying the reasons.</w:t>
      </w:r>
    </w:p>
    <w:p>
      <w:r>
        <w:t>f.f. THE PRESIDENT</w:t>
      </w:r>
    </w:p>
    <w:p>
      <w:r>
        <w:t>Gabriella Muscolo</w:t>
      </w:r>
    </w:p>
    <w:p>
      <w:r>
        <w:rPr>
          <w:b/>
        </w:rPr>
        <w:t>[Pages 28–30]</w:t>
      </w:r>
    </w:p>
    <w:p>
      <w:r>
        <w:t>30 BULLETIN NO. 13 OF APRIL 10, 2017</w:t>
      </w:r>
    </w:p>
    <w:p>
      <w:r>
        <w:t>AS1363 - MUNICIPALITY OF FOSSANO (CN) - EXTENSION OF THE MANAGEMENT CONCESSION FOR MUNICIPAL SPORTS FACILITIES</w:t>
      </w:r>
    </w:p>
    <w:p>
      <w:r>
        <w:t>Rome, February 16, 2017</w:t>
      </w:r>
    </w:p>
    <w:p>
      <w:r>
        <w:t>Municipality of Fossano</w:t>
      </w:r>
    </w:p>
    <w:p>
      <w:r>
        <w:t>The Authority, in its meeting of February 14, 2017, following the request for an opinion from this Municipality and a report received, has deemed it appropriate to make, pursuant to Article 22 of Law No. 287/90, the following considerations regarding the legitimacy of the measures extending the management concessions for municipal sports facilities and the provisions of the local authority's regulations that underpin these extensions.</w:t>
      </w:r>
    </w:p>
    <w:p>
      <w:r>
        <w:t>In particular, the Municipality of Fossano approved, with resolution of the Municipal Council No. 18/2013, a specific regulation aimed at governing the use and management of sports facilities located in the municipal territory in compliance with Article 90, paragraph 25, of Law No. 289/2002 (Financial Law 2003)1. The regulatory framework provides that the management of the facilities is to be carried out through the legal instrument of service concession, to be awarded in compliance with Article 30 of Legislative Decree No. 163/2006 (previous public contracts code). The aforementioned regulation sets specific provisions regarding the duration of the concession contract and its possible extension, stating, for the purposes of this opinion, that "the duration of the concession is, as a rule, from six months to three years" and that "if the concessionaire commits to agree with the grantor to carry out extraordinary and improvement maintenance interventions at their own expense on the entrusted facility, the concession may be granted or extended for a longer period, however not exceeding twenty years, in relation to the program and the amount of the planned investments."</w:t>
      </w:r>
    </w:p>
    <w:p>
      <w:r>
        <w:t>Based on the referenced regulation, the Municipality of Fossano has announced two public procedures pursuant to Articles 30 and 83 of Legislative Decree No. 163/2006, for the awarding of the management concession for the Municipal Stadium and the Sports Village. Following these tender procedures, the respective concessions were signed for a duration of three years (Municipal Stadium) and two years (Sports Village).</w:t>
      </w:r>
    </w:p>
    <w:p>
      <w:r>
        <w:t>1 Provision that reads: "For the purposes of achieving the objectives referred to in Article 29 of this law, in cases where the local public authority does not intend to directly manage sports facilities, management is preferentially entrusted to sports clubs and associations, sports promotion bodies, associated sports disciplines, and national sports federations, based on agreements that establish the usage criteria and prior determination of general criteria and objectives for identifying the awarding entities. The regions regulate, with their own law, the methods of awarding."</w:t>
      </w:r>
    </w:p>
    <w:p>
      <w:r>
        <w:t>BULLETIN NO. 13 OF APRIL 10, 2017 31</w:t>
      </w:r>
    </w:p>
    <w:p>
      <w:r>
        <w:t>The extension of the agreement concerning the management of the Sports Village was enacted by a resolution of the municipal council on December 29, 2015, in order to allow the concessionaire to carry out, at their own expense, improvements to the sanitary and technological services of certain portions of the sports facility for a planned expenditure of €15,323.93 plus VAT. The deadline for the works was set for September 15, 2016, while the duration of the approved extension is three years (from January 2016 to December 2018).</w:t>
      </w:r>
    </w:p>
    <w:p>
      <w:r>
        <w:t>Regarding the Municipal Stadium, with a council resolution dated December 20, 2016, the Municipality of Fossano approved, at the request of the concessionaire and pursuant to the referenced council regulation, the extension of the related concession for an additional five years, in order to allow the concessionaire to make an improvement investment in the structure at their own expense for a value of €31,000 plus VAT, with the deadline for the execution of the works set for June 30, 2017. In the same council resolution, an increase in the concession fee payable by the concessionaire was defined due to management savings resulting from reduced ordinary maintenance interventions and increased revenues from a projected higher usage.</w:t>
      </w:r>
    </w:p>
    <w:p>
      <w:r>
        <w:t>In general terms, it is useful to highlight how the case under examination falls within the framework of the regulation of public service concessions2. Consequently, the rules of public evidence regarding the awarding of service concessions3 contained, initially, in the previous Article 30 of Legislative Decree No. 163/2006 and, subsequently, in Articles 164 et seq. of the current Legislative Decree No. 50/2016, which incorporates, among other things, Directive 2014/23/EU on the awarding of concession contracts, are applicable to such awards.</w:t>
      </w:r>
    </w:p>
    <w:p>
      <w:r>
        <w:t>In light of the regulatory and jurisprudential framework outlined, the aforementioned provision of Article 90, paragraph 25, of Law No. 289/2002 (Financial Law 2003) must also be read, which, while showing the legislator's favor for entrusting the management of sports facilities to entities operating in the sports sector, nonetheless presupposes that the related awarding occurs based on a public evidence procedure according to the indications of the European and national legislator4.</w:t>
      </w:r>
    </w:p>
    <w:p>
      <w:r>
        <w:t>In line with the indicated interpretative coordinates, the Authority has consistently stated that the possibility of extending the awards for local public service concessions of economic relevance beyond the terms set in the original awarding procedure should represent a completely exceptional and temporally limited circumstance, due to its potentially contrary impact on the principles of free competition, equal treatment, and non-discrimination5. Specifically, in this case, the duration of the extension should not exceed the time necessary for the concessionaire to recover their investments and to achieve a return on the invested capital, taking into account the necessary investments to achieve the specific contractual objectives as resulting from the economic-financial plan.</w:t>
      </w:r>
    </w:p>
    <w:p>
      <w:r>
        <w:t>Given this consideration, it is noted that the measure extending the management concession of the Municipal Stadium does not comply with the principles outlined above, in relation to the excessive duration of the extension, set at five years, in light of an additional investment of only €31,000 plus VAT, for works to be completed in approximately six months. This is also considering that the extension granted is for a time period significantly longer than the original duration of the concession (from the original three years to a total duration of eight years).</w:t>
      </w:r>
    </w:p>
    <w:p>
      <w:r>
        <w:t>The resolution extending the management concession of the Sports Village also does not seem to align with the outlined interpretative coordinates, having provided for an extension of the concession relationship by three years (compared to the two years of the original concession) for works involving an additional investment of only €15,323.93 plus VAT to be carried out in approximately nine months. Moreover, from the related council resolution, it appears that the duration of the extension was set considering the amount of the concession fee payable by the awarded operator and not the estimate of the total revenue generated from the management of the sports facility.</w:t>
      </w:r>
    </w:p>
    <w:p>
      <w:r>
        <w:t>Nor can any specific legitimizing value be attributed, in relation to the case under examination, to the asserted high amount of the fee payable by the concessionaire. The application of public evidence procedures, in fact, is aimed not only at controlling and reducing public expenditure but also, and above all, at ensuring full contestability of the market and equal treatment of all interested economic operators. In this sense, the excessive extension of a public service concession, regardless of the asserted lower burden (or potential greater advantage) for the granting administration, in any case produces the effect of closing the market to competition and thereby frustrates one of the objectives of the referenced regulations on the awarding of public contracts. Furthermore, in the absence of real competitive comparison, it is not even possible to concretely and correctly assess the greater convenience of the new fee agreed upon following the extension, compared to what could potentially be found in the interested market, also taking into account the quality of the service offered.</w:t>
      </w:r>
    </w:p>
    <w:p>
      <w:r>
        <w:t>Lastly, in line with the indications provided thus far, the local authority addressed is reminded of the necessity to amend the aforementioned municipal regulation on the use and management of sports facilities adopted with council resolution No. 18/2013 – on the basis of which the concessions in question and the related extensions were arranged – in order to align its provisions with the current regulations on the awarding, duration, and extension of service concessions contained in Legislative Decree No. 50/2016.</w:t>
      </w:r>
    </w:p>
    <w:p>
      <w:r>
        <w:t>The Authority invites communication, within a period of forty-five days from the receipt of this opinion, of the determinations made regarding the points highlighted in this opinion.</w:t>
      </w:r>
    </w:p>
    <w:p>
      <w:r>
        <w:t>5 See, among the most recent, report AS1314, Municipality of Casalpusterlengo (LO) – awarding of local public services of economic relevance; report AS888, Municipality of Albenga (SV) - management of the municipal civic aqueduct.</w:t>
      </w:r>
    </w:p>
    <w:p>
      <w:r>
        <w:rPr>
          <w:b/>
        </w:rPr>
        <w:t>[Pages 31–33]</w:t>
      </w:r>
    </w:p>
    <w:p>
      <w:r>
        <w:t>BULLETIN NO. 13 OF APRIL 10, 2017 33</w:t>
      </w:r>
    </w:p>
    <w:p>
      <w:r>
        <w:t>This opinion will be published in the Bulletin referred to in Article 26 of Law No. 287/1990. Any confidentiality requirements must be communicated to the Authority within thirty days of receipt of this document, specifying the reasons.</w:t>
      </w:r>
    </w:p>
    <w:p>
      <w:r>
        <w:t>THE PRESIDENT</w:t>
      </w:r>
    </w:p>
    <w:p>
      <w:r>
        <w:t>Giovanni Pitruzzella</w:t>
      </w:r>
    </w:p>
    <w:p>
      <w:r>
        <w:t>34 BULLETIN NO. 13 OF APRIL 10, 2017</w:t>
      </w:r>
    </w:p>
    <w:p>
      <w:r>
        <w:t>AS1364 - REGION OF SARDINIA - MODALITIES FOR IN-HOUSE ASSIGNMENT OF THE INTEGRATED WATER SERVICE TO ABBANOA S.P.A.</w:t>
      </w:r>
    </w:p>
    <w:p>
      <w:r>
        <w:t>Rome, February 23, 2017</w:t>
      </w:r>
    </w:p>
    <w:p>
      <w:r>
        <w:t>Region of Sardinia</w:t>
      </w:r>
    </w:p>
    <w:p>
      <w:r>
        <w:t>Egas S.p.A.</w:t>
      </w:r>
    </w:p>
    <w:p>
      <w:r>
        <w:t>Abbanoa S.p.A.</w:t>
      </w:r>
    </w:p>
    <w:p>
      <w:r>
        <w:t>In exercising the advisory power under Articles 21 and 22 of Law No. 287 of October 10, 1990, in its meeting of February 7, 2017, the Italian Competition Authority intended to highlight the competitive criticalities arising from possible legitimacy issues regarding the in-house assignment by EGAS (Authority for the Optimal Territorial Area of Sardinia, previously the Sardinia Area Authority - AATO)1 to the company ABBANOA S.p.A. (hereinafter, Abbanoa), the current manager of the Integrated Water Service (S.I.I.) within the unique territorial area encompassing the entire Region of Sardinia.</w:t>
      </w:r>
    </w:p>
    <w:p>
      <w:r>
        <w:t>In this regard, it is noted that the Region of Sardinia currently holds 68.11% of the share capital of Abbanoa, a participation that has increased over the years also due to a recapitalization process of the company by the Region itself, based on a specific restructuring plan prepared in 2012 and also submitted for review by the European Commission2. The remaining approximately 32% of the share capital is held by the local authorities of Sardinia represented in EGAS.</w:t>
      </w:r>
    </w:p>
    <w:p>
      <w:r>
        <w:t>1 Based on Article 113, paragraph 5, letter c), of Legislative Decree No. 267/2000 then in force (repealed by Article 12, paragraph 1, of Presidential Decree No. 168 of 2010): “The provision of the service takes place according to sector regulations and in compliance with European Union legislation, with the assignment of service ownership:</w:t>
        <w:br/>
        <w:t>a) to capital companies identified through public procurement procedures;</w:t>
        <w:br/>
        <w:t>b) to mixed public-private capital companies in which the private partner is chosen through public procurement procedures that guarantee compliance with internal and community competition regulations according to the guidelines issued by the competent authorities through specific measures or circulars;</w:t>
        <w:br/>
        <w:t>c) to wholly public capital companies provided that the public entity or entities holding the share capital exercise a control over the company similar to that exercised over their own services and that the company carries out the most significant part of its activity with the public entity or entities that control it.”</w:t>
      </w:r>
    </w:p>
    <w:p>
      <w:r>
        <w:t>The relevant regulation is now contained in Title II (Articles 147 and following) and Article 172 of Legislative Decree No. 152 of April 3, 2006 (Environmental Regulations).</w:t>
      </w:r>
    </w:p>
    <w:p>
      <w:r>
        <w:t>2 See SA.35205 (2013/N) – Italy Aid for the restructuring of Abbanoa S.p.A.</w:t>
      </w:r>
    </w:p>
    <w:p>
      <w:r>
        <w:t>BULLETIN NO. 13 OF APRIL 10, 2017 35</w:t>
      </w:r>
    </w:p>
    <w:p>
      <w:r>
        <w:t>As is known, the choice of the so-called in-house providing assignment, in derogation of the principle of public evidence, can only occur in favor of a subject for which the three subjective and objective requirements exist that, starting from the Teckal judgment3, have found recent expression in the text of the new Directives on procurement and concessions and in the New Code of Public Contracts4 and which are manifested in the public ownership of the share capital of the entrusted subject, in the performance of the predominant activity in favor of the contracting entity, and in the so-called analogous control of the contracting entity over the managing company entrusted with the service.</w:t>
      </w:r>
    </w:p>
    <w:p>
      <w:r>
        <w:t>With specific regard to the in-house assignment of the integrated water service, it should be noted that the current version of Article 149-bis5 (Assignment of the service) of Legislative Decree No. 152 of April 3, 2006 (Environmental Regulations) and subsequent amendments and integrations, in paragraph 1 confirms: “The governing body of the area [..] decides on the form of management among those provided for by European legislation, consequently proceeding with the assignment of the service in compliance with national regulations regarding the organization of local public services of economic relevance. Direct assignment may occur in favor of wholly public companies, possessing the requirements prescribed by European legislation for in-house management, however participated by the local authorities falling within the optimal territorial area.”</w:t>
      </w:r>
    </w:p>
    <w:p>
      <w:r>
        <w:t>In the case of the direct assignment of the integrated water service to Abbanoa for the unique ATO encompassing the entire Region of Sardinia, the requirement of the predominance of the activity in favor of the contracting entity appears to be fulfilled, as the Statute of ABBANOA provides that the corporate purpose is to carry out the service “exclusively” within the unique optimal territorial area of Sardinia (Article 3), towards the local authorities of Sardinia included therein.</w:t>
      </w:r>
    </w:p>
    <w:p>
      <w:r>
        <w:t>A critical element, however, emerges regarding the public ownership of the share capital. In fact, currently the majority of the share capital of Abbanoa (over 68%) is in the hands of the Region of Sardinia, which is neither the granting entity nor the subject to which the water service is provided, nor does it hold competencies regarding the assignment and/or management of such service.</w:t>
      </w:r>
    </w:p>
    <w:p>
      <w:r>
        <w:t>The Authority believes, on this point, that the requirement of public ownership of the share capital of the company entrusted with the service, a necessary but not sufficient requirement for the legitimacy of the assignment according to the modalities of in-house providing, should be interpreted in the sense that the share capital of the managing company can only be held by the granting entity or entities and not (also) by other subjects, even if public, that do not have competence regarding the assignment of the service in question, as is the case with the Region of Sardinia. This conclusion is justified to the extent that there must be a stable and effective identification relationship of a structural and functional nature between the contracting entity and the contractor, more pervasive than mere compliance with contractual obligations. In this sense, the Council of State with the ruling of</w:t>
      </w:r>
    </w:p>
    <w:p>
      <w:r>
        <w:t>3 Teckal Judgment, Court of Justice, November 18, 1999, case C-107/98. See also Court of Justice, October 13, 2005, in case C-458/03, Court of Justice January 11, 2005, in case C-26/03, Stadt Halle, Court of Justice, May 11, 2006 Parking Brixen, Court of Justice case C-340/04, Carbotermo v. Municipality of Busto Arsizio, Court of Justice, Section II, July 17, 2008 case C-371/05, Court of Justice, September 10, 2009 case C 573/07, Sea S.r.l. v. Municipality of Ponte Nossa, Technological Services Common – Se.T.Co. S.p.A. and others, Court of Justice, Section III, November 13, 2008, No. 324, case C-324/07 Coditel Brabant SA, Court of Justice, EC, Grand Chamber, June 9, 2009, case C-480/06.</w:t>
      </w:r>
    </w:p>
    <w:p>
      <w:r>
        <w:t>4 Legislative Decree No. 50 of April 18, 2016, “Implementation of Directives 2014/23/EU, 2014/24/EU and 2014/25/EU on the award of concession contracts, public procurement and procurement procedures of the granting entities in the sectors of water, energy, transport, and postal services, as well as for the reorganization of the existing regulations on public contracts relating to works, services, and supplies.”</w:t>
      </w:r>
    </w:p>
    <w:p>
      <w:r>
        <w:t>5 In force since January 1, 2015.</w:t>
      </w:r>
    </w:p>
    <w:p>
      <w:r>
        <w:rPr>
          <w:b/>
        </w:rPr>
        <w:t>[Pages 34–36]</w:t>
      </w:r>
    </w:p>
    <w:p>
      <w:r>
        <w:t>36 BULLETIN NO. 13 OF APRIL 10, 2017</w:t>
      </w:r>
    </w:p>
    <w:p>
      <w:r>
        <w:t>On May 26, 2015, No. 2660 stated that: “the in-house entity, despite having a distinct legal personality, has in substance an identification relationship with the contracting Administration, being comparable to one of its organs or an internal office lacking substantial decision-making autonomy. A relationship, therefore, that is only apparently intersubjective, but, in substance, comparable to an inter-organic relationship. […] with respect to the in-house entity, it is not even possible to identify a true contractual relationship, since the notion of contract implies the existence of an intersubjective relationship, that is, the existence of at least two subjects that are substantially distinct.”</w:t>
      </w:r>
    </w:p>
    <w:p>
      <w:r>
        <w:t>In this regard, it should be noted that pursuant to Regional Law No. 4 of February 4, 2015, concerning the “Establishment of the Governing Body of the Sardinia Area and amendments and additions to Regional Law No. 19 of 2006, Article 15 (Principles of subsidiarity, differentiation, and adequacy), the participation of the Sardinia Region in the share capital of Abbanoa must be partially transferred to the Sardinian municipalities but may be maintained by the Region up to a maximum limit of 49% (“The Region, in order to ensure the role of local authorities and their cooperation in view of achieving unified objectives in the territorial area that the regional legislator deems optimal, by resolution of the Regional Council guarantees, within five years from the entry into force of this law, the transfer to the municipalities of its shares in Abbanoa Spa, manager of the integrated water service at the date of entry into force of this law, for a countervalue at the symbolic price of one euro for every thousand shares, in order to maintain a shareholding of the Region within the maximum limit of 49 percent of the share capital”). This provision, by allowing the Sardinia Region to hold shares in the share capital of Abbanoa, in light of the above, interferes with the direct assignment by EGAS in-house of the integrated water service to this management company, in the absence of one of the essential requirements (public ownership of the share capital) that allow for direct in-house assignments, only exceptionally, in derogation of the general principle of service assignment through competitive procedure.</w:t>
      </w:r>
    </w:p>
    <w:p>
      <w:r>
        <w:t>Critical issues are also found, due to the majority participation of the Sardinia Region in the share capital of Abbanoa, regarding the existence of the third necessary requirement for the legitimacy of direct in-house assignments: the existence of “similar control.”</w:t>
      </w:r>
    </w:p>
    <w:p>
      <w:r>
        <w:t>In this regard, it is recalled that, most recently, Legislative Decree No. 175 of August 19, 2016, cited, in Article 2, paragraph 1, letter c), defines “similar control” as a: “situation in which the administration exercises on a company a control similar to that exercised on its own services, exercising a decisive influence both on strategic objectives and on significant decisions of the controlled company. Such control can also be exercised by a different legal entity, which is in turn controlled in the same way by the participating administration.”</w:t>
      </w:r>
    </w:p>
    <w:p>
      <w:r>
        <w:t>Administrative jurisprudence has also clarified and specified the contours of “similar control” over time. With the ruling of 20156, the Council of State explicitly stated: “the necessity that the participated corporate entity is subject to a control of a substantially organic nature, such as to render the subjective alterity with the participating public authority irrelevant. By virtue of such a configuration of relationships, it is therefore up to the latter to appoint the management and control leaders, approve strategic guidelines and the main management acts, consequently emptying the decision-making autonomy of the administrative body instead recognized by the civil code to capital companies7.”</w:t>
      </w:r>
    </w:p>
    <w:p>
      <w:r>
        <w:t>Regarding the case at hand, the matter of the relationships between the Entity and the Manager of the water service is regulated both by Regional Law No. 4 of 2015, cited, and by the pre-existing “Assignment Convention” already provided for by national sector regulations, as well as by some technical regulations (notably the resolution of the EGAS Commissioner No. 4 of February 29, 2012, for the approval of the Regulation for the discipline of Similar Control) that establish the general principles regarding the methods of exercising similar control8. However, it should be noted that, in this framework, there are no specific provisions that guarantee the contracting Entity effective powers of appointment and revocation at least of the majority of the members of the management, administration, and control bodies.</w:t>
      </w:r>
    </w:p>
    <w:p>
      <w:r>
        <w:t>This circumstance, in light of the majority participation of the Sardinia Region in the share capital of Abbanoa, creates a situation in which the contracting entity (EGAS), while having abstractly the powers to carry out pervasive control over the activities carried out by Abbanoa, does not, in fact, have the possibility to appoint trusted individuals who guarantee the effectiveness of such control.</w:t>
      </w:r>
    </w:p>
    <w:p>
      <w:r>
        <w:t>The Authority believes that the absence of powers of appointment and revocation of the management and control leaders and, more generally, the lack of effective participation of EGAS in the management of Abbanoa prevents the configuration of a relationship of “similar control” under the discipline of in-house providing, in light of the principles mentioned above.</w:t>
      </w:r>
    </w:p>
    <w:p>
      <w:r>
        <w:t>In fact, a correct mode of implementation of “similar control” should derive from the possibility that the directors, the manager, and the auditors of the management company are appointed not according to the provisions of civil law, but rather by the contracting entity “in-house.” This is particularly true in a situation, such as the one under examination, in which the contracting entity, due to its shareholding in the share capital, does not otherwise have the necessary majority to ensure the possibility of influencing the appointments themselves.</w:t>
      </w:r>
    </w:p>
    <w:p>
      <w:r>
        <w:t>In such situations, which, as seen above, are to be considered pathological, the power of appointment of the management and control leaders should, in any case, exist regardless of the percentage of ownership of the shares of the contracting company by the contracting entities and, therefore, of the majorities that such entities can express in the shareholders' meeting.</w:t>
      </w:r>
    </w:p>
    <w:p>
      <w:r>
        <w:t>This necessity would cease to exist in the event that, through appropriate amendment of the aforementioned Regional Law No. 4 of February 4, 2015, the Region completely divested its participation in the company Abbanoa.</w:t>
      </w:r>
    </w:p>
    <w:p>
      <w:r>
        <w:t>In conclusion, in light of the considerations outlined above, the Authority believes that, in order to ensure the legitimacy of the assignment of the water service according to the in-house providing mode to Abbanoa for the single ATO of Sardinia, it is necessary to amend Article 15 of Regional Law No. 4/2015 cited to provide for the transfer to the granting local entities (the municipalities of Sardinia, represented in EGAS) of all the shares of the Sardinia Region in the share capital of Abbanoa, and to equip, in any case, immediately, the contracting entity (EGAS) with effective control tools over the management company, including the possibility of appointing the management and control leaders, in the absence of which the existence of the requirement of “similar control” appears doubtful. Both of these interventions constitute indispensable prerequisites for the regularity of the choice of direct assignment, according to the model of in-house providing, rather than according to that of assignment through tender.</w:t>
      </w:r>
    </w:p>
    <w:p>
      <w:r>
        <w:t>The Authority invites these administrations to communicate within 45 days the initiatives they intend to undertake to ensure correct competitive dynamics in light of what has been represented.</w:t>
      </w:r>
    </w:p>
    <w:p>
      <w:r>
        <w:t>This opinion will be published in the bulletin referred to in Article 26 of Law No. 287/90. Any confidentiality needs must be communicated to the Authority within thirty days of receipt of this notice, specifying the reasons.</w:t>
      </w:r>
    </w:p>
    <w:p>
      <w:r>
        <w:t>THE PRESIDENT</w:t>
      </w:r>
    </w:p>
    <w:p>
      <w:r>
        <w:t>Giovanni Pitruzzella</w:t>
      </w:r>
    </w:p>
    <w:p>
      <w:r>
        <w:rPr>
          <w:b/>
        </w:rPr>
        <w:t>[Pages 37–39]</w:t>
      </w:r>
    </w:p>
    <w:p>
      <w:r>
        <w:t>BULLETIN NO. 13 OF APRIL 10, 2017 39</w:t>
      </w:r>
    </w:p>
    <w:p>
      <w:r>
        <w:t>AS1365 - DRAFT LAW ON THE REGULATION OF HOME RESTAURANT ACTIVITIES</w:t>
      </w:r>
    </w:p>
    <w:p>
      <w:r>
        <w:t>Rome, March 30, 2017</w:t>
      </w:r>
    </w:p>
    <w:p>
      <w:r>
        <w:t>President of the Senate of the Republic</w:t>
      </w:r>
    </w:p>
    <w:p>
      <w:r>
        <w:t>President of the Chamber of Deputies</w:t>
      </w:r>
    </w:p>
    <w:p>
      <w:r>
        <w:t>Minister of Economic Development</w:t>
      </w:r>
    </w:p>
    <w:p>
      <w:r>
        <w:t>Minister of Economy and Finance</w:t>
      </w:r>
    </w:p>
    <w:p>
      <w:r>
        <w:t>The Italian Competition Authority, in the exercise of the powers under Article 22 of Law No. 287 of October 10, 1990, in its meeting of March 22, 2017, deemed it appropriate to make the following considerations regarding certain restrictive competition provisions present in the draft law A.S. No. 2647, titled "Regulation of Home Restaurant Activities" (hereinafter also referred to as DDL No. S.2647).</w:t>
      </w:r>
    </w:p>
    <w:p>
      <w:r>
        <w:t>The draft law in question aims to regulate the Home Restaurant activity by individuals who wish to offer catering services within private homes, in order, among other things, to ensure "fair competition" among operators in the sector and to "enhance and promote the culture of traditional and quality food" (Article 1).</w:t>
      </w:r>
    </w:p>
    <w:p>
      <w:r>
        <w:t>In particular, the draft law:</w:t>
      </w:r>
    </w:p>
    <w:p>
      <w:r>
        <w:t>i) defines "home restaurant" as "occasional activity" (Article 2, paragraph 1, letter a);</w:t>
      </w:r>
    </w:p>
    <w:p>
      <w:r>
        <w:t>ii) provides that such activity is carried out "through digital platforms," managed by an Operator, who connects the User Chef, who physically performs the catering activity, and the User Consumer, who uses the service (Article 2, paragraph 1);</w:t>
      </w:r>
    </w:p>
    <w:p>
      <w:r>
        <w:t>iii) imposes that transactions occur "through digital platforms" and "exclusively through electronic payment systems" (Article 3, paragraph 3);</w:t>
      </w:r>
    </w:p>
    <w:p>
      <w:r>
        <w:t>iv) assigns the Operator a series of verification obligations on the operators also "for the purpose of registration on the digital platform" (regarding the conclusion by User Chefs of insurance policies for coverage of risks arising from the activity and for civil liability towards third parties related to the property in which the activity takes place, as well as on the possession of the requirements by the User Chef as per this law to carry out the activity in question) and customer information (about the service offered, the insurance coverage stipulated, "explicitly stating that this is a non-professional catering activity"); these obligations are functional to ensure subsequent controls by the competent authorities, according to the methods that will be defined by Ministerial Decree, in agreement with the Ministry of Economy and Finance (Article 3, paragraphs 6 to 10);</w:t>
      </w:r>
    </w:p>
    <w:p>
      <w:r>
        <w:t>40 BULLETIN NO. 13 OF APRIL 10, 2017</w:t>
      </w:r>
    </w:p>
    <w:p>
      <w:r>
        <w:t>v) exempts User Chefs from the obligation to stipulate insurance coverage and the Operator from the obligation to inform the Municipality of the properties in which the activity takes place, for so-called social eating events, organized no more than five times in the calendar year and for a maximum of 50 total covers (Article 4, paragraph 2);</w:t>
      </w:r>
    </w:p>
    <w:p>
      <w:r>
        <w:t>vi) in addition to having defined by law the activity in question as an occasional activity (Article 2), establishes that it "cannot exceed the limit of 500 covers per calendar year nor generate revenues exceeding 5,000 euros annually" (Article 4, paragraph 4);</w:t>
      </w:r>
    </w:p>
    <w:p>
      <w:r>
        <w:t>vii) prohibits carrying out the activity in question in the same residential properties where non-business tourist accommodation activities or rental activities for periods shorter than thirty days are exercised (Article 5, paragraph 3).</w:t>
      </w:r>
    </w:p>
    <w:p>
      <w:r>
        <w:t>In this regard, the Authority intends to make the following considerations.</w:t>
      </w:r>
    </w:p>
    <w:p>
      <w:r>
        <w:t>The legislator intends to introduce into the Italian legal system a regulation of catering activities in private homes (home restaurant), which, within the participatory services that make up the sharing economy, is experiencing strong expansion even in our country, due to the strong propensity, especially among new generations, to open their homes and share the local gastronomic culture.</w:t>
      </w:r>
    </w:p>
    <w:p>
      <w:r>
        <w:t>The European Commission has invited Member States to promote the development of the so-called sharing economy, capable of creating new opportunities for both consumers, who can benefit from an expanded service offering and lower prices, and for new operators, facilitated by flexible work forms and new sources of income.</w:t>
      </w:r>
    </w:p>
    <w:p>
      <w:r>
        <w:t>At the same time, precisely in order to promote its development, the Commission has reminded that restrictions in terms of market access can only be provided, according to European law, if they are non-discriminatory, justified by a well-defined "imperative reason of general interest," pursuant to Article 4, point 8, of the Services Directive (Directive 2006/123/EC), proportionate and necessary. Furthermore, the regulation of activities carried out within the framework of the collaborative economy, while taking into account the specificities of the innovative service offered, must not "privilege one business model over others."</w:t>
      </w:r>
    </w:p>
    <w:p>
      <w:r>
        <w:t>Also during the informal hearing before the IX and X Committees of the Chamber of Deputies on the regulation of digital platforms, the Authority reiterated that, "if an intervention [regulatory or legislative, ed.] is necessary, it must be minimal regulation adequately justified by general interest reasons, in compliance with the principles of non-discrimination and proportionality. It would therefore be appropriate to include this principle in the draft law under consideration, similarly to what was done in the past with Legislative Decree No. 59/2010, implementing Directive 2006/123/EC."</w:t>
      </w:r>
    </w:p>
    <w:p>
      <w:r>
        <w:t>In this context, the Authority believes that the DDL A.S. No. 2647 introduces limitations on the exercise of home restaurant activities that do not appear justified.</w:t>
      </w:r>
    </w:p>
    <w:p>
      <w:r>
        <w:t>By configuring the use of digital platforms as the only mode for carrying out home restaurant activities, the draft law excludes any possibility of direct relationship between the User Chef and the User Consumer outside of such platforms. From the demand side, this reduces the offer of catering services for customers less accustomed to using digital/electronic purchasing systems; from the supply side, it creates discrimination against traditional restaurateurs, who, in addition to being able to promote their activities and receive bookings through websites, maintain the possibility of having direct contact with customers.</w:t>
      </w:r>
    </w:p>
    <w:p>
      <w:r>
        <w:t>Similar considerations apply regarding the de facto obligation imposed to pay for the service before having benefited from it, as it is provided in Article 3, paragraph 3, that transactions occur exclusively through digital platforms. This provision also prevents or makes it more burdensome for the customer to take advantage, for example, of the possibility to cancel on-site a service that has proven inadequate and for the operator to bear the entire risk of the so-called no-show.</w:t>
      </w:r>
    </w:p>
    <w:p>
      <w:r>
        <w:t>The Authority finds no link between the imposed measures and the characteristics of necessity and proportionality in qualifying the activity in terms of mere occasionality. In this way, the operator is deprived of the freedom to autonomously define how and to what extent to organize their economic activity, considering, moreover, that already for social eating activities (for frequency of organized events and maximum number of covers that are abstractly defined by the legislator, in a linear manner, regardless of the different capacity of the private homes used or the profile of the User Chef) a regime of "attenuated" obligations is provided.</w:t>
      </w:r>
    </w:p>
    <w:p>
      <w:r>
        <w:t>The subsequent normative quantification of the maximum number of covers that can be set up and the annual income that the activity in question can generate appears entirely unjustified. Such provisions are rather in clear contrast, in addition to the liberalization principles provided by Legislative Decree No. 59/2010, which implements the Services Directive, and subsequent liberalization decrees, also with the constitutional provision of free economic initiative and protection of competition. These same concerns have been expressed by the I Commission (Constitutional Affairs) of the Chamber, which, while giving a favorable opinion regarding the draft law in question, nonetheless made some observations, including that of "evaluating, in light of Article 41 of the Constitution regarding free economic initiative, the provision according to which the home restaurant activity cannot generate revenues exceeding 5,000 euros annually."</w:t>
      </w:r>
    </w:p>
    <w:p>
      <w:r>
        <w:t>Finally, the exclusion of non-business B&amp;B and Vacation Home activities and rentals from the possibility of expanding the offer of non-hotel services with that of home restaurant service appears equally unmotivated and unjustifiably restrictive.</w:t>
      </w:r>
    </w:p>
    <w:p>
      <w:r>
        <w:t>The set of constraints and limitations on the home restaurant activity described above, therefore, lies outside the framework outlined by the European competition principles and the aforementioned document of the Commission on the sharing economy.</w:t>
      </w:r>
    </w:p>
    <w:p>
      <w:r>
        <w:t>None of the measures provided appear necessary and proportionate to pursue the objectives declared in Article 1 of DDL A.S. No. 2647, which are already protected by other regulations. In particular, any objectives of protecting the health of consumers are sufficiently guaranteed by the obligation to comply with food hygiene regulations (referred to in Article 4, paragraph 6) and by the obligations of insurance coverage (Article 3, paragraph 6).</w:t>
      </w:r>
    </w:p>
    <w:p>
      <w:r>
        <w:t>In conclusion, the draft law regulating home restaurant activities appears overall suitable to unduly limit an emerging mode of alternative catering service offering and, to the extent that it imposes obligations that are not normally placed on traditional operators, discriminates against home restaurant operators in favor of the latter.</w:t>
      </w:r>
    </w:p>
    <w:p>
      <w:r>
        <w:rPr>
          <w:b/>
        </w:rPr>
        <w:t>[Pages 40–42]</w:t>
      </w:r>
    </w:p>
    <w:p>
      <w:r>
        <w:t>42 BULLETIN NO. 13 OF APRIL 10, 2017</w:t>
      </w:r>
    </w:p>
    <w:p>
      <w:r>
        <w:t>without respecting the test of proportionality, necessity of restrictive measures in relation to the pursuit of specific imperative objectives of general interest, as required at the European level.</w:t>
      </w:r>
    </w:p>
    <w:p>
      <w:r>
        <w:t>The Authority hopes that, in order to overcome the discriminatory and restrictive aspects highlighted above, the observations made above will be duly considered during the continuation of the legislative process on the Bill in question as well as during the issuance of the Ministerial Decree which will have to define the methods of monitoring the activity of the operators.</w:t>
      </w:r>
    </w:p>
    <w:p>
      <w:r>
        <w:t>This opinion will be published in the Bulletin of the Competition and Market Authority.</w:t>
      </w:r>
    </w:p>
    <w:p>
      <w:r>
        <w:t>THE PRESIDENT</w:t>
      </w:r>
    </w:p>
    <w:p>
      <w:r>
        <w:t>Giovanni Pitruzzella</w:t>
      </w:r>
    </w:p>
    <w:p>
      <w:r>
        <w:t>BULLETIN NO. 13 OF APRIL 10, 2017 43</w:t>
      </w:r>
    </w:p>
    <w:p>
      <w:r>
        <w:t>UNFAIR TRADE PRACTICES</w:t>
      </w:r>
    </w:p>
    <w:p>
      <w:r>
        <w:t>IP269 - FLYGO - CONFUSION WITH OFFICIAL SITE</w:t>
      </w:r>
    </w:p>
    <w:p>
      <w:r>
        <w:t>Provision No. 26499</w:t>
      </w:r>
    </w:p>
    <w:p>
      <w:r>
        <w:t>THE ITALIAN COMPETITION AUTHORITY</w:t>
      </w:r>
    </w:p>
    <w:p>
      <w:r>
        <w:t>IN ITS MEETING of March 22, 2017;</w:t>
      </w:r>
    </w:p>
    <w:p>
      <w:r>
        <w:t>HEARD the Rapporteur Professor Michele Ainis;</w:t>
      </w:r>
    </w:p>
    <w:p>
      <w:r>
        <w:t>VIEWED Part II, Title III, of Legislative Decree No. 206 of September 6, 2005, containing the "Consumer Code" and subsequent amendments (hereinafter, Consumer Code);</w:t>
      </w:r>
    </w:p>
    <w:p>
      <w:r>
        <w:t>NOTED in particular Article 27, paragraph 12, of the Consumer Code, according to which in case of non-compliance with urgent measures or those prohibitory or for the removal of effects, the Authority applies an administrative pecuniary sanction from €10,000 to €5,000,000 and in cases of repeated non-compliance, the Authority may order the suspension of business activity for a period not exceeding thirty days;</w:t>
      </w:r>
    </w:p>
    <w:p>
      <w:r>
        <w:t>VIEWED Law No. 689 of November 24, 1981;</w:t>
      </w:r>
    </w:p>
    <w:p>
      <w: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VIEWED its resolution No. 26173 of September 14, 2016, with which the Authority found the unfairness of three distinct commercial practices carried out by Fly Go Voyager srl.;</w:t>
      </w:r>
    </w:p>
    <w:p>
      <w:r>
        <w:t>VIEWED the documents of the proceeding;</w:t>
      </w:r>
    </w:p>
    <w:p>
      <w:r>
        <w:t>CONSIDERED the following:</w:t>
      </w:r>
    </w:p>
    <w:p>
      <w:r>
        <w:t>1. With provision No. 26173 of September 14, 2016, the Authority decided that Fly Go Voyager s.r.l. (hereinafter also 'Fly Go') engaged in three distinct unfair commercial practices.</w:t>
      </w:r>
    </w:p>
    <w:p>
      <w:r>
        <w:t>2. The first practice consisted of the misleading use of distinctive signs of well-known professionals active in the air transport sector (such as "Ryanair" and "Wizzair") within the advertisements disseminated on the Google search engine through the AdWords service and in the confusing graphic configuration of the websites linked to such advertisements. This practice was deemed unfair pursuant to Articles 20, paragraph 2, 21, paragraph 1, letters a), b) and f), and paragraph 2, letter a), as well as 22, paragraph 1, of the Consumer Code, as it did not provide consumers with an adequate informational set regarding the identity and qualifications of the professional, the existence and characteristics of the products offered, and was also likely to generate confusion in the average consumer regarding the services, brand, and corporate name of other professionals marketing the products subject to intermediation.</w:t>
      </w:r>
    </w:p>
    <w:p>
      <w:r>
        <w:t>3. The second practice consisted of the use of deceptive methods of presenting the price of the tourist services offered on its websites, characterized by the separation of the management fee from the initially proposed price, of which consumers were informed only at a later stage of the online booking process. This practice was found to be unfair pursuant to Articles 20, paragraph 2, 21, paragraph 1, letter d), and 22 of the Consumer Code, as it did not guarantee consumers a clear perception, from the initial contact, of the total price of the services offered by Fly Go.</w:t>
      </w:r>
    </w:p>
    <w:p>
      <w:r>
        <w:t>4. The third practice consisted of the failure to establish an easily accessible customer assistance system, alternative to the paid telephone number, for customers who had already completed the online purchase of the services offered by the professional on its websites. This practice was found to be unfair pursuant to Articles 20, paragraph 2, 24 and 25, paragraph 1, letter d), of the Consumer Code, as the absence of such a post-sale assistance system (at least until February 29, 2016, from which date it appears that the professional has provided communication of its email to customers who have already made a reservation, along with the basic rate telephone numbers to contact) was likely to impede or make it more difficult for consumers to exercise certain rights that the legal system or the specific contractual regulation recognizes to consumers and that should therefore be accessible without additional charges.</w:t>
      </w:r>
    </w:p>
    <w:p>
      <w:r>
        <w:t>5. In light of the above, the Authority prohibited the further dissemination of the three commercial practices. Since the first two practices described above were still being disseminated at the time of the conclusion of the proceeding, the Authority ordered the professional to communicate the initiatives taken in compliance with the injunction, within ninety days from the notification of the aforementioned provision No. 26173 of September 14, 2016. This report was not submitted by the professional.</w:t>
      </w:r>
    </w:p>
    <w:p>
      <w:r>
        <w:t>6. With intervention requests received on February 6, February 9, and March 1 of this year, some consumers reported the continued misleading nature of the first two commercial practices subject to the aforementioned provision. In particular, Fly Go Voyager S.r.l. would have disseminated on the Google search engine (through the AdWords service) a series of new advertisements that would lead the consumer to believe they were about to access the services of an airline and not those of a comparison site. Furthermore, the websites linked to such advertisements (http://www.prenota-voli.com/Ryanair; http://www.prenota-voli.com/Wizzair; http://www.blueair-italia.it) would continue to present a confusing graphic configuration such that consumers would believe they were on the homepages of the airlines.</w:t>
      </w:r>
    </w:p>
    <w:p>
      <w:r>
        <w:t>7. From the observations made on the professional's website (recorded on March 14, 2017), it first emerged that the advertisements made on Google through the AdWords service continue to contain misleading indications for the consumer, such as “WizzairOnline – Last seats on offer at €19 prenota-voli.com” (title); “www.wizzair.prenota-voli.com” (Url). These indications, in fact, generate the same misleading and confusing effect already censured, resulting from the use of signs of air carriers, which do not allow understanding that the advertised announcements concern a third party (compared to the air carriers) whose identity is not revealed in the announcements themselves.</w:t>
      </w:r>
    </w:p>
    <w:p>
      <w:r>
        <w:t>8. Secondly, the aforementioned advertisements on Google refer to websites where numerous direct references and evident graphic perceptions to the air carriers are present (for example, still</w:t>
      </w:r>
    </w:p>
    <w:p>
      <w:r>
        <w:rPr>
          <w:b/>
        </w:rPr>
        <w:t>[Pages 43–45]</w:t>
      </w:r>
    </w:p>
    <w:p>
      <w:r>
        <w:t>BULLETIN NO. 13 OF APRIL 10, 2017 45</w:t>
      </w:r>
    </w:p>
    <w:p>
      <w:r>
        <w:t>considering Wizzair, “Search Wizzair flights”, “The best Low Cost WizzAir offers”, “W!zz”, “All low-cost Wizz Air flight offers departing from Italy with Prenota-voli.com”) in the absence of clear and contextual indications regarding the identity of the professional. The name “FlyGo Voyager” is, in fact, visible, in characters of reduced graphic perception, only at the bottom of the home page, which is reached only after a long scroll of the page itself. At the top of the home page, there is only a generic logo “BOOK FLIGHTS” which has no connection with the identity of the professional and the intermediation activity carried out by it. The reference to the airline is, moreover, accentuated also due to the particular color choice made, which overall recalls the colors traditionally used by the airline WizzAir on its website and on the livery of its aircraft (fuchsia and purple).</w:t>
      </w:r>
    </w:p>
    <w:p>
      <w:r>
        <w:t>In conclusion, the currently disseminated sites remain, on the one hand, predominantly characterized by information concerning airlines (Ryanair Ltd., Wizz Air, Blue Air) and, on the other hand, lack clear and precise information regarding the identity and qualifications of Fly Go Voyager S.r.l., the nature of its business activity, and the characteristics of the services offered.</w:t>
      </w:r>
    </w:p>
    <w:p>
      <w:r>
        <w:t>9. The unfairness profiles subject to the first practice contested in decision no. 26173 of September 14, 2016, are therefore substantially reiterated.</w:t>
      </w:r>
    </w:p>
    <w:p>
      <w:r>
        <w:t>10. With reference to the second practice, the reports received highlighted that, once the flight booking procedure was initiated, only at a later stage after the first contact would consumers be informed of the existence of additional, unavoidable fees that significantly increase the ticket price.</w:t>
      </w:r>
    </w:p>
    <w:p>
      <w:r>
        <w:t>Based on the aforementioned observations made on the professional's sites, it emerged that the price for the air route selected by the consumer is initially presented without including the fees requested by the professional for its intermediation. Only on the subsequent screen do consumers see an additional fee charged, called “management and tax fees” (in the cases of Ryanair and Wizz Air) or “management fee” (in the case of Blue Air).</w:t>
      </w:r>
    </w:p>
    <w:p>
      <w:r>
        <w:t>11. The unfairness profiles subject to the second practice contested in decision no. 26173 of September 14, 2016, are therefore substantially reiterated.</w:t>
      </w:r>
    </w:p>
    <w:p>
      <w:r>
        <w:t>12. The aforementioned decision no. 26173, of September 14, 2016, was communicated to the professional on October 10, 2016. Therefore, from the documentary evidence, it appears that the practices deemed unfair have been disseminated again after October 10, 2016.</w:t>
      </w:r>
    </w:p>
    <w:p>
      <w:r>
        <w:t>13. In conclusion, the prerequisites for initiating the procedure provided for by Article 27, paragraph 12, of the Consumer Code, aimed at imposing an administrative pecuniary sanction from €10,000 to €5,000,000, are present.</w:t>
      </w:r>
    </w:p>
    <w:p>
      <w:r>
        <w:t>CONSIDERING, therefore, that the established facts constitute a case of non-compliance with the Authority's resolution no. 26173, of September 14, 2016, pursuant to Article 27, paragraph 12, of the Consumer Code;</w:t>
      </w:r>
    </w:p>
    <w:p>
      <w:r>
        <w:t>RESOLVES</w:t>
      </w:r>
    </w:p>
    <w:p>
      <w:r>
        <w:t>a) to contest to Fly Go Voyager S.r.l. the violation referred to in Article 27, paragraph 12, of the Consumer Code, for failing to comply with the Authority's resolution no. 26173, of September 14, 2016;</w:t>
      </w:r>
    </w:p>
    <w:p>
      <w:r>
        <w:t>46 BULLETIN NO. 13 OF APRIL 10, 2017</w:t>
      </w:r>
    </w:p>
    <w:p>
      <w:r>
        <w:t>b) the initiation of the procedure for the possible imposition of the pecuniary sanction provided for by Article 27, paragraph 12, of the Consumer Code;</w:t>
      </w:r>
    </w:p>
    <w:p>
      <w:r>
        <w:t>c) that the person responsible for the procedure is Dr. Andrea Barone;</w:t>
      </w:r>
    </w:p>
    <w:p>
      <w:r>
        <w:t>d) that the acts of the procedure can be viewed at Directorate C, of the Directorate General for Consumer Protection, of the Authority, by the legal representatives of Fly Go Voyager S.r.l., or by persons delegated by it;</w:t>
      </w:r>
    </w:p>
    <w:p>
      <w:r>
        <w:t>e) that, within thirty days from the communication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For the purposes of quantifying the possible pecuniary sanction provided for by Article 27, paragraph 12, of the Consumer Code, Fly Go Voyager S.r.l. is requested to provide a copy of the latest financial statements or suitable accounting documentation certifying the economic conditions in the last year.</w:t>
      </w:r>
    </w:p>
    <w:p>
      <w:r>
        <w:t>This provision will be communicated to the interested parties and published in the Bulletin of the Competition and Market Authority.</w:t>
      </w:r>
    </w:p>
    <w:p>
      <w:r>
        <w:t>THE SECRETARY GENERAL f.f. THE PRESIDENT</w:t>
      </w:r>
    </w:p>
    <w:p>
      <w:r>
        <w:t>Roberto Chieppa Gabriella Muscolo</w:t>
      </w:r>
    </w:p>
    <w:p>
      <w:r>
        <w:t>BULLETIN NO. 13 OF APRIL 10, 2017 47</w:t>
      </w:r>
    </w:p>
    <w:p>
      <w:r>
        <w:t>PS10495 - SYSTEMS FOR FURNISHING - FIDELITY CARD</w:t>
      </w:r>
    </w:p>
    <w:p>
      <w:r>
        <w:t>Decision no. 26501</w:t>
      </w:r>
    </w:p>
    <w:p>
      <w:r>
        <w:t>THE ITALIAN COMPETITION AUTHORITY</w:t>
      </w:r>
    </w:p>
    <w:p>
      <w:r>
        <w:t>IN ITS MEETING of March 22, 2017;</w:t>
      </w:r>
    </w:p>
    <w:p>
      <w:r>
        <w:t>HEARD the Rapporteur Professor Michele Ainis;</w:t>
      </w:r>
    </w:p>
    <w:p>
      <w:r>
        <w:t>VIEWED Part II, Title III and Part III, Title III of Legislative Decree No. 206 of September 6, 2005, containing the “Consumer Code” and subsequent amendments (hereinafter, the “Consumer Code”);</w:t>
      </w:r>
    </w:p>
    <w:p>
      <w:r>
        <w:t>VIEWED the “Regulation on investigative procedures regarding misleading and comparative advertising, unfair commercial practices, violation of consumer rights in contracts, violation of the prohibition of discrimination and unfair clauses” (hereinafter, the “Regulation”), adopted by the Authority with resolution of April 1, 2015;</w:t>
      </w:r>
    </w:p>
    <w:p>
      <w:r>
        <w:t>VIEWED the acts of the procedure;</w:t>
      </w:r>
    </w:p>
    <w:p>
      <w:r>
        <w:t>I. THE PARTIES</w:t>
      </w:r>
    </w:p>
    <w:p>
      <w:r>
        <w:t>1. Sistemi per arredare S.r.l. (hereinafter also “SISTEMI”) as a professional, pursuant to the Consumer Code. The company engages in retail trade, particularly through “door-to-door” sales. The revenue generated in 2015 by SISTEMI, from the financial statements for that period, amounts to approximately €333,000.</w:t>
      </w:r>
    </w:p>
    <w:p>
      <w:r>
        <w:t>2. Codacons Marche and Federconsumatori as reporting associations.</w:t>
      </w:r>
    </w:p>
    <w:p>
      <w:r>
        <w:t>II. THE COMMERCIAL PRACTICE</w:t>
      </w:r>
    </w:p>
    <w:p>
      <w:r>
        <w:t>3. The procedure concerns the conduct carried out by the professional, consisting of the promotion and retail sale of household products, particularly presenting the possibility of benefiting from advantageous prices in order to obtain a purchase order, signed by the consumer without their actual awareness.</w:t>
      </w:r>
    </w:p>
    <w:p>
      <w:r>
        <w:t>4. In particular, the professional, starting at least from November 30, 2015, has directly contacted consumers by phone, presenting the possibility of receiving a catalog containing the offer of household products without any burden and obligation to purchase, thus allowing entry into a “circuit” to purchase various household products at prices advertised as extremely convenient. At a different moment, during a subsequent meeting at the consumers' homes, the representatives of SISTEMI induced these consumers to sign a membership form, stating that only in a subsequent visit to their homes would it be possible to choose the products of interest, as well as to reach a merely eventual stipulation of the sales contract. During this meeting, consumers were not informed about the nature of the form in question.</w:t>
      </w:r>
    </w:p>
    <w:p>
      <w:r>
        <w:rPr>
          <w:b/>
        </w:rPr>
        <w:t>[Pages 46–48]</w:t>
      </w:r>
    </w:p>
    <w:p>
      <w:r>
        <w:t>48 BULLETIN NO. 13 OF APRIL 10, 2017</w:t>
      </w:r>
    </w:p>
    <w:p>
      <w:r>
        <w:t>subscription, nor about the possibility of exercising the right of withdrawal, nor finally, in relation to the obligation connected to the signing of the form, to pay a minimum amount of 2,800 euros excluding VAT.</w:t>
      </w:r>
    </w:p>
    <w:p>
      <w:r>
        <w:t>After a few days, the consumers received a second home visit during which the representatives of the professional indicated for the first time that the consumers were contractually bound to purchase products, at least for the minimum amount mentioned of 2,800 euros excluding VAT, also implying that it was not possible to free themselves from the obligation already assumed. During this second meeting, it was also stated in particularly insistent and pressing terms that in the event of non-compliance with the clauses provided in the form in question, to be considered a contract in all respects, the professional would take legal action against the consumers.</w:t>
      </w:r>
    </w:p>
    <w:p>
      <w:r>
        <w:t>III. THE OUTCOMES OF THE PROCEEDING</w:t>
      </w:r>
    </w:p>
    <w:p>
      <w:r>
        <w:t>1. The procedure process</w:t>
      </w:r>
    </w:p>
    <w:p>
      <w:r>
        <w:t>5. In relation to the behaviors described above, on November 4, 2016, the Party was informed of the initiation of the investigative procedure for possible violation of Articles 20, 21, letters b), c) and d), 22, 23, 24, 25, paragraph 1, letter d), and 26 paragraph 1, letters b) and f), of the Consumer Code, as well as Article 49 of the same Code.</w:t>
      </w:r>
    </w:p>
    <w:p>
      <w:r>
        <w:t>It was particularly hypothesized that the professional would implement an unfair commercial practice, through specific misleading and aggressive actions, capable of deceiving, harassing, and inducing the average consumer to make a commercial decision that they would not otherwise have made, regarding the offer of products.</w:t>
      </w:r>
    </w:p>
    <w:p>
      <w:r>
        <w:t>It was also hypothesized that the professional would have failed to indicate during the pre-contractual phase certain information obligations related to the sale of products, relevant for consumers' purchasing choices, in violation of Article 49 of the Consumer Code, such as in particular the existence of the right of withdrawal and the related conditions and procedures for exercising it, including information regarding the cost of returning the goods that the consumer is obliged to bear in the event of withdrawal.</w:t>
      </w:r>
    </w:p>
    <w:p>
      <w:r>
        <w:t>At the start of the procedure, a simultaneous request for information was also made regarding: i) the organization and size of the sales network; ii) the training and documentation material provided to sales agents; iii) the criteria chosen for the selection and contact with customers; iv) the number of complaints possibly received directly from the professional and the methods of their resolution; v) the conditions provided for the valid exercise of the right of withdrawal.</w:t>
      </w:r>
    </w:p>
    <w:p>
      <w:r>
        <w:t>6. On January 19, 2017, the professional was informed of the conclusion date of the investigative phase pursuant to Article 16, paragraph 1 of the Regulation.</w:t>
      </w:r>
    </w:p>
    <w:p>
      <w:r>
        <w:t>7. The professional did not provide any feedback on the initiation of the procedure, nor did they submit any memorandum.</w:t>
      </w:r>
    </w:p>
    <w:p>
      <w:r>
        <w:t>2. The evidence acquired</w:t>
      </w:r>
    </w:p>
    <w:p>
      <w:r>
        <w:t>8. From the content of the reports received since November 30, 2015, it emerges that the professional, through the activities carried out by its agents, has proposed through telemarketing and subsequent home sales, the allegedly free delivery and without any commitment of a catalog of furniture products, household products, and appliances that would actually conceal the signing of an obligation to purchase such items, some of which are of significant economic value, disseminating untrue information regarding the actual nature of the commercial initiative.</w:t>
      </w:r>
    </w:p>
    <w:p>
      <w:r>
        <w:t>9. In particular, from the reports acquired in the records, it emerges that, in an initial phase, the professional contacted consumers by phone, representing to them the opportunity to benefit from discounts of 30% to 50% on future purchases of the products advertised in a catalog, excluding any obligation to purchase and requesting a meeting in order to deliver the aforementioned catalog for free.</w:t>
      </w:r>
    </w:p>
    <w:p>
      <w:r>
        <w:t>Subsequently, during an initial meeting at the home of the consumer contacted each time, the agents appointed by the professional induced the consumer in question to sign a form advertising a promotion of the goods for sale. These agents then informed the consumer that signing the form would not create any obligation, either contractual or financial, and that only in a subsequent home visit would the possible selection of goods and the signing, also possible, of a sales contract take place.</w:t>
      </w:r>
    </w:p>
    <w:p>
      <w:r>
        <w:t>10. A copy of the contractual form in question is included in the proceedings. This form bears at the top the phone number related to the customer service center and, on the right, the customer code; it is followed by a box to be filled out by the agent with the identifying data of the consumer and a list of promotional products discounted "for first purchase use," lacking any reference to their price.</w:t>
      </w:r>
    </w:p>
    <w:p>
      <w:r>
        <w:t>In the center of the form, in uppercase graphic characters as well as of considerable size and thickness, there is the wording "free promotion on all goods active exchange from catalog and sample." At the bottom, in much smaller characters, it is stated, among other things, that "the promotion is applied to all direct purchases through a visit by an agent with samples and catalogs. The promotion is valid for four years and has a ceiling of four purchases, one for each year, at a locked price. Promotional expenditure amount for the 1st purchase, also payable in four years, including the active exchange service, net 2,800.00 euros."</w:t>
      </w:r>
    </w:p>
    <w:p>
      <w:r>
        <w:t>Further down, there is a box to be filled out by the agent regarding the payment methods, to be identified from time to time; finally, there is the clause of receipt of the sales conditions reported on the back of the form, the clause of the customer's declaration of receipt of a copy of the deed and attachments, and a space dedicated to the customer's signature.</w:t>
      </w:r>
    </w:p>
    <w:p>
      <w:r>
        <w:t>On the back of the form, regarding the right of withdrawal, the possibility of "withdrawing from the purchase by sending a registered letter with acknowledgment of receipt within fourteen days, to its headquarters: Arredare, piazza IV Novembre 4 – 20124 Milan" is indicated.</w:t>
      </w:r>
    </w:p>
    <w:p>
      <w:r>
        <w:t>11. Exclusively during a second visit to the consumers, generally occurring about two weeks after the first visit, the sales staff made clear for the first time the actual terms of the commercial offer, clearly stating that the form (already) signed is a real contract, and with it the signing consumers are (already) bound to pay an amount of at least 2,800 euros as the consideration due for the first purchase of the promotion, with the option to make further purchases over the next four years under allegedly favorable conditions, including, in particular, the purchase of products "at a locked price."</w:t>
      </w:r>
    </w:p>
    <w:p>
      <w:r>
        <w:t>12. From the numerous reports received, it emerges that the sales staff, during the first visit to the consumers' homes, induced them with insistent and pressing methods to sign the form in question and, in a subsequent phase, with even more pressing and aggressive methods, to represent the obligation already assumed with the signing. In response to the complaints of various consumers reporting the professional, through the activities carried out by its agents, particularly denied the possibility of canceling the contractual form. In response to such complaints, the professional also stated that failure to comply with the contract would lead to legal action by the company against the customer for the execution of the contract, sometimes specifying the possibility of resorting to the garnishment of the pension check that the consumer may enjoy, and even offering the consumer the option to sign a medium-term loan to fulfill the contractual obligations.</w:t>
      </w:r>
    </w:p>
    <w:p>
      <w:r>
        <w:t>IV. OPINION OF THE AUTHORITY FOR GUARANTEES IN COMMUNICATIONS</w:t>
      </w:r>
    </w:p>
    <w:p>
      <w:r>
        <w:t>13. Since the commercial practice subject to this provision was also disseminated through telemarketing, on February 10, 20172, an opinion was requested from the Authority for Guarantees in Communications, pursuant to Article 27, paragraph 6, of the Consumer Code.</w:t>
      </w:r>
    </w:p>
    <w:p>
      <w:r>
        <w:t>14. With an opinion received on March 8, 2016, the aforementioned Authority expressed its evaluations regarding the suitability of the specific means of communication used to disseminate the commercial practice and their ability to affect and amplify any unfairness of the same. In particular, the Authority for Guarantees in Communications considered that telemarketing represents a particularly invasive tool of private life, which subjects the contacted individual to an unsolicited solicitation and is likely to generate omissions of relevant information or the provision of misleading information.</w:t>
      </w:r>
    </w:p>
    <w:p>
      <w:r>
        <w:t>V. CONCLUDING EVALUATIONS</w:t>
      </w:r>
    </w:p>
    <w:p>
      <w:r>
        <w:t>15. The behaviors involved in this proceeding constitute articulations of a single strategy of the professional, structured in different temporal phases in relation to which it is possible to identify distinct violations of the norms of the Consumer Code.</w:t>
      </w:r>
    </w:p>
    <w:p>
      <w:r>
        <w:t>In the initial telephone contact phase, a misleading and omissive conduct is configured pursuant to Articles 20, 21, and 22 of the Consumer Code, as the operators announced merely the delivery of a catalog with discounted products that would not, contrary to the truth, involve any sale or obligation to subscribe on the part of the staff who would present themselves at the consumer's home.</w:t>
      </w:r>
    </w:p>
    <w:p>
      <w:r>
        <w:t>In a second phase, consisting of the first home visit, the professional - through a mix of confusing information, absence of relevant information for consumers' economic choices, and violations of pre-contractual information obligations (such as, for example, the failure to indicate the total price of the products and the payment methods), as well as</w:t>
      </w:r>
    </w:p>
    <w:p>
      <w:r>
        <w:rPr>
          <w:b/>
        </w:rPr>
        <w:t>[Pages 49–51]</w:t>
      </w:r>
    </w:p>
    <w:p>
      <w:r>
        <w:t>BULLETIN NO. 13 OF APRIL 10, 2017 51</w:t>
      </w:r>
    </w:p>
    <w:p>
      <w:r>
        <w:t>pressures aimed at obtaining the signing of the form - exerts undue conditioning on the consumer, which constitutes aggressive conduct, pursuant to Articles 20, 24, and 25 of the Consumer Code, resulting in the consumer's unaware signing of a purchase obligation.</w:t>
      </w:r>
    </w:p>
    <w:p>
      <w:r>
        <w:t>At this stage, there is also a violation pursuant to Article 49, letters h) and i), in violation of the information obligations regarding the right of withdrawal.</w:t>
      </w:r>
    </w:p>
    <w:p>
      <w:r>
        <w:t>Lastly, during a second unannounced home visit, in which the consumer is revealed the existence of an obligation not consciously assumed by virtue of the signing of the form, the sales staff insistently demand from the consumer the purchase of goods with insistence and verbal threats. Therefore, at this stage, aggressive conduct is configured pursuant to Articles 20, 24, 25, and 26, paragraph 1, letters b) and f), of the Consumer Code.</w:t>
      </w:r>
    </w:p>
    <w:p>
      <w:r>
        <w:t>16. In particular, based on what emerges from the reports in the records, the professional, both during the first telephone conversation and during the first home visit, does not indicate the real purposes of the initiative. The information provided during the telephone contact is completely scarce and generic as it is essentially aimed at attracting the consumer's attention to the alleged free nature of the initiative, in order to organize a subsequent meeting at the consumer's home for the delivery of a catalog of products at particularly advantageous prices.</w:t>
      </w:r>
    </w:p>
    <w:p>
      <w:r>
        <w:t>17. During this first visit, the consumer is then induced to sign a form; the professional, through their agents, generally reassures the consumer both regarding the absence of purchase obligations and regarding the lack of any burden related to the proposed commercial offer, which would imply subsequent and merely potential purchases, as well as characterized by a significant discount. The methods employed by the agents and the very forms used are confusing and inadequate to clearly represent the related subject matter and the nature of the contract, particularly with reference to the existence of purchase obligations for one or more products and the actual price of the goods. All the elements described above are therefore suitable to determine an unaware signing by the individual consumers contacted.</w:t>
      </w:r>
    </w:p>
    <w:p>
      <w:r>
        <w:t>18. The real characteristics that characterize the sales activity carried out by the professional manifest exclusively during the second home visit by the agent, that is, at the moment when the consumer is finally informed that they have contractually bound themselves to the purchase of one or more products at a total price, albeit allegedly "discounted," of a high amount.</w:t>
      </w:r>
    </w:p>
    <w:p>
      <w:r>
        <w:t>19. Sometimes the sale is characterized by insistence and verbal threats from the sales agents who resort to various psychological pressures to coerce the will of the clientele. In particular, the necessity to proceed with actual purchase orders of high economic value is noted in order to definitively free oneself from the (now) assumed obligation; sometimes the necessity to proceed with the purchase of goods for amounts between 10,000 and 15,000 euros is emphasized, only to then "fall back" to the sale of goods for the "minimum" amount of 2,800 euros as the consideration due for the first purchase of the promotion; in some cases, the staff warn the consumer of the opportunity to sign financing contracts to settle the overall debt. Often, finally, they resort to the threat, in case of non-compliance with the alleged obligations assumed through the signing of the aforementioned form, to resort to legal action, sometimes even evoking the possibility of seizing the owned goods.</w:t>
      </w:r>
    </w:p>
    <w:p>
      <w:r>
        <w:t>It is evident that as a result of this commercial practice, carried out also through the described aggressive conduct, the consumer is unduly conditioned in their economic behavior.</w:t>
      </w:r>
    </w:p>
    <w:p>
      <w:r>
        <w:t>20. The commercial practice outlined, therefore, must be considered in contrast with the level of professional diligence ordinarily required. This lack of diligence is found in the specific misleading and aggressive methods with which the professional realizes and conveys their commercial communication that unduly conditions the consumer's decision-making process. All the more so, a strengthened obligation of correctness and diligence would be required in this case, since the sales staff, acting at the consumers' homes, inevitably hold a position of strength in relation to the consumers themselves.</w:t>
      </w:r>
    </w:p>
    <w:p>
      <w:r>
        <w:t>21. Lastly, it is highlighted that from the information contained in the complaints, it emerges that the professional did not inform the consumer clearly and understandably about the existence of the right of withdrawal, nor did they correctly indicate all the information required by Article 49, letter h), regarding the conditions and terms for exercising this right. Furthermore, the information required under Article 49, letter i), has been omitted, as no indication was provided regarding any costs to be incurred for the return of goods in case of withdrawal.</w:t>
      </w:r>
    </w:p>
    <w:p>
      <w:r>
        <w:t>VI. QUANTIFICATION OF THE SANCTION</w:t>
      </w:r>
    </w:p>
    <w:p>
      <w:r>
        <w:t>22. In application of Article 27, paragraph 9 of the Consumer Code, adopting a measure that prohibits an unfair commercial practice, it orders the application of an administrative pecuniary sanction from 5,000 to 5,000,000 euros, taking into account the severity and duration of the violation.</w:t>
      </w:r>
    </w:p>
    <w:p>
      <w:r>
        <w:t>23. Regarding the quantification of the sanction, account must be taken, as applicable, of the criteria identified by Article 11 of Law No. 689/81, by virtue of the reference provided in Article 27, paragraph 13, of the Consumer Code, namely, in particular: the severity of the violation, the efforts made by the company to eliminate or mitigate the infringement, the personality of the agent, as well as the economic conditions of the company itself.</w:t>
      </w:r>
    </w:p>
    <w:p>
      <w:r>
        <w:t>24. With regard to the severity of the violation, account is taken in the case under examination of the overall extent of the economic harm potentially suffered by consumers exposed to spending obligations not consciously signed, on the one hand, and the particular situation of weakness in which consumers find themselves during a home sale, on the other hand.</w:t>
      </w:r>
    </w:p>
    <w:p>
      <w:r>
        <w:t>25. As for the duration of the violation, from the elements available in the records, it appears that the conduct in question has been carried out since November 30, 2015,3 the date of the first report received, at least until January 26, 20174, the latter date to which the facts identified in the last report received refer.</w:t>
      </w:r>
    </w:p>
    <w:p>
      <w:r>
        <w:t>26. Taking into account all the elements mentioned, it is deemed appropriate to determine the amount of the administrative pecuniary sanction applicable to Sistemi per arredare S.r.l. in the amount of €35,000 (thirty-five thousand euros).</w:t>
      </w:r>
    </w:p>
    <w:p>
      <w:r>
        <w:t xml:space="preserve">3 See doc. n. 1.  </w:t>
        <w:br/>
        <w:t>4 See doc. 28.</w:t>
      </w:r>
    </w:p>
    <w:p>
      <w:r>
        <w:t>BULLETIN NO. 13 OF APRIL 10, 2017 53</w:t>
      </w:r>
    </w:p>
    <w:p>
      <w:r>
        <w:t>CONSIDERING, therefore, taking into account the opinion of the Authority for Guarantees in Communications, based on the aforementioned considerations, that the conduct in question, consisting of a commercial practice that is deemed unfair pursuant to Articles 20, 21, paragraph 1, letters b), c), and d), 22, 24, 25, and 26, paragraph 1, letters b) and f), of the Consumer Code as it is contrary to professional diligence and suitable, through home sales according to misleading and aggressive methods, to appreciably distort the economic behavior of the average consumer in relation to the products offered by the professional, as well as in behavior in violation of Article 49, letters h) and i), of the Consumer Code;</w:t>
      </w:r>
    </w:p>
    <w:p>
      <w:r>
        <w:t>RESOLVES</w:t>
      </w:r>
    </w:p>
    <w:p>
      <w:r>
        <w:t>a) that the conduct described in point II of this provision, carried out by the company Sistemi per arredare S.r.l., constitutes, for the reasons and within the limits set out in the motivation, an unfair commercial practice pursuant to Articles 20, 21, paragraph 1, letters b), c), and d), 22, 24, 25, and 26, paragraph 1, letters b) and f), of the Consumer Code, as well as behavior in violation of Article 49, letters h) and i), of the Consumer Code, and prohibits its continuation;</w:t>
      </w:r>
    </w:p>
    <w:p>
      <w:r>
        <w:t>b) to impose on the company Sistemi per arredare S.r.l. an administrative pecuniary sanction of €35,000 (thirty-five thousand euros);</w:t>
      </w:r>
    </w:p>
    <w:p>
      <w:r>
        <w:t>c) that the professional communicates to the Authority, within sixty days from the notification of this provision, the initiatives taken in compliance with the injunction referred to in point a). 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w:t>
      </w:r>
    </w:p>
    <w:p>
      <w:r>
        <w:rPr>
          <w:b/>
        </w:rPr>
        <w:t>[Pages 52–54]</w:t>
      </w:r>
    </w:p>
    <w:p>
      <w:r>
        <w:t>54 BULLETIN NO. 13 OF APRIL 10, 2017</w:t>
      </w:r>
    </w:p>
    <w:p>
      <w:r>
        <w:t>This provision will be notified to the interested parties and published in the Bulletin of the Competition and Market Authority.</w:t>
      </w:r>
    </w:p>
    <w:p>
      <w:r>
        <w:t>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f.f. THE PRESIDENT</w:t>
      </w:r>
    </w:p>
    <w:p>
      <w:r>
        <w:t>Roberto Chieppa Gabriella Muscolo</w:t>
      </w:r>
    </w:p>
    <w:p>
      <w:r>
        <w:t>BULLETIN NO. 13 OF APRIL 10, 2017 55</w:t>
      </w:r>
    </w:p>
    <w:p>
      <w:r>
        <w:t>PS10582 - AIRWAY HELICOPTERS - AIR TRANSPORT</w:t>
      </w:r>
    </w:p>
    <w:p>
      <w:r>
        <w:t>Provision No. 26502</w:t>
      </w:r>
    </w:p>
    <w:p>
      <w:r>
        <w:t>THE COMPETITION AND MARKET AUTHORITY</w:t>
      </w:r>
    </w:p>
    <w:p>
      <w:r>
        <w:t>IN ITS MEETING of March 22,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PARTY</w:t>
      </w:r>
    </w:p>
    <w:p>
      <w:r>
        <w:t>1. Airway Helicopters S.r.l. (hereinafter also "Airway"), as a professional, pursuant to Article 18, letter b), of the Consumer Code. The company operates in the field of aerial work and passenger transport by helicopter. In 2015, it generated revenues of approximately €236,000.</w:t>
      </w:r>
    </w:p>
    <w:p>
      <w:r>
        <w:t>II. THE COMMERCIAL PRACTICE</w:t>
      </w:r>
    </w:p>
    <w:p>
      <w:r>
        <w:t>2. According to the report from the National Civil Aviation Authority (hereinafter also "ENAC") received on September 20, 2016, the professional allegedly advertised on its website http://www.airwayhelicopters.it/# aerial work and passenger transport services by helicopter, leading consumers to believe that the company is authorized to perform them, whereas, in reality, the professional does not possess either the aerial work operator certificate or the operating license for air transport.</w:t>
      </w:r>
    </w:p>
    <w:p>
      <w:r>
        <w:t>III. THE OUTCOMES OF THE PROCEEDING</w:t>
      </w:r>
    </w:p>
    <w:p>
      <w:r>
        <w:t>1) The procedure process</w:t>
      </w:r>
    </w:p>
    <w:p>
      <w:r>
        <w:t>3. On October 20, 2016, official observations were made on the website of Airway Helicopters S.r.l. http://www.airwayhelicopters.it/# and the relevant web pages were acquired for the proceedings.</w:t>
      </w:r>
    </w:p>
    <w:p>
      <w:r>
        <w:t>4. In relation to the aforementioned conduct, on October 24, 2016, the Party was notified of the initiation of investigative proceeding No. PS105823 for possible violation of Articles 20, 21, and 22 of the Consumer Code.</w:t>
      </w:r>
    </w:p>
    <w:p>
      <w:r>
        <w:t>5. To the professional, simultaneously with the notification of the initiation of the proceeding, a request for information was sent pursuant to Article 12, paragraph 1, of the Regulation.</w:t>
      </w:r>
    </w:p>
    <w:p>
      <w:r>
        <w:t>1 Doc. No. 1 of the file.</w:t>
        <w:br/>
        <w:t>2 Doc. No. 4 of the file.</w:t>
        <w:br/>
        <w:t>3 Doc. No. 3.</w:t>
      </w:r>
    </w:p>
    <w:p>
      <w:r>
        <w:t>56 BULLETIN NO. 13 OF APRIL 10, 2017</w:t>
      </w:r>
    </w:p>
    <w:p>
      <w:r>
        <w:t>6. The Party responded to the request for information on November 15, 2016.</w:t>
      </w:r>
    </w:p>
    <w:p>
      <w:r>
        <w:t>7. On December 7, 2016, the professional submitted, pursuant to Article 27, paragraph 7 of the Consumer Code, commitments aimed at removing the unfair aspects of the contested commercial practice. The commitments provided that the professional would specify on its website, which had already been voluntarily taken down by the date of the submission of the commitments, that the services offered by Airway are carried out through third-party companies and operators in possession of the necessary aerial operator certificates and/or operating licenses. However, these commitments were rejected in the meeting of January 11, 2017, as the Authority found an interest in ascertaining the alleged unlawful conduct at the initiation of the proceeding and the commitments were deemed inadmissible. This was communicated to the professional on January 13, 2017.</w:t>
      </w:r>
    </w:p>
    <w:p>
      <w:r>
        <w:t>8. On February 10, 2017, the Party was notified of the conclusion date of the investigative phase, set for March 3, 2017, pursuant to Article 16, paragraph 1, of the Regulation.</w:t>
      </w:r>
    </w:p>
    <w:p>
      <w:r>
        <w:t>9. The professional did not submit any concluding memorandum.</w:t>
      </w:r>
    </w:p>
    <w:p>
      <w:r>
        <w:t>2) The evidence acquired</w:t>
      </w:r>
    </w:p>
    <w:p>
      <w:r>
        <w:t>10. In a communication dated September 20, 2016, ENAC complained about the alleged misleading nature of the commercial communications on the website http://www.airwayhelicopters.it/# aimed at promoting the provision of aerial work and passenger transport services by helicopter, since the professional Airway Helicopters S.r.l. does not possess the qualifications to perform such services.</w:t>
      </w:r>
    </w:p>
    <w:p>
      <w:r>
        <w:t>In particular, from the official observations made on October 20, 2016, it was found that the professional advertised the provision of aerial work services ("Transport of construction materials, Transport of timber") and passenger transport ("Flight over Val Venosta with a view of Ortles", "Flight over the Stubai Alps", "Small flight over the Dolomites", "Large flight over the Dolomites" and, in the section "Transport of people", flights from Olbia, Naples (Capodichino), Ile de Cavallo, Porto Cervo, Capri to various destinations located in Italy and France).</w:t>
      </w:r>
    </w:p>
    <w:p>
      <w:r>
        <w:t>3) The defensive arguments of the Party</w:t>
      </w:r>
    </w:p>
    <w:p>
      <w:r>
        <w:t>11. The professional, in a memorandum received on November 15, 2016, specified that the website in question is not accessible, that the company Airway would operate by offering aeronautical services through third parties in possession of the required licenses and authorizations. Finally, the company would primarily target businesses and operators in the sector and not consumers.</w:t>
      </w:r>
    </w:p>
    <w:p>
      <w:r>
        <w:t>4 Doc. No. 7</w:t>
        <w:br/>
        <w:t>5 Doc. No. 10.</w:t>
        <w:br/>
        <w:t>6 Doc. No. 7.</w:t>
      </w:r>
    </w:p>
    <w:p>
      <w:r>
        <w:rPr>
          <w:b/>
        </w:rPr>
        <w:t>[Pages 55–57]</w:t>
      </w:r>
    </w:p>
    <w:p>
      <w:r>
        <w:t>BULLETIN NO. 13 OF APRIL 10, 2017 57</w:t>
      </w:r>
    </w:p>
    <w:p>
      <w:r>
        <w:t>IV. OPINION OF THE AUTHORITY FOR GUARANTEES IN COMMUNICATIONS</w:t>
      </w:r>
    </w:p>
    <w:p>
      <w:r>
        <w:t>12. Since the commercial practice subject to this provision has been disseminated via the internet, on February 17, 2017, an opinion was requested from the Authority for Guarantees in Communications, pursuant to Article 27, paragraph 6, of the Consumer Code.</w:t>
      </w:r>
    </w:p>
    <w:p>
      <w:r>
        <w:t>13. In an opinion received on March 21, 2017, the aforementioned Authority expressed its evaluations regarding the suitability of the specific means of communication used to disseminate the commercial practice to affect and amplify any misleading nature of the same, considering that the use of the internet is a suitable tool to significantly influence the realization of the practice subject to the proceeding.</w:t>
      </w:r>
    </w:p>
    <w:p>
      <w:r>
        <w:t>V. CONCLUDING EVALUATIONS</w:t>
      </w:r>
    </w:p>
    <w:p>
      <w:r>
        <w:t>14. The proceeding concerns the misleading nature of the messages disseminated by Airway Helicopters S.r.l. on its website http://www.airwayhelicopters.it/#.</w:t>
      </w:r>
    </w:p>
    <w:p>
      <w:r>
        <w:t>15. In particular, on the aforementioned site, it is advertised that the professional provides aerial work and passenger transport services by helicopter, whereas, from the evidence on record, it appears that the company has never obtained the necessary authorizations to carry them out. Nor does the site contain any clarification regarding the possibility that the services in question could be provided, on behalf of Airway Helicopters S.r.l., by another authorized company.</w:t>
      </w:r>
    </w:p>
    <w:p>
      <w:r>
        <w:t>16. The professional, therefore, has disseminated messages that provide inaccurate information about the characteristics of the services offered, leading consumers to believe that the company is directly authorized to perform them, whereas, in reality, the professional does not possess either the aerial work operator certificate or the operating license for air transport, as represented by the National Civil Aviation Authority (ENAC), the competent administration for issuing the same.</w:t>
      </w:r>
    </w:p>
    <w:p>
      <w:r>
        <w:t>17. In its memorandum of November 15, 2016, Airway claimed that such services had been performed in the past by third-party companies, in possession of the necessary authorizations, without, however, providing any evidence of the names of such companies. Therefore, even if one were to consider this circumstance true, asserted but undocumented by the professional, the message is still to be considered misleading, as it omitted to indicate the role of mere intermediation performed by Airway and to specify the names of the subjects who would actually perform the advertised services. This omission is certainly relevant for the economic choices of the consumer who, based on the information received, is erroneously led to believe that they have turned to a company that directly provides aerial work and passenger transport services by helicopter, being authorized to do so, whereas in reality, the professional, not being in possession of the relevant licenses and certifications, only acts as an intermediary.</w:t>
      </w:r>
    </w:p>
    <w:p>
      <w:r>
        <w:t>18. The contested message, therefore, conveying inaccurate and incomplete information to potential clients regarding the qualifications of the professional and the nature of the services offered, does not allow the consumer to correctly assess the actual scope of the proposed offer, leading them to make a commercial decision that they would not have otherwise made.</w:t>
      </w:r>
    </w:p>
    <w:p>
      <w:r>
        <w:t>19. As observed so far, the normal degree of professional diligence referred to in Article 20, paragraph 2, of the Consumer Code is not found in this case, that is, the degree of specific competence and attention that an average consumer can reasonably expect from a professional operating in the relevant sector, regarding the truthfulness and completeness of their commercial communications, particularly concerning the qualifications of the professional and the nature of the services offered.</w:t>
      </w:r>
    </w:p>
    <w:p>
      <w:r>
        <w:t>20. In conclusion, the conduct of the professional, consisting of disseminating an advertising message through the website http://www.airwayhelicopters.it/#, which conveys misleading information regarding the qualifications of the professional and the nature of the services offered by them, is to be considered an unfair commercial practice pursuant to Articles 20, 21, and 22 of the Consumer Code, as it is contrary to professional diligence and capable of appreciably distorting the economic behavior of the average consumer.</w:t>
      </w:r>
    </w:p>
    <w:p>
      <w:r>
        <w:t>VI. QUANTIFICATION OF THE SANCTION</w:t>
      </w:r>
    </w:p>
    <w:p>
      <w:r>
        <w:t>21.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22. Regarding the quantification of the sanction, the criteria identified in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23. With regard to the severity of the violation, consideration is given in this case to the dissemination of the message via the internet, a means potentially capable of reaching a considerable number of consumers.</w:t>
      </w:r>
    </w:p>
    <w:p>
      <w:r>
        <w:t>24. As for the duration of the violation, from the available evidence on record, it appears that the commercial practice has been in place at least since September 2016, when the report was received from ENAC, until November 2016, when the site was voluntarily taken down.</w:t>
      </w:r>
    </w:p>
    <w:p>
      <w:r>
        <w:t>25. Considering these criteria, it is deemed appropriate to determine the amount of the administrative pecuniary sanction applicable to Airway Helicopters S.r.l. at €15,000 (fifteen thousand euros).</w:t>
      </w:r>
    </w:p>
    <w:p>
      <w:r>
        <w:t>THEREFORE, CONSIDERING the opinion of the Authority for Guarantees in Communications, based on the above considerations, that the commercial practice in question is deemed unfair pursuant to Articles 20, 21, and 22 of the Consumer Code, as it is contrary to professional diligence and capable of appreciably distorting the economic behavior of the average consumer in relation to the services promoted by the professional and the qualifications held by them;</w:t>
      </w:r>
    </w:p>
    <w:p>
      <w:r>
        <w:t>RESOLVES</w:t>
      </w:r>
    </w:p>
    <w:p>
      <w:r>
        <w:t>a) that the commercial practice described in point II of this provision, carried out by Airway Helicopters S.r.l., constitutes, for the reasons and within the limits stated in the motivation, an unfair commercial practice pursuant to Articles 20, 21, and 22 of the Consumer Code, and prohibits its dissemination or continuation;</w:t>
      </w:r>
    </w:p>
    <w:p>
      <w:r>
        <w:t>BULLETIN NO. 13 OF APRIL 10, 2017 59</w:t>
      </w:r>
    </w:p>
    <w:p>
      <w:r>
        <w:t>b) to impose on Airway Helicopters S.r.l. an administrative pecuniary sanction of €15,000 (fifteen thousand euros);</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rPr>
          <w:b/>
        </w:rPr>
        <w:t>[Pages 58–60]</w:t>
      </w:r>
    </w:p>
    <w:p>
      <w:r>
        <w:t>60 BULLETIN NO. 13 OF APRIL 10, 2017</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period of one hundred and twenty days from the date of notification of the provision itself.</w:t>
      </w:r>
    </w:p>
    <w:p>
      <w:r>
        <w:t>THE SECRETARY GENERAL f.f. THE PRESIDENT</w:t>
      </w:r>
    </w:p>
    <w:p>
      <w:r>
        <w:t>Roberto Chieppa Gabriella Muscolo</w:t>
      </w:r>
    </w:p>
    <w:p>
      <w:r>
        <w:t>BULLETIN NO. 13 OF APRIL 10, 2017 61</w:t>
      </w:r>
    </w:p>
    <w:p>
      <w:r>
        <w:t>PS10606 - WATER &amp; PHARMA - WATER DEVICES</w:t>
      </w:r>
    </w:p>
    <w:p>
      <w:r>
        <w:t>Provision No. 26503</w:t>
      </w:r>
    </w:p>
    <w:p>
      <w:r>
        <w:t>THE COMPETITION AND MARKET AUTHORITY</w:t>
      </w:r>
    </w:p>
    <w:p>
      <w:r>
        <w:t>IN ITS MEETING of March 22, 2017;</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PARTY</w:t>
      </w:r>
    </w:p>
    <w:p>
      <w:r>
        <w:t>1. Reale Giuseppe Sebastiano, owner of the sole proprietorship Acqua &amp; Farma of Reale Giuseppe Sebastiano, as a professional, pursuant to Article 18, paragraph 1, letter b), of the Consumer Code, operates in the marketing of water treatment devices under the brand "Acqua &amp; Farma."</w:t>
      </w:r>
    </w:p>
    <w:p>
      <w:r>
        <w:t>No data is available regarding the revenue generated, as it has not been communicated by the professional nor are there tax declarations certifying revenues and/or profits attributable to the business activity1.</w:t>
      </w:r>
    </w:p>
    <w:p>
      <w:r>
        <w:t>II. THE COMMERCIAL PRACTICE</w:t>
      </w:r>
    </w:p>
    <w:p>
      <w:r>
        <w:t>2. According to a report from a competitor received on October 4, 2016, some indications present on the website www.acquaefarma.it of the sole proprietorship Acqua &amp; Farma of Reale Giuseppe Sebastiano, regarding the characteristics of the devices marketed by it would be misleading. In particular, the report highlights that, on the site, it is stated that the water treated through such products would provide health benefits.</w:t>
      </w:r>
    </w:p>
    <w:p>
      <w:r>
        <w:t>III. THE FINDINGS OF THE PROCEEDING</w:t>
      </w:r>
    </w:p>
    <w:p>
      <w:r>
        <w:t>1) The procedure process</w:t>
      </w:r>
    </w:p>
    <w:p>
      <w:r>
        <w:t>3. On November 4, 20162, official observations were made on the professional's website http://www.acquaefarma.it and the relevant web pages were acquired for the proceedings.</w:t>
      </w:r>
    </w:p>
    <w:p>
      <w:r>
        <w:t>4. In relation to the aforementioned conduct, on November 4, 2016, the Party was notified of the initiation of investigative proceeding No. PS106063 for possible violation of Articles 20, paragraph 2, 21, paragraph 1, letters b) and c), and 23, paragraph 1, letters d) and s), of the Consumer Code.</w:t>
      </w:r>
    </w:p>
    <w:p>
      <w:r>
        <w:t>1 See information provided by the Special Antitrust Unit of the Guardia di Finanza on March 1, 2017 (prot. No. 0023402).</w:t>
        <w:br/>
        <w:t>2 Doc. No. 3 of the file.</w:t>
      </w:r>
    </w:p>
    <w:p>
      <w:r>
        <w:t>62 BULLETIN NO. 13 OF APRIL 10, 2017</w:t>
      </w:r>
    </w:p>
    <w:p>
      <w:r>
        <w:t>5. To the professional, simultaneously with the communication of the initiation of the proceeding, a request for information was sent pursuant to Article 12, paragraph 1, of the Regulation.</w:t>
      </w:r>
    </w:p>
    <w:p>
      <w:r>
        <w:t>6. The Party did not respond to the request for information and did not submit any statements.</w:t>
      </w:r>
    </w:p>
    <w:p>
      <w:r>
        <w:t>7. On January 18, 2017, the Party was notified of the conclusion date of the investigative phase4, set for February 8, 2017, pursuant to Article 16, paragraph 1, of the Regulation.</w:t>
      </w:r>
    </w:p>
    <w:p>
      <w:r>
        <w:t>8. The professional did not submit any concluding statement.</w:t>
      </w:r>
    </w:p>
    <w:p>
      <w:r>
        <w:t>2) The evidence acquired</w:t>
      </w:r>
    </w:p>
    <w:p>
      <w:r>
        <w:t>i) The commercial practice</w:t>
      </w:r>
    </w:p>
    <w:p>
      <w:r>
        <w:t>9. The sole proprietorship Acqua &amp; Farma of Reale Giuseppe Sebastiano markets water treatment devices under the brand "Acqua &amp; Farma," which are presented through the website http://www.acquaefarma.it.</w:t>
      </w:r>
    </w:p>
    <w:p>
      <w:r>
        <w:t>10. The allegedly incorrect commercial practice concerns the presentation, on the aforementioned site, of advertising messages containing claims regarding supposed properties of the water obtainable through the aforementioned products. In particular, it is stated that the water in question "is rich in antioxidants and minerals. Alkaline water restores the natural acid-base balance of the body, countering: aging, degenerative diseases, nutritional deficiencies. The Acqua &amp; Farma system produces alkaline water with interesting therapeutic properties, such as the regulation of body pH and the elimination of waste from the body. The alkaline water of Acqua &amp; Farma creates a true detoxifying cure, enhanced by the antioxidant effect due to the high concentration of hydroxyl ions, which provide effective protection against free radicals responsible for numerous degenerative diseases and premature aging. Acqua &amp; Farma allows you to regain the right acid-base balance, which is our real water requirement, greater hydration; deep cleaning of the body; effective fight against free radicals; prevention of diseases such as: diabetes, allergies, arthritis, hypertension, tumors, etc... Regulation of intestinal functions; slowing down of skin aging; solution to the problem of water retention […] Prevents chronic dehydration, rebalances the acid-base, determines the optimal pH for our body. The healing benefits of Acqua &amp; Farma alkaline against: allergies, arthritis and joint pain, cancer, high cholesterol, type 2 diabetes, edema, hypertension, premature aging, cardiovascular diseases, fatigue, constipation. Prevents food poisoning, eliminates dental and oral bacteria, helps in hair care, rapid healing of wounds and skin infections, significantly reduces skin aging, solves skin problems…” (emphasis added).</w:t>
      </w:r>
    </w:p>
    <w:p>
      <w:r>
        <w:t>11. The site also contains the following statement “Decree of February 7, 2012, No. 25, Technical provisions concerning equipment intended for the treatment of water for human consumption. For this reason, every ACQUA &amp; FARMA system is able to meet the safety requirements for your child. Our systems comply with what is established by the Ministry of Health with decree No. 174 of April 6, 2004 and what is provided by Decree No. 25 of February 7, 2012.” On the same page of the site, the logos of the Ministry of Health and the Higher Institute of Health also appear.</w:t>
      </w:r>
    </w:p>
    <w:p>
      <w:r>
        <w:t>3 Doc. No. 2.</w:t>
        <w:br/>
        <w:t>4 Doc. No. 7.</w:t>
      </w:r>
    </w:p>
    <w:p>
      <w:r>
        <w:rPr>
          <w:b/>
        </w:rPr>
        <w:t>[Pages 61–63]</w:t>
      </w:r>
    </w:p>
    <w:p>
      <w:r>
        <w:t>BULLETIN NO. 13 OF APRIL 10, 2017 63</w:t>
      </w:r>
    </w:p>
    <w:p>
      <w:r>
        <w:t>3) The defensive arguments of the professional</w:t>
      </w:r>
    </w:p>
    <w:p>
      <w:r>
        <w:t>12. The professional did not submit any memorandum.</w:t>
      </w:r>
    </w:p>
    <w:p>
      <w:r>
        <w:t>IV. OPINION OF THE AUTHORITY FOR GUARANTEES IN COMMUNICATIONS</w:t>
      </w:r>
    </w:p>
    <w:p>
      <w:r>
        <w:t>13. Since the commercial practice subject to this provision was disseminated via the internet, on February 13, 20175, an opinion was requested from the Authority for Guarantees in Communications, pursuant to Article 27, paragraph 6, of the Consumer Code.</w:t>
      </w:r>
    </w:p>
    <w:p>
      <w:r>
        <w:t>14. In an opinion received on March 8, 2017, the aforementioned Authority expressed its evaluations regarding the suitability of the specific means of communication used to disseminate the commercial practice to affect and amplify any misleading nature of the same, considering that the use of the internet is a suitable tool to significantly influence the realization of the practice subject to the proceeding.</w:t>
      </w:r>
    </w:p>
    <w:p>
      <w:r>
        <w:t>V. CONCLUDING EVALUATIONS</w:t>
      </w:r>
    </w:p>
    <w:p>
      <w:r>
        <w:t>15. The practice under evaluation consists of the dissemination, through the professional's website, of information regarding the properties and benefits achievable through the consumption of alkaline water as well as regarding the characteristics of the devices themselves, presented as compliant with what is established by the Ministry of Health, whose logo is also reproduced on the site.</w:t>
      </w:r>
    </w:p>
    <w:p>
      <w:r>
        <w:t>16. With regard to the dissemination of health claims and boasts, it is noted that the message misleadingly emphasizes the properties and benefits of the water treated with the devices marketed by the professional, leading consumers to believe that the consumption of water obtained through the aforementioned devices is capable of preventing extremely serious diseases such as diabetes, allergies, arthritis, hypertension, tumors, etc.</w:t>
      </w:r>
    </w:p>
    <w:p>
      <w:r>
        <w:t>17. In reality, the claims used have no scientific basis and must therefore be considered inaccurate, as they attribute to water properties and characteristics that it cannot boast according to what is established at the community level by Regulation (EC) No. 1924/2006.</w:t>
      </w:r>
    </w:p>
    <w:p>
      <w:r>
        <w:t>18. According to the aforementioned Regulation, health claims are prohibited unless they comply with the general and specific requirements provided and are authorized under the regulation in question and included in the lists of authorized claims (see Article 10, paragraph 1). Ultimately, health claims can be used in the presentation and advertising of food products only if they comply with the provisions of the same Regulation.</w:t>
      </w:r>
    </w:p>
    <w:p>
      <w:r>
        <w:t>19. In this context, the advertising messages under examination appear misleading and not scientifically founded, primarily because they contain a whole series of specific health claims – largely referenced in point 10 above – which, in order to be used, should have obtained the authorization referred to in Articles 15 and 16 of Regulation (EC) No. 1924/2006, whereas they are not authorized. In this regard, it is not superfluous to highlight that the only scientifically validated claims regarding water are those reported in the annex to Regulation (EU) No. 432/2012, exclusively referring to the fact that water "contributes to the maintenance of normal cognitive and physical functions" and that "it contributes to the maintenance of normal regulation of body temperature."</w:t>
      </w:r>
    </w:p>
    <w:p>
      <w:r>
        <w:t>20. The use of non-scientifically validated health claims is likely to mislead consumers to their economic detriment and violates the due diligence obligations incumbent on the professional since they were bound, in light of Regulation No. 1924/06, to respect the scientific basis of the nutritional and health claims made in the presentation and advertising of the product6.</w:t>
      </w:r>
    </w:p>
    <w:p>
      <w:r>
        <w:t>21. It should also be noted that references to the performance of water treatment devices must, pursuant to Article 8 of Ministerial Decree No. 25 of February 7, 2012, "refer exclusively to substances and/or elements and/or biological parameters tested experimentally, or be documented by literature commonly accepted at the international level" and, in any case, the devices themselves "do not have a health character, primarily aimed at modifying the organoleptic characteristics of water, removing substances responsible for alterations in odor and taste and/or combining carbonation and/or refrigeration processes" (see "Guidelines on water treatment devices intended for human consumption pursuant to Ministerial Decree No. 25 of February 7, 2012").</w:t>
      </w:r>
    </w:p>
    <w:p>
      <w:r>
        <w:t>22. The message is also misleading to the extent that - through the reference to sector regulations and the display of the logos of the Ministry of Health and the Higher Institute of Health - it implies that the device has received prior verification and/or certification from public institutions responsible for oversight and control in the field of health safety.</w:t>
      </w:r>
    </w:p>
    <w:p>
      <w:r>
        <w:t>With such advertising presentation methods, the professional indeed creates in the recipients of the message the false perception that the marketed products are characterized by absolute reliability in terms of quality and safety, whereas the devices in question, not having a health character, have not received any prior approval from the Ministry of Health and the professional is not authorized to display the logos of the Ministry and the Higher Institute of Health.</w:t>
      </w:r>
    </w:p>
    <w:p>
      <w:r>
        <w:t>23. The commercial practice is, for the reasons expressed above, misleading and not compliant with the reasonably expected professional diligence, given the necessity that the advertised characteristics of the water treated by the product in question and the claims regarding health benefits are truthful.</w:t>
      </w:r>
    </w:p>
    <w:p>
      <w:r>
        <w:t>24. In light of the above, the commercial practice in consideration must be deemed incorrect pursuant to Articles 20, paragraph 2, 21, paragraph 1, letters b) and c), and 23, paragraph 1, letters d) and s), of the Consumer Code, as it is contrary to professional diligence and likely to appreciably distort the economic behavior of consumers, due to the dissemination of untruthful information regarding the characteristics of the product, as well as the results obtainable with its use.</w:t>
      </w:r>
    </w:p>
    <w:p>
      <w:r>
        <w:t>6 In Recital 8 of Regulation No. 1924/06, it states, among other things: "It is appropriate to establish general principles applicable to all claims made on food products to ensure a high level of consumer protection, to provide consumers with the necessary information to make choices in full awareness of the facts, and to create fair competitive conditions for the food industry." But see also Recitals 10, 16 as well as Articles 1 and 3. It should also be noted that the concern of the community legislator extends to verifying consumer perception and understanding regarding the nutritional and health claims present on foods: Article 27. Furthermore, in Recital (9) of Regulation (EU) No. 432/2012, it states that "One of the objectives of Regulation (EC) No. 1924/2006 is to ensure that health claims are truthful, clear, reliable, and useful to consumers."</w:t>
      </w:r>
    </w:p>
    <w:p>
      <w:r>
        <w:t>BULLETIN NO. 13 OF APRIL 10, 2017 65</w:t>
      </w:r>
    </w:p>
    <w:p>
      <w:r>
        <w:t>VI. QUANTIFICATION OF THE SANCTION</w:t>
      </w:r>
    </w:p>
    <w:p>
      <w:r>
        <w:t>25.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26.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 Regarding this last aspect, it should be noted that the professional is a sole proprietorship, of which the turnover is not known.</w:t>
      </w:r>
    </w:p>
    <w:p>
      <w:r>
        <w:t>27. With regard to the severity of the violation, account is taken in the case under examination of the method of dissemination of the offer through the internet, a means potentially capable of reaching a large number of consumers, as well as the particular relevance of the unfairness profile concerning indications related to consumer health.</w:t>
      </w:r>
    </w:p>
    <w:p>
      <w:r>
        <w:t>28. As for the duration of the violation, from the elements available in the records, it appears that the commercial practice has been carried out since at least October 2016 and is still ongoing7.</w:t>
      </w:r>
    </w:p>
    <w:p>
      <w:r>
        <w:t>29. Based on these elements, it is deemed appropriate to determine the amount of the administrative pecuniary sanction applicable to Mr. Reale Giuseppe Sebastiano, owner of the sole proprietorship Acqua &amp; Farma of Reale Giuseppe Sebastiano, in the amount of €20,000 (twenty thousand euros).</w:t>
      </w:r>
    </w:p>
    <w:p>
      <w:r>
        <w:t>THEREFORE, considering the opinion of the Authority for Guarantees in Communications, based on the above considerations, that the commercial practice under examination is deemed unfair pursuant to Articles 20, paragraph 2, 21, paragraph 1, letters b) and c), and 23, paragraph 1, letters d) and s), of the Consumer Code;</w:t>
      </w:r>
    </w:p>
    <w:p>
      <w:r>
        <w:t>RESOLVES</w:t>
      </w:r>
    </w:p>
    <w:p>
      <w:r>
        <w:t>a) that the commercial practice described in point II of this provision, carried out by Mr. Reale Giuseppe Sebastiano, owner of the sole proprietorship Acqua &amp; Farma of Reale Giuseppe Sebastiano, constitutes, for the reasons and within the limits stated in the motivation, an unfair commercial practice pursuant to Articles 20, paragraph 2, 21, paragraph 1, letters b) and c), and 23, paragraph 1, letters d) and s), of the Consumer Code, and prohibits its dissemination or continuation;</w:t>
      </w:r>
    </w:p>
    <w:p>
      <w:r>
        <w:t>b) to impose on Mr. Reale Giuseppe Sebastiano, owner of the sole proprietorship Acqua &amp; Farma of Reale Giuseppe Sebastiano, an administrative pecuniary sanction of €20,000 (twenty thousand euros);</w:t>
      </w:r>
    </w:p>
    <w:p>
      <w:r>
        <w:t>c) that the professional communicates to the Authority, within ninety days from the notification of this provision, the initiatives taken in compliance with the injunction referred to in point a).</w:t>
      </w:r>
    </w:p>
    <w:p>
      <w:r>
        <w:t>7 See report of October 4, 2016 (doc. n. 1) and detection of March 6, 2017 (doc. n. 11).</w:t>
      </w:r>
    </w:p>
    <w:p>
      <w:r>
        <w:rPr>
          <w:b/>
        </w:rPr>
        <w:t>[Pages 64–65]</w:t>
      </w:r>
    </w:p>
    <w:p>
      <w:r>
        <w:t>66 BULLETIN NO. 13 OF APRIL 10, 2017</w:t>
      </w:r>
    </w:p>
    <w:p>
      <w:r>
        <w:t>The administrative sanction imposed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ACTING SECRETARY GENERAL THE PRESIDENT</w:t>
      </w:r>
    </w:p>
    <w:p>
      <w:r>
        <w:t>Roberto Chieppa Gabriella Muscolo</w:t>
      </w:r>
    </w:p>
    <w:p>
      <w:r>
        <w:t>Competition and Market Authority Weekly Bulletin Year XXVII - No. 13 - 2017</w:t>
      </w:r>
    </w:p>
    <w:p>
      <w:r>
        <w:t>Editorial Coordination Giulia Antenucci</w:t>
      </w:r>
    </w:p>
    <w:p>
      <w:r>
        <w:t>Editorial Staff Sandro Cini, Alberto Fardin, Valerio Ruocco, Simonetta Schettini</w:t>
      </w:r>
    </w:p>
    <w:p>
      <w:r>
        <w:t>Competition and Market Authority</w:t>
      </w:r>
    </w:p>
    <w:p>
      <w:r>
        <w:t>Office of Statistics and IT Applications</w:t>
      </w:r>
    </w:p>
    <w:p>
      <w:r>
        <w:t>Piazza Giuseppe Verdi, 6/a - 00198 Rome</w:t>
      </w:r>
    </w:p>
    <w:p>
      <w:r>
        <w:t>Tel.: 06-858211 Fax: 06-85821256</w:t>
      </w:r>
    </w:p>
    <w:p>
      <w:r>
        <w:t>Web: http://www.agcm.it</w:t>
      </w:r>
    </w:p>
    <w:p>
      <w: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