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https://agcm.it/dotcmsdoc/bollettini/2019/13-19.pdf</w:t>
      </w:r>
    </w:p>
    <w:p>
      <w:r>
        <w:t>Pages translated : 74</w:t>
      </w:r>
    </w:p>
    <w:p/>
    <w:p>
      <w:r>
        <w:rPr>
          <w:b/>
        </w:rPr>
        <w:t>[Pages 1–3]</w:t>
      </w:r>
    </w:p>
    <w:p>
      <w:r>
        <w:t>Bulletin</w:t>
        <w:br/>
        <w:t>Weekly</w:t>
        <w:br/>
        <w:t>Year XXIX - No. 13</w:t>
        <w:br/>
        <w:t>Published on the website www.agcm.it</w:t>
        <w:br/>
        <w:t>April 1, 2019</w:t>
      </w:r>
    </w:p>
    <w:p>
      <w:r>
        <w:t>SUMMARY</w:t>
        <w:br/>
        <w:t>AGREEMENTS AND ABUSE OF DOMINANT POSITION 5</w:t>
        <w:br/>
        <w:t>I820 - MONTHLY BILLING WITH TARIFF RESTRUCTURING</w:t>
        <w:br/>
        <w:t>Decision No. 27597 5</w:t>
        <w:br/>
        <w:t>CONCENTRATION OPERATIONS 7</w:t>
        <w:br/>
        <w:t>C12219 - EUROCAR ITALIA/SAOTTINI AUTO</w:t>
        <w:br/>
        <w:t>Decision No. 27594 7</w:t>
        <w:br/>
        <w:t>C12220 - SALINI IMPREGILO/COSSI COSTRUZIONI</w:t>
        <w:br/>
        <w:t>Decision No. 27595 13</w:t>
        <w:br/>
        <w:t>C12221 - DRAUGHTCO/CELLI</w:t>
        <w:br/>
        <w:t>Decision No. 27596 16</w:t>
        <w:br/>
        <w:t>ACTIVITIES OF REPORTING AND CONSULTATION 20</w:t>
        <w:br/>
        <w:t>AS1571 – CONSIP – TENDER FOR THE AWARD OF CLEANING SERVICES IN OFFICES</w:t>
        <w:br/>
        <w:t>UNIVERSITIES AND RESEARCH ENTITIES – FIRST EDITION 20</w:t>
        <w:br/>
        <w:t>AS1572 - DRAFT OF DPR CONTAINING AMENDMENTS TO DPR NO. 358/2000 - TELEMATICS DESK</w:t>
        <w:br/>
        <w:t>FOR MOTORISTS 22</w:t>
        <w:br/>
        <w:t>AS1573 – TENDER FOR THE SUPPLY OF AIR AMBULANCE SERVICES 24</w:t>
        <w:br/>
        <w:t>AS1574 - COMMENTS ON THE 2019 BUDGET LAW 28</w:t>
        <w:br/>
        <w:t>UNFAIR COMMERCIAL PRACTICES 36</w:t>
        <w:br/>
        <w:t>IP300 - GIRADA-ONLINE SALES</w:t>
        <w:br/>
        <w:t>Decision No. 27598 36</w:t>
        <w:br/>
        <w:t>PS10569 - OPTIMA ITALIA-VITAMIA OFFER 49</w:t>
      </w:r>
    </w:p>
    <w:p>
      <w:r>
        <w:t>BULLETIN NO. 13 OF APRIL 1, 2019 5</w:t>
        <w:br/>
        <w:t>AGREEMENTS AND ABUSE OF DOMINANT POSITION</w:t>
        <w:br/>
        <w:t>I820 - MONTHLY BILLING WITH TARIFF RESTRUCTURING</w:t>
        <w:br/>
        <w:t>Decision No. 27597</w:t>
        <w:br/>
        <w:t>THE ANTITRUST AUTHORITY</w:t>
        <w:br/>
        <w:t>IN ITS MEETING of March 12, 2019;</w:t>
        <w:br/>
        <w:t>HEARD the Rapporteur Professor Michele Ainis;</w:t>
        <w:br/>
        <w:t>HAVING REGARD to Law No. 287 of October 10, 1990;</w:t>
        <w:br/>
        <w:t>HAVING REGARD to Article 101 of the Treaty on the Functioning of the European Union (TFEU);</w:t>
        <w:br/>
        <w:t>HAVING REGARD to Council Regulation (EC) No. 1/2003 of December 16, 2002;</w:t>
        <w:br/>
        <w:t>HAVING REGARD to Presidential Decree No. 217 of April 30, 1998;</w:t>
        <w:br/>
        <w:t>HAVING REGARD to its resolution of February 7, 2018, which initiated an investigation pursuant to</w:t>
        <w:br/>
        <w:t>Article 14 of Law No. 287/90, against Assotelecomunicazioni – Asstel, Fastweb S.p.A., Telecom Italia S.p.A., Vodafone Italia S.p.A., and Wind Tre S.p.A., to ascertain the existence of</w:t>
        <w:br/>
        <w:t>a violation of Article 101 TFEU;</w:t>
        <w:br/>
        <w:t>HAVING REGARD to its resolutions of March 21 and April 11, 2018, by which a precautionary measure was adopted, pursuant to Article 14-bis of Law No. 287/90, against Fastweb S.p.A., Telecom Italia S.p.A., Vodafone Italia S.p.A., and Wind Tre S.p.A., aimed at ordering the Parties</w:t>
        <w:br/>
        <w:t>to suspend the contested repricing in the initiation decision of the investigation and the consequent</w:t>
        <w:br/>
        <w:t>independent determination of their commercial offer;</w:t>
        <w:br/>
        <w:t>HAVING REGARD to the documents of the proceeding;</w:t>
        <w:br/>
        <w:t>CONSIDERING the complexity of the case subject to the proceeding;</w:t>
        <w:br/>
        <w:t>CONSIDERING the integration into this proceeding of a complex precautionary phase, the initiation</w:t>
        <w:br/>
        <w:t>of which was decided after the conduct of inspection activities and which also required</w:t>
        <w:br/>
        <w:t>verification of compliance with the adopted precautionary measure;</w:t>
        <w:br/>
        <w:t>CONSIDERING the need to thoroughly process the information contained in the documentation acquired in the proceedings, while ensuring the broadest exercise of the right of defense and the full unfolding of the adversarial process;</w:t>
        <w:br/>
        <w:t>THEREFORE CONSIDERED necessary to proceed with the postponement of the deadline for the conclusion of the</w:t>
        <w:br/>
        <w:t>proceeding, currently set for March 31, 2019;</w:t>
        <w:br/>
        <w:t>RESOLVES</w:t>
        <w:br/>
        <w:t>to extend the deadline for the conclusion of the proceeding to July 31, 2019.</w:t>
      </w:r>
    </w:p>
    <w:p>
      <w:r>
        <w:rPr>
          <w:b/>
        </w:rPr>
        <w:t>[Pages 4–6]</w:t>
      </w:r>
    </w:p>
    <w:p>
      <w:r>
        <w:t>6 BULLETIN NO. 13 OF APRIL 1, 2019</w:t>
      </w:r>
    </w:p>
    <w:p>
      <w:r>
        <w:t>This provision will be notified to the interested parties and published in the Bulletin of the Authority for Competition and the Market.</w:t>
      </w:r>
    </w:p>
    <w:p>
      <w:r>
        <w:t>THE SECRETARY GENERAL THE PRESIDENT pro tempore</w:t>
        <w:br/>
        <w:t>Filippo Arena Gabriella Muscolo</w:t>
      </w:r>
    </w:p>
    <w:p>
      <w:r>
        <w:t>BULLETIN NO. 13 OF APRIL 1, 2019 7</w:t>
      </w:r>
    </w:p>
    <w:p>
      <w:r>
        <w:t>CONCENTRATION OPERATIONS</w:t>
      </w:r>
    </w:p>
    <w:p>
      <w:r>
        <w:t>C12219 - EUROCAR ITALIA/SAOTTINI AUTO</w:t>
      </w:r>
    </w:p>
    <w:p>
      <w:r>
        <w:t>Provision No. 27594</w:t>
      </w:r>
    </w:p>
    <w:p>
      <w:r>
        <w:t>THE AUTHORITY FOR COMPETITION AND THE MARKET</w:t>
      </w:r>
    </w:p>
    <w:p>
      <w:r>
        <w:t>IN ITS MEETING of March 12, 2019;</w:t>
      </w:r>
    </w:p>
    <w:p>
      <w:r>
        <w:t>HEARD the Rapporteur Dr. Gabriella Muscolo;</w:t>
      </w:r>
    </w:p>
    <w:p>
      <w:r>
        <w:t>HAVING REGARD to Law No. 287 of October 10, 1990;</w:t>
      </w:r>
    </w:p>
    <w:p>
      <w:r>
        <w:t>HAVING REGARD to Presidential Decree No. 217 of April 30, 1998;</w:t>
      </w:r>
    </w:p>
    <w:p>
      <w:r>
        <w:t>HAVING REGARD to the act of the company Eurocar Italia S.r.l., received on February 19, 2019;</w:t>
      </w:r>
    </w:p>
    <w:p>
      <w:r>
        <w:t>CONSIDERED the following:</w:t>
      </w:r>
    </w:p>
    <w:p>
      <w:r>
        <w:t>I. THE PARTIES</w:t>
      </w:r>
    </w:p>
    <w:p>
      <w:r>
        <w:t>1. Eurocar Italia S.r.l. (hereinafter, Eurocar) is a company active in the retail distribution of cars (new and used) and light commercial vehicles (new and used) of the Volkswagen group brands, as well as original spare parts of the Volkswagen group brands in Italy, and in the related repair and maintenance activities. Eurocar operates in Italy in some provinces of Friuli Venezia Giulia (Gorizia, Udine, and Trieste) and in Tuscany (in the province of Florence). Following the acquisitions recently authorized by the European Commission (hereinafter, the Commission) of Bonaldi Motori S.p.A. and Bonaldi Tech S.p.A. (hereinafter, together, Bonaldi) and of Vicentini S.p.A. (hereinafter, Vicentini), it is now also active, through Bonaldi, in some provinces of Lombardy (Milan, Sondrio, Bergamo, Lecco) and, through Vicentini, in the province of Verona (Veneto). Finally, the Authority on December 13, 2018, authorized the acquisition by Eurocar of Dorigoni S.p.A. (hereinafter, Dorigoni), a Volkswagen dealer active in the province of Trento.</w:t>
      </w:r>
    </w:p>
    <w:p>
      <w:r>
        <w:t>Eurocar is indirectly controlled by Porsche Holding Gesellschaft m.b.H., which is in turn indirectly controlled by Volkswagen AG, the company at the top of the Volkswagen group. Volkswagen AG is a company established under German law whose shares are listed on the Frankfurt Stock Exchange.</w:t>
      </w:r>
    </w:p>
    <w:p>
      <w:r>
        <w:t>In 2017, the Volkswagen group achieved a consolidated worldwide revenue of approximately 231.4 billion euros, of which approximately [100-200] million euros from sales in the European Union and approximately [8-9] billion euros from sales in Italy.</w:t>
      </w:r>
    </w:p>
    <w:p>
      <w:r>
        <w:t>1 See Commission Decision of August 1, 2018, COMP/M.8963 – Eurocar/Bonaldi.</w:t>
        <w:br/>
        <w:t>2 See Commission Decision of September 10, 2018, COMP/M.9070 – Eurocar/Vicentini.</w:t>
        <w:br/>
        <w:t>3 See provision No. 27458 of December 12, 2018, C12203 – EUROCAR/DORIGONI.</w:t>
        <w:br/>
        <w:t>4 For the purposes of this Operation, as provided for in paragraph 172 of the Consolidated Communication, the revenue of the Volkswagen group includes the revenues of Bonaldi, Vicentini, and Dorigoni.</w:t>
        <w:br/>
        <w:t>* In this version, some data are omitted, as elements of confidentiality or secrecy of the information were deemed to exist.</w:t>
      </w:r>
    </w:p>
    <w:p>
      <w:r>
        <w:t>8 BULLETIN NO. 13 OF APRIL 1, 2019</w:t>
      </w:r>
    </w:p>
    <w:p>
      <w:r>
        <w:t>2. Saottini Auto S.p.A. (hereinafter, Saottini or the Target) is a company active in the retail distribution of cars (new and used) and light commercial vehicles (new and used) of the Volkswagen group brands, of Ducati motorcycles (a brand of the Volkswagen group), as well as original spare parts of the Volkswagen group brands in Italy, and in the related repair and maintenance activities. Saottini also carries out, on a completely residual basis, the activity of car rental without a driver. Saottini's activity is limited to the Italian territory, particularly in the province of Brescia, where it operates through various branches in Brescia and Desenzano del Garda.</w:t>
      </w:r>
    </w:p>
    <w:p>
      <w:r>
        <w:t>The share capital of Saottini is held by two individuals (hereinafter, the Sellers) and by Saottini itself as treasury shares.</w:t>
      </w:r>
    </w:p>
    <w:p>
      <w:r>
        <w:t>In 2017, Saottini achieved a worldwide revenue of approximately 152.04 million euros, of which approximately [100-495] million euros from sales in the European Union and approximately [100-495] million euros from sales in Italy.</w:t>
      </w:r>
    </w:p>
    <w:p>
      <w:r>
        <w:t>II. DESCRIPTION OF THE TRANSACTION</w:t>
      </w:r>
    </w:p>
    <w:p>
      <w:r>
        <w:t>3. The Parties have signed a preliminary sale agreement (hereinafter, the Contract) under which Eurocar undertakes to purchase all the shares currently held by the Sellers, corresponding to 100% of the share capital (net of treasury shares).</w:t>
      </w:r>
    </w:p>
    <w:p>
      <w:r>
        <w:t>4. Under the Contract, Saottini must transfer to third parties, before the closing date, all the assets (including contracts) and liabilities related to Saottini's activities of selling motorcycles and spare parts under the Ducati brand (hereinafter, the Ducati Business). Consequently, Eurocar will not acquire the Ducati Business.</w:t>
      </w:r>
    </w:p>
    <w:p>
      <w:r>
        <w:t>The Contract provides that each of the Sellers undertakes, for a period of 2 years, not to engage, directly or indirectly, even through shareholdings in companies or other entities, in any activity in competition with that carried out by Saottini (in the last 5 years) in Trentino Alto Adige, Lombardy, Veneto, Aosta Valley, Emilia Romagna, and Friuli Venezia Giulia. Under the same Contract, the Sellers undertake, during the same period, not to hire or solicit the hiring of any employees of the Target.</w:t>
      </w:r>
    </w:p>
    <w:p>
      <w:r>
        <w:t>III. QUALIFICATION OF THE TRANSACTION</w:t>
      </w:r>
    </w:p>
    <w:p>
      <w:r>
        <w:t>5. The reported transaction, as it involves the acquisition of exclusive control of a company, constitutes a concentration pursuant to Article 5, paragraph 1, letter b), of Law No. 287/90.</w:t>
      </w:r>
    </w:p>
    <w:p>
      <w:r>
        <w:t>It falls within the scope of application of Law No. 287/90, as the conditions of Article 1 of EC Regulation No. 139/04 are not met, and is subject to the obligation of prior notification provided for by Article 16, paragraph 1, of the same law, as amended by Article 1, paragraph 177, of Law No. 124 of August 4, 2017, since the total revenue achieved in the last financial year at the national level by the group of companies involved was over 495 million euros and the revenue achieved individually at the national level by at least two of the companies involved was over 30 million euros.</w:t>
      </w:r>
    </w:p>
    <w:p>
      <w:r>
        <w:t>6. The non-competition agreement signed by the Parties and described in the previous paragraph can be considered directly connected and necessary for the realization of the transaction.</w:t>
      </w:r>
    </w:p>
    <w:p>
      <w:r>
        <w:rPr>
          <w:b/>
        </w:rPr>
        <w:t>[Pages 7–9]</w:t>
      </w:r>
    </w:p>
    <w:p>
      <w:r>
        <w:t>BULLETIN NO. 13 OF APRIL 1, 2019 9</w:t>
      </w:r>
    </w:p>
    <w:p>
      <w:r>
        <w:t>concentration under examination, as it is functional to safeguarding the value of the acquired company, provided that it is geographically limited to the area of activity of the acquired company, and does not prevent the sellers from purchasing or holding shares solely for financial investment purposes. The non-solicitation agreement signed by the parties and described in the previous paragraph can be considered directly connected and necessary for the realization of the concentration operation under examination, as it is functional to safeguarding the value of the acquired company.</w:t>
      </w:r>
    </w:p>
    <w:p>
      <w:r>
        <w:t>IV. ASSESSMENT OF THE CONCENTRATION</w:t>
      </w:r>
    </w:p>
    <w:p>
      <w:r>
        <w:t>The product market</w:t>
      </w:r>
    </w:p>
    <w:p>
      <w:r>
        <w:t>7. From a commodity perspective, the sectors affected by the transaction under examination are those in which the company subject to acquisition operates, namely: i) the retail distribution of new and used passenger cars and commercial vehicles, ii) the retail distribution of spare parts for passenger cars and commercial vehicles, and iii) the after-sales services of assistance, maintenance, and repair of vehicles.</w:t>
      </w:r>
    </w:p>
    <w:p>
      <w:r>
        <w:t>8. i) The market in question concerns the distribution activity of new and used passenger cars and commercial vehicles by dealers to end consumers. Manufacturers market their vehicles through distribution companies (controlled companies or third-party operators) which, in turn, utilize a network of dealers that carry out sales activities to customers. Within this market, different segments can be identified, distinguishing between passenger cars and commercial vehicles, new and used vehicles, based on performance, size, and price of the marketed cars. However, dealers frequently distribute different types of products (economy, mid-range, premium, etc.), and the differences have been decreasing over the years due to manufacturers' trends to offer more accessories even for mid-range and small cars. For the purposes of this transaction, however, it does not seem necessary to arrive at an exact commodity delimitation of the market.</w:t>
      </w:r>
    </w:p>
    <w:p>
      <w:r>
        <w:t>9. ii) Within the sector of marketing parts and accessories, which includes spare parts for passenger cars and commercial vehicles, two types of products can be identified: original parts and equivalent parts (of corresponding quality). Original spare parts are marketed under the manufacturer's brand; equivalent spare parts, on the other hand, are supplied by independent operators in the component sector, who may also supply the same manufacturers.</w:t>
      </w:r>
    </w:p>
    <w:p>
      <w:r>
        <w:t>10. The prices of equivalent spare parts are significantly lower, varying depending on the type of spare part considered. Furthermore, the different types of spare parts for vehicles (gaskets, pads, shock absorbers, belts, spark plugs, filters, lighting, etc.) are not substitutable from the final demand side, which evidently depends on the maintenance or repair intervention to be carried out. However, there is significant substitutability from the demand side between original and equivalent spare parts (provided they are of corresponding quality), varying according to the age and economic class of the vehicle, as well as the type of spare part. From the supply side, moreover, the assistance centers of manufacturers (generally dealers and authorized workshops) can retail both original and equivalent spare parts. Finally, from the supply side, operators generally distribute a wide range of spare parts.</w:t>
      </w:r>
    </w:p>
    <w:p>
      <w:r>
        <w:t>11. iii) The market for after-sales assistance services for vehicles is characterized by extreme fragmentation of supply. The repair and maintenance activity is carried out by a wide range of operators, such as: authorized dealers and repair shops; independent workshops; service stations; specialized auto centers; quick assistance services (the warranty assistance activity is instead carried out by the same dealers of the manufacturers or by other subjects authorized by them).</w:t>
      </w:r>
    </w:p>
    <w:p>
      <w:r>
        <w:t>The geographical market</w:t>
      </w:r>
    </w:p>
    <w:p>
      <w:r>
        <w:t>12. Regarding geographical relevance, the size of the markets under i), ii), and iii) can be considered local. This assumption is based on consumer purchasing behaviors and, in particular, on the importance they attribute to the proximity of sales and assistance points. In various precedents concerning the markets in question, the Authority has defined local markets based on administrative boundaries, identifying markets with a tendency towards provincial size. In this case, following this approach, considering the operational scope of the company subject to acquisition, the relevant geographical market could be considered confined to the province of Brescia.</w:t>
      </w:r>
    </w:p>
    <w:p>
      <w:r>
        <w:t>13. Alternatively, it is possible to define local areas taking into account the size of the catchment areas of the individual sales points of the interested companies and the propensity for mobility from the demand side. In this regard, the notifying party, based on the sales data of the dealers subject to acquisition and its own experience, believes that it is possible to hypothesize the existence of a catchment area identified by the areas located around the Saottini dealers subject to acquisition, reachable within 40 or 60 minutes by car for market sub i) and within 20 minutes by car for markets sub ii) and sub iii) (hereinafter, the isochrones).</w:t>
      </w:r>
    </w:p>
    <w:p>
      <w:r>
        <w:t>Effects of the operation</w:t>
      </w:r>
    </w:p>
    <w:p>
      <w:r>
        <w:t>14. The Saottini company subject to acquisition operates through ten dealers located in the province of Brescia (seven located in Brescia and three in Desenzano del Garda), while the acquirer Eurocar holds various dealers located in some provinces of Friuli Venezia Giulia (Gorizia, Udine, and Trieste), Tuscany (Florence), and, following the recently authorized acquisitions by the Commission of Bonaldi and Vicentini, also, through Bonaldi, in some provinces of Lombardy (Milan, Sondrio, Bergamo, and Lecco) and, through Vicentini, in a province of Veneto (Verona), and also, following the recently authorized acquisition by the Authority of Dorigoni, in a province of Trentino Alto Adige (Trento), to which are added two Porsche dealers controlled by Volkswagen AG located respectively in a province of Lombardy (Milan) and in a province of Veneto (Padua). At the provincial level, therefore, there are no overlaps between the activities of the parties.</w:t>
      </w:r>
    </w:p>
    <w:p>
      <w:r>
        <w:t>15. In the markets for the retail distribution of new and used passenger cars and commercial vehicles, in the province of Brescia, where there are no overlaps between the activities of the parties, Saottini's shares are below [1-5%], while, regarding the isochrones, for each of the ten Saottini dealers subject to acquisition, both in the 40-minute isochrone and in the 60-minute isochrone, the joint shares of the parties are less than 25%.</w:t>
      </w:r>
    </w:p>
    <w:p>
      <w:r>
        <w:t>16. In the markets for the retail distribution of original VW spare parts for passenger cars and commercial vehicles, for the retail distribution of non-original spare parts for passenger cars and commercial vehicles, as well as for after-sales assistance, maintenance, and repair services for vehicles, in the province of Brescia, where there are no overlaps between the activities of the parties, Saottini's share is respectively [15-20%], below 15%, and below 5%, while, regarding the isochrones, for each of the ten Saottini dealers subject to acquisition, in the 20-minute isochrones, there are no overlaps between the activities of the parties and Saottini's shares are respectively:</w:t>
        <w:br/>
        <w:t>- in the market for the retail distribution of original VW spare parts for passenger cars and commercial vehicles, less than 15% both in the isochrone relating to Brescia and in the isochrone relating to Desenzano;</w:t>
        <w:br/>
        <w:t>- in the market for the retail distribution of non-original spare parts for passenger cars and commercial vehicles, less than 15% both in the isochrone relating to Brescia and in the isochrone relating to Desenzano;</w:t>
        <w:br/>
        <w:t>- in the market for after-sales assistance, maintenance, and repair services for vehicles, less than 5% both in the isochrone relating to Brescia and in the isochrone relating to Desenzano.</w:t>
      </w:r>
    </w:p>
    <w:p>
      <w:r>
        <w:t>17. From a vertical perspective, it is noted that:</w:t>
        <w:br/>
        <w:t>a) the Volkswagen group is also active in the upstream markets of wholesale distribution of new and used passenger cars and commercial vehicles, where it holds national shares below 15%; as seen, in the downstream markets of retail distribution of new and used passenger cars and commercial vehicles, both considering the province of Brescia and the isochrones, the joint shares of the parties will be less than 25%.</w:t>
      </w:r>
    </w:p>
    <w:p>
      <w:r>
        <w:rPr>
          <w:b/>
        </w:rPr>
        <w:t>[Pages 10–12]</w:t>
      </w:r>
    </w:p>
    <w:p>
      <w:r>
        <w:t>12 BULLETIN NO. 13 OF APRIL 1, 2019</w:t>
      </w:r>
    </w:p>
    <w:p>
      <w:r>
        <w:t>b) The Volkswagen group is also active in the upstream market of wholesale distribution of original VW spare parts for passenger cars and commercial vehicles, where it holds a monopolistic position at the national level; as noted, in the downstream market of retail distribution of original VW spare parts for passenger cars and commercial vehicles, Saottini's shares are equal to [15-20%] in the province of Brescia and less than 15% both in the isochrone relating to Brescia16 and in the isochrone relating to Desenzano17.</w:t>
      </w:r>
    </w:p>
    <w:p>
      <w:r>
        <w:t>17. It is observed, in this regard, that the operation does not raise concerns from the perspective of an input foreclosure hypothesis due to the very distribution strategy of the Volkswagen group, which makes original spare parts accessible to independent repairers both through Volkswagen Group Italia S.p.A., active throughout Italy, and through a network of service partners (authorized retail distributors of Volkswagen vehicles and original spare parts, such as Saottini) present throughout the national territory18.</w:t>
      </w:r>
    </w:p>
    <w:p>
      <w:r>
        <w:t>In light of the above considerations, it is believed that in the relevant markets the operation will not have adverse effects on competition, not resulting in substantial changes in the competitive structure of the same.</w:t>
      </w:r>
    </w:p>
    <w:p>
      <w:r>
        <w:t>IT IS THEREFORE CONSIDERED that the operation under examination does not result, pursuant to Article 6, paragraph 1, of Law No. 287/90, in the establishment or strengthening of a dominant position in the relevant markets, such as to eliminate or substantially and durably reduce competition;</w:t>
      </w:r>
    </w:p>
    <w:p>
      <w:r>
        <w:t>IT IS FURTHER CONSIDERED that the non-competition obligations between the Parties are ancillary to this operation only to the limits described above and that the Authority reserves the right to evaluate, where the conditions exist, the aforementioned agreements that exceed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 xml:space="preserve">THE SECRETARY GENERAL THE PRESIDENT f.f. </w:t>
        <w:br/>
        <w:t>Filippo Arena Gabriella Muscolo</w:t>
      </w:r>
    </w:p>
    <w:p>
      <w:r>
        <w:t xml:space="preserve">16 See note 11. </w:t>
        <w:br/>
        <w:t xml:space="preserve">17 See note 12. </w:t>
        <w:br/>
        <w:t>18 See also Commission Decision of August 1, 2018, COMP/M.8963 – Eurocar/Bonaldi and Commission Decision of September 10, 2018, COMP/M.9070 – Eurocar/Vicentini.</w:t>
      </w:r>
    </w:p>
    <w:p>
      <w:r>
        <w:t>BULLETIN NO. 13 OF APRIL 1, 2019 13</w:t>
      </w:r>
    </w:p>
    <w:p>
      <w:r>
        <w:t>C12220 - SALINI IMPREGILO/COSSI COSTRUZIONI</w:t>
      </w:r>
    </w:p>
    <w:p>
      <w:r>
        <w:t>Provision No. 27595</w:t>
      </w:r>
    </w:p>
    <w:p>
      <w:r>
        <w:t>THE ANTITRUST AUTHORITY</w:t>
      </w:r>
    </w:p>
    <w:p>
      <w:r>
        <w:t>IN ITS MEETING of March 12, 2019;</w:t>
      </w:r>
    </w:p>
    <w:p>
      <w:r>
        <w:t>HEARD the Rapporteur Professor Michele Ainis;</w:t>
      </w:r>
    </w:p>
    <w:p>
      <w:r>
        <w:t>VIEWED Law No. 287 of October 10, 1990;</w:t>
      </w:r>
    </w:p>
    <w:p>
      <w:r>
        <w:t>VIEWED D.P.R. No. 217 of April 30, 1998;</w:t>
      </w:r>
    </w:p>
    <w:p>
      <w:r>
        <w:t>VIEWED the act of the company Salini Impregilo S.p.A., received on February 20, 2019;</w:t>
      </w:r>
    </w:p>
    <w:p>
      <w:r>
        <w:t>CONSIDERED the following:</w:t>
      </w:r>
    </w:p>
    <w:p>
      <w:r>
        <w:t>I. THE PARTIES</w:t>
      </w:r>
    </w:p>
    <w:p>
      <w:r>
        <w:t>1. Salini Impregilo S.p.A. (hereinafter, Salini Impregilo) is a company active worldwide in the construction of large complex infrastructures. In particular, Salini Impregilo operates through the contracting and/or concession of construction works, both from public entities and private ones, including building, road, airport, hydraulic, maritime, and railway works, as well as construction in general, both in Italy and abroad.</w:t>
      </w:r>
    </w:p>
    <w:p>
      <w:r>
        <w:t>Salini Impregilo is listed on the Milan Stock Exchange, with 67% of its share capital held by Salini Costruttori S.p.A. and the remainder being floating. Salini Costruttori S.p.A. is in turn controlled, with a 47% share of the capital, by Salini Simonpietro e C.S.A.p.A. (hereinafter, Salini Group).</w:t>
      </w:r>
    </w:p>
    <w:p>
      <w:r>
        <w:t>In 2017, the Salini Group achieved a consolidated worldwide turnover of approximately [6-7]* billion euros, of which [495-700] million euros from sales in Italy and [1-2] billion euros from sales in the European Union.</w:t>
      </w:r>
    </w:p>
    <w:p>
      <w:r>
        <w:t>2. Cossi Costruzioni S.p.A. (hereinafter, Cossi Costruzioni) is a company active in the civil and industrial construction sector, both in the public and private domains, particularly specialized in the construction of tunnels, dams, roads, highways, and soil defense works.</w:t>
      </w:r>
    </w:p>
    <w:p>
      <w:r>
        <w:t>Cossi Costruzioni is controlled by Ferfina S.p.A. (hereinafter, Ferfina), currently in extraordinary administration, which directly and indirectly holds 80% of the share capital through its subsidiary La Società Italiana per Condotte d’Acqua S.p.A.1 (hereinafter Condotte). The remaining shares of Ferfina's capital are held by individuals belonging to the Cossi family directly and through the company Liri S.r.l..</w:t>
      </w:r>
    </w:p>
    <w:p>
      <w:r>
        <w:t>In 2017, Cossi Costruzioni achieved a consolidated worldwide turnover of approximately [100-495] million euros, of which approximately [30-100] million euros from sales in Italy and approximately [30-100] million euros from sales to the European Union.</w:t>
      </w:r>
    </w:p>
    <w:p>
      <w:r>
        <w:t>* In this version, some data are omitted, as elements of confidentiality or secrecy of the information were deemed to exist.</w:t>
      </w:r>
    </w:p>
    <w:p>
      <w:r>
        <w:t>1 See provision No. 19032 of October 23, 2008, C9681 – SOCIETA’ ITALIANA PER CONDOTTE D’ACQUA/COSSI COSTRUZIONI.</w:t>
      </w:r>
    </w:p>
    <w:p>
      <w:r>
        <w:t>14 BULLETIN NO. 13 OF APRIL 1, 2019</w:t>
      </w:r>
    </w:p>
    <w:p>
      <w:r>
        <w:t>II. DESCRIPTION OF THE TRANSACTION</w:t>
      </w:r>
    </w:p>
    <w:p>
      <w:r>
        <w:t>3. The reported transaction consists of the acquisition by Salini Impregilo of 80% of the share capital of Cossi, while the remaining share will be held by Liri S.r.l. and an individual belonging to the Cossi family. According to the Articles of Association of the Cossi group, both the shareholders' meeting and the administrative body resolve by majority, and there is no other shareholders' agreement that directly or indirectly grants veto rights to minority shareholders. Therefore, with the reported acquisition, Salini Impregilo will hold exclusive control of Cossi.</w:t>
      </w:r>
    </w:p>
    <w:p>
      <w:r>
        <w:t>4. According to the communication, the transaction under examination takes place within the framework of a restructuring agreement of the Cossi group, as the two companies that directly and indirectly hold the majority of the share capital of the Cossi group are currently subject to a bankruptcy procedure.</w:t>
      </w:r>
    </w:p>
    <w:p>
      <w:r>
        <w:t>III. QUALIFICATION OF THE TRANSACTION</w:t>
      </w:r>
    </w:p>
    <w:p>
      <w:r>
        <w:t>5. The reported transaction, as it involves the acquisition of exclusive control of a company, constitutes a concentration pursuant to Article 5, paragraph 1, letter b), of Law No. 287/90.</w:t>
      </w:r>
    </w:p>
    <w:p>
      <w:r>
        <w:t>It falls within the scope of application of Law No. 287 of October 10, 1990, as the conditions of Article 1 of Regulation (EC) No. 139/04 do not apply, and is subject to the obligation of prior notification provided for by Article 16, paragraph 1, of the same law, as amended by Article 1, paragraph 177, of Law No. 124 of August 4, 2017, since the total turnover achieved in the last financial year at the national level by the group of companies involved was over 495 million euros and the turnover achieved individually at the national level by at least two of the companies involved was over 30 million euros.</w:t>
      </w:r>
    </w:p>
    <w:p>
      <w:r>
        <w:t>IV. EVALUATION OF THE CONCENTRATION</w:t>
      </w:r>
    </w:p>
    <w:p>
      <w:r>
        <w:t>6. This operation concerns the civil construction sector, as both Parties are active in the design and execution of civil and industrial engineering works, predominantly public and infrastructural works. In particular, the market affected by the operation is that of the construction and maintenance of infrastructures and large works, predominantly public works (such as roads, highways, bridges, arches, viaducts, railways, subways, sewer networks, underground works, hydraulic works, and residential construction)2.</w:t>
      </w:r>
    </w:p>
    <w:p>
      <w:r>
        <w:t>7. This market is characterized, predominantly, by the presence of a contractual link between a subject intending to carry out the work (most often a public administration) and the executing companies of the related works. At the national level, the public works sector is regulated by the legislation of Legislative Decree No. 50/2016 which, among other things, provides criteria for publicity and transparency in the phases of selection, participation in tenders, submission of</w:t>
      </w:r>
    </w:p>
    <w:p>
      <w:r>
        <w:t>2 See, among others, provision No. 26823 of October 31, 2017, C1212 – Intesa Sanpaolo/Autostrade Lombarde, provision No. 26101 of July 6, 2016, C12057 – Albertis Infraestructuras/A4 Holding; provision No. 25480 of May 20, 2015, C11994 – Cooperativa Muratori &amp; Cementisti-C.M.C. Di Ravenna/ Empedocle 2; provision No. 24236 of February 20, 2013, C11779B – Salini/Impregilo; provision No. 20340 of September 23, 2009, C10268 – Salini Costruttori/Todini Costruzioni Generali.</w:t>
      </w:r>
    </w:p>
    <w:p>
      <w:r>
        <w:rPr>
          <w:b/>
        </w:rPr>
        <w:t>[Pages 13–15]</w:t>
      </w:r>
    </w:p>
    <w:p>
      <w:r>
        <w:t>BULLETIN NO. 13 OF APRIL 1, 2019 15</w:t>
      </w:r>
    </w:p>
    <w:p>
      <w:r>
        <w:t>offers, award, and execution of contracts and also sets the minimum requirements to access the market.</w:t>
      </w:r>
    </w:p>
    <w:p>
      <w:r>
        <w:t>8. It is believed that the market for the construction of infrastructure and large works has a global or at least supranational geographical dimension, as the demand is directed towards operators active on a supranational scale. In any case, for the purposes of evaluating this transaction, it is not necessary to proceed with an exact geographical definition of the relevant market, since, even in the most restrictive hypothesis, the transaction does not appear capable of altering the existing competitive conditions. In fact, according to the communication, regardless of the size of the market, the Parties hold a joint share of less than 1%.</w:t>
      </w:r>
    </w:p>
    <w:p>
      <w:r>
        <w:t>9. Furthermore, according to the communication from the Parties, this market is characterized by the presence of a large number of operators, none of whom holds a share greater than 10%. It follows that the reported transaction is not capable of substantially altering the competitive conditions present in the relevant market.</w:t>
      </w:r>
    </w:p>
    <w:p>
      <w:r>
        <w:t>CONSIDERING, therefore, that the transaction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 pro tempore</w:t>
        <w:br/>
        <w:t>Filippo Arena Gabriella Muscolo</w:t>
      </w:r>
    </w:p>
    <w:p>
      <w:r>
        <w:t>16 BULLETIN NO. 13 OF APRIL 1, 2019</w:t>
      </w:r>
    </w:p>
    <w:p>
      <w:r>
        <w:t>C12221 - DRAUGHTCO/CELLI</w:t>
      </w:r>
    </w:p>
    <w:p>
      <w:r>
        <w:t>Provision No. 27596</w:t>
      </w:r>
    </w:p>
    <w:p>
      <w:r>
        <w:t>THE ANTITRUST AUTHORITY</w:t>
      </w:r>
    </w:p>
    <w:p>
      <w:r>
        <w:t>IN ITS MEETING of March 12, 2019;</w:t>
      </w:r>
    </w:p>
    <w:p>
      <w:r>
        <w:t>HEARD the Rapporteur Dr. Gabriella Muscolo;</w:t>
      </w:r>
    </w:p>
    <w:p>
      <w:r>
        <w:t>HAVING REGARD to Law No. 287 of October 10, 1990;</w:t>
      </w:r>
    </w:p>
    <w:p>
      <w:r>
        <w:t>HAVING REGARD to the Presidential Decree No. 217 of April 30, 1998;</w:t>
      </w:r>
    </w:p>
    <w:p>
      <w:r>
        <w:t>HAVING REGARD to the act of the company DraughtCo S.A., received on February 20, 2019;</w:t>
      </w:r>
    </w:p>
    <w:p>
      <w:r>
        <w:t>CONSIDERING the following:</w:t>
      </w:r>
    </w:p>
    <w:p>
      <w:r>
        <w:t>I. THE PARTIES</w:t>
      </w:r>
    </w:p>
    <w:p>
      <w:r>
        <w:t>1. DraughtCo is a company under Luxembourg law indirectly and wholly owned by the ARDIAN LBO Fund VI B, S.L.P. S.A., managed by Ardian France (hereinafter Ardian France), a private equity fund management company that invests in Europe, North America, and Asia. In turn, the share capital of Ardian France is 99.99% owned by Ardian SAS, a company under French law that is 94.43% owned by Ardian Holding SAS, also established under the laws of the French Republic. The share capital of Ardian Holding SAS is distributed among several minority shareholders, none of whom holds, individually or together with others, exclusive or joint control of the company.</w:t>
      </w:r>
    </w:p>
    <w:p>
      <w:r>
        <w:t>2. In 2017, the revenue generated by the portfolio companies of the Ardian group was approximately [10-20]* billion euros globally, of which approximately [10-20] billion euros from sales in the EU and [1-2] billion euros from sales in Italy.</w:t>
      </w:r>
    </w:p>
    <w:p>
      <w:r>
        <w:t>3. Celli S.p.A. (hereinafter Celli) is active, directly or through its controlled companies, in the design, construction, sale, and maintenance of systems for the dispensing of cold beverages. The share capital of Celli is currently held by Consilium SGR (Asset Management Company) P.A. (69.25%), by Celli Holding S.p.A. (28%), and by two individuals (2.75%).</w:t>
      </w:r>
    </w:p>
    <w:p>
      <w:r>
        <w:t>4. In 2017, Celli generated revenue of approximately [100-495] million euros, of which approximately [30-100] million euros from sales in the EU and [30-100] million euros from sales in Italy.</w:t>
      </w:r>
    </w:p>
    <w:p>
      <w:r>
        <w:t>II. DESCRIPTION OF THE TRANSACTION</w:t>
      </w:r>
    </w:p>
    <w:p>
      <w:r>
        <w:t>5. The transaction involves the acquisition by the Ardian LBO fund, managed by Ardian France, through its subsidiary DraughtCo or through one or more Italian law corporate vehicles, of the entire share capital of Celli, except for a share that - following a series of share transfers and investment of the proceeds - will be approximately 3% and will remain with one of the individuals currently shareholders of Celli, along with any other managers of the company. According to the provisions of the Shareholders' Agreement, the minority shareholder will benefit from certain veto rights aimed at ensuring the protection of the minority shareholder, which do not confer joint control of Celli to that shareholder.</w:t>
      </w:r>
    </w:p>
    <w:p>
      <w:r>
        <w:t>6. The transaction under examination includes, on the part of Celli Holding S.p.A. and some individuals who are shareholders of Celli or shareholders of Celli Holding S.p.A., a non-competition obligation lasting three years. More specifically, the aforementioned obligation is structured as follows:</w:t>
        <w:br/>
        <w:t>- not to engage in, derive economic benefits from, or be involved in activities competing with those of the Target in the countries where the latter is active;</w:t>
        <w:br/>
        <w:t>- not to divert - directly, indirectly, or by any other means - business, clients, or suppliers of the Target or its subsidiaries;</w:t>
        <w:br/>
        <w:t>- not to attempt to employ personnel employed by the Target or its subsidiaries.</w:t>
      </w:r>
    </w:p>
    <w:p>
      <w:r>
        <w:t>III. QUALIFICATION OF THE TRANSACTION</w:t>
      </w:r>
    </w:p>
    <w:p>
      <w:r>
        <w:t>7. The reported transaction,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prior notification obligation established by Article 16, paragraph 1, of the same law, as the total revenue generated in the last financial year at the national level by the group of companies involved exceeded 495 million euros and the revenue generated individually at the national level by at least two of the companies involved exceeded 30 million euros.</w:t>
      </w:r>
    </w:p>
    <w:p>
      <w:r>
        <w:t>8. The non-competition agreement described above can be qualified as ancillary to the reported concentration to the extent that it contains restrictions directly related to the realization of the transaction and necessary for it. In particular, in this case, the commitments undertaken by the seller benefit the buyer and respond to the need to ensure the transfer of the actual value of the acquired company to the latter, provided that such agreement has a limited duration in time, not exceeding three years, and that such agreement is limited in terms of goods and geography to the activities of the acquired company.</w:t>
      </w:r>
    </w:p>
    <w:p>
      <w:r>
        <w:t>IV. EVALUATION OF THE CONCENTRATION</w:t>
      </w:r>
    </w:p>
    <w:p>
      <w:r>
        <w:t>Relevant markets</w:t>
      </w:r>
    </w:p>
    <w:p>
      <w:r>
        <w:t>9. From a product perspective, considering the activity carried out by the company subject to acquisition, the transaction concerns the sector of design, construction, sale, and maintenance of systems for the dispensing of cold beverages.</w:t>
      </w:r>
    </w:p>
    <w:p>
      <w:r>
        <w:rPr>
          <w:b/>
        </w:rPr>
        <w:t>[Pages 16–18]</w:t>
      </w:r>
    </w:p>
    <w:p>
      <w:r>
        <w:t>18 BULLETIN NO. 13 OF APRIL 1, 2019</w:t>
      </w:r>
    </w:p>
    <w:p>
      <w:r>
        <w:t>maintenance of systems for the supply of cold beverages. In particular, Celli and its subsidiaries are active in the design, construction, and sale of:</w:t>
        <w:br/>
        <w:t>- beer dispensing systems;</w:t>
        <w:br/>
        <w:t>- soft drink dispensing systems;</w:t>
        <w:br/>
        <w:t>- water dispensing systems.</w:t>
      </w:r>
    </w:p>
    <w:p>
      <w:r>
        <w:t>10. The possibility of configuring a single market for cold beverage dispensing systems, or segmenting it according to the type of beverage dispensed or the main components of the related equipment, can, in this case, be left open as the competitive assessment of the transaction would remain unchanged regardless of the chosen market definition.</w:t>
      </w:r>
    </w:p>
    <w:p>
      <w:r>
        <w:t>11. From a geographical perspective, the geographical dimension of the markets related to cold beverage dispensing systems, based on previous community rulings in this area, can be identified as at least coinciding with the territory of the EEA. In any case, it is not deemed necessary to reach a definitive conclusion regarding the geographical definition of the markets since the adopted definition does not alter the assessment of the transaction.</w:t>
      </w:r>
    </w:p>
    <w:p>
      <w:r>
        <w:t>Effects of the transaction</w:t>
      </w:r>
    </w:p>
    <w:p>
      <w:r>
        <w:t>12. None of the companies that are part of the Ardian group is active in the markets where the Celli group operates or in upstream or downstream markets, nor in adjacent sectors.</w:t>
      </w:r>
    </w:p>
    <w:p>
      <w:r>
        <w:t>13. The Celli group, taking the market for cold beverage dispensing systems as a reference, held a market share at the European level of [5-10%] in 2017. In the three segments of beer dispensing systems, soft drink dispensing systems, and water dispensing systems, the share achieved by the Celli group in 2017 was [15-20%], [1-5%], and [5-10%], respectively.</w:t>
      </w:r>
    </w:p>
    <w:p>
      <w:r>
        <w:t>14. In the market for cold beverage dispensing systems, numerous and qualified competitors operate, including Waterlogic, Alberts Industries, and Welbit.</w:t>
      </w:r>
    </w:p>
    <w:p>
      <w:r>
        <w:t>15. For the reasons stated above, the transaction under examination, resulting in the replacement of one operator with another, does not appear capable of establishing a dominant position in the relevant markets that would eliminate or substantially and durably reduce competition.</w:t>
      </w:r>
    </w:p>
    <w:p>
      <w:r>
        <w:t>CONSIDERED, therefore, that the transaction under examination does not establish or strengthen a dominant position in the relevant markets, such as to eliminate or substantially and durably reduce competition, pursuant to Article 6, paragraph 1, of Law No. 287/90;</w:t>
      </w:r>
    </w:p>
    <w:p>
      <w:r>
        <w:t>CONSIDERED, furthermore, that the non-competition obligations between the parties are accessory to this transaction only to the limits described above and that the Authority reserves the right to evaluate, where the prerequisites exist, the aforementioned agreements should they occur beyond the indicated limits;</w:t>
      </w:r>
    </w:p>
    <w:p>
      <w:r>
        <w:t>RESOLVES</w:t>
      </w:r>
    </w:p>
    <w:p>
      <w:r>
        <w:t>not to initiate the investigation referred to in Article 16, paragraph 4, of Law No. 287/90.</w:t>
      </w:r>
    </w:p>
    <w:p>
      <w:r>
        <w:t>The Celli group also provides technical assistance and maintenance services for the systems and, on a completely residual basis, manufactures and sells systems for the dispensing of wine, juices, and hot beverages. However, these activities constitute an absolutely minor component of the business.</w:t>
      </w:r>
    </w:p>
    <w:p>
      <w:r>
        <w:t>4. See Commission decision of September 19, 2008, COMP/M.5180 – Manitowoc/Enodis.</w:t>
      </w:r>
    </w:p>
    <w:p>
      <w:r>
        <w:t>5. See Commission decision of September 19, 2008, COMP/M.5180 – Manitowoc/Enodis.</w:t>
      </w:r>
    </w:p>
    <w:p>
      <w:r>
        <w:t>BULLETIN NO. 13 OF APRIL 1, 2019</w:t>
      </w:r>
    </w:p>
    <w:p>
      <w:r>
        <w:t>The above conclusions will be communicated, pursuant to Article 16, paragraph 4, of Law No. 287/90, to the interested companies and the Minister of Economic Development.</w:t>
      </w:r>
    </w:p>
    <w:p>
      <w:r>
        <w:t>This provision will be published in the Bulletin of the Competition and Market Authority.</w:t>
      </w:r>
    </w:p>
    <w:p>
      <w:r>
        <w:t>THE SECRETARY GENERAL THE PRESIDENT pro tempore</w:t>
      </w:r>
    </w:p>
    <w:p>
      <w:r>
        <w:t>Filippo Arena Gabriella Muscolo</w:t>
      </w:r>
    </w:p>
    <w:p>
      <w:r>
        <w:t>20 BULLETIN NO. 13 OF APRIL 1, 2019</w:t>
      </w:r>
    </w:p>
    <w:p>
      <w:r>
        <w:t>ACTIVITY OF REPORTING AND CONSULTATION</w:t>
      </w:r>
    </w:p>
    <w:p>
      <w:r>
        <w:t>AS1571 – CONSIP – CALL FOR TENDER FOR THE AWARD OF CLEANING SERVICES IN UNIVERSITY OFFICES AND RESEARCH ENTITIES – FIRST EDITION</w:t>
      </w:r>
    </w:p>
    <w:p>
      <w:r>
        <w:t>Rome, December 17, 2018</w:t>
      </w:r>
    </w:p>
    <w:p>
      <w:r>
        <w:t>Ministry of Economy and Finance</w:t>
      </w:r>
    </w:p>
    <w:p>
      <w:r>
        <w:t>With reference to the request for an opinion formulated pursuant to Article 22 of Law October 10, 1990, No. 287, by the Ministry of Economy and Finance, concerning the drafts of the regulation prepared by the Public IT Services Concessionaire – Consip S.p.A. related to the tender for the conclusion of a Framework Agreement concerning cleaning services for offices, universities, and research entities - first edition (ID SIGEF 2076), it is communicated that the Competition and Market Authority, in its meeting of December 12, 2018, examined the request.</w:t>
      </w:r>
    </w:p>
    <w:p>
      <w:r>
        <w:t>The Authority observes that, overall, the design of the tender appears to comply with the reference regulations and is consistent with the aim of ensuring broad participation of operators in the sector, better protecting the competitive positioning of small and medium-sized enterprises potentially interested in participating. In particular, the distinction between the "Small Property Lots" and the "Large Property Lots," made based on the size of the buildings in which to provide the services subject to the contract and on a territorial basis, appears in line with the intent to encourage the competitive contribution of smaller enterprises and to differentiate the competitive dynamics among the various Lots available, due to the different size of the operators in the sector. In line with this intent, the restriction of participation to only one type of such Lots also appears appropriate.</w:t>
      </w:r>
    </w:p>
    <w:p>
      <w:r>
        <w:t>Regarding the restriction of participation to a maximum of six "Small Property Lots," the Authority, acknowledging what is specified in the accompanying documents and the tender strategy regarding the underlying objective, which is related to the need to "divert ... the interest of large enterprises from the lots accessible" to small and medium-sized enterprises, believes that the same objective can be achieved by limiting the award restriction to a similar number of lots. This is to avoid prejudicing the possibility of achieving greater competition even among smaller enterprises, as they could participate in a higher number of lots of this type.</w:t>
      </w:r>
    </w:p>
    <w:p>
      <w:r>
        <w:t>Some concerns also remain regarding the award system adopted in this procedure for the two types of Lots, based on the prior awarding of Framework Agreements,</w:t>
      </w:r>
    </w:p>
    <w:p>
      <w:r>
        <w:rPr>
          <w:b/>
        </w:rPr>
        <w:t>[Pages 19–21]</w:t>
      </w:r>
    </w:p>
    <w:p>
      <w:r>
        <w:t>BULLETIN NO. 13 OF APRIL 1, 2019 21</w:t>
      </w:r>
    </w:p>
    <w:p>
      <w:r>
        <w:t>aimed at identifying at least three awardees for each Lot, and on the subsequent awarding of specific Contracts. For the "Small Real Estate Lots," the overall design of the tender and the presence of a high number of potential competitors for each Lot are factors that encourage an adequate level of competition in the awarding of the twenty-six Framework Agreements. Conversely, regarding the "Large Real Estate Lots," considering the smaller number of operators meeting the necessary requirements to participate, the Authority believes that the awarding system through Framework Agreements could reduce competitive pressure among the aforementioned operators or even encourage forms of collusion aimed at securing an illicit division of supplies. Therefore, in order to maintain the overall design of the tender as identified, the incentives to compete for this type of Lots should be rebalanced, amplifying the differentiation in the distribution of the value of the services put out to tender between the first awardee and the subsequent awardee(s). A greater differentiation of the award shares, in fact, would favor increased competition among the large players potentially interested in participating in the tender for this type of Lots, who would be incentivized to compete not only to win the Lot but to win it in the position of first place. Finally, regarding the relevance of previous findings by the Antitrust Authority for the purpose of excluding companies by Consip, it is reiterated that, as already noted in previous opinions, the indications regarding the relevance of previous measures concerning unfair commercial practices have been subject to critical remarks by the Authority with the report adopted pursuant to Article 22 of Law No. 287/1990 on January 25, 2018, transmitted to ANAC on February 13, 2018. On that occasion, the Authority noted that it does not appear to be in line with what is provided in the primary law regarding professional offenses that could be grounds for exclusion from participation in public contracts to include in this scope also the condemnation measures "for unfair commercial practices." This type of violation, in fact, does not seem to constitute a professional offense related to public contracting, as the conduct carried out during the participation phase of the economic operator in the tender does not fall within the scope of a consumer relationship. The Authority reserves the right to evaluate the outcomes of the tender, should elements emerge during its conduct that could configure antitrust violations. This opinion will be published in the bulletin referred to in Article 26 of Law No. 287/1990, following the publication of the tender notice.</w:t>
      </w:r>
    </w:p>
    <w:p>
      <w:r>
        <w:t xml:space="preserve">THE PRESIDENT f.f.  </w:t>
        <w:br/>
        <w:t xml:space="preserve">Gabriella Muscolo  </w:t>
        <w:br/>
        <w:t xml:space="preserve">1 S3392 deliberated in the meeting of September 13, 2018.  </w:t>
        <w:br/>
        <w:t>2 AS1474 – Guideline No. 6 of the National Anti-Corruption Authority – Public Contracting, published in the Authority's Bulletin No. 6 of February 19, 2018.</w:t>
      </w:r>
    </w:p>
    <w:p>
      <w:r>
        <w:t>BULLETIN NO. 13 OF APRIL 1, 2019 22</w:t>
      </w:r>
    </w:p>
    <w:p>
      <w:r>
        <w:t xml:space="preserve">AS1572 - DRAFT OF THE PRESIDENTIAL DECREE CONTAINING AMENDMENTS TO PRESIDENTIAL DECREE NO. 358/2000 - TELEMATICS DESK FOR MOTORISTS  </w:t>
        <w:br/>
        <w:t xml:space="preserve">Rome, February 21, 2019  </w:t>
        <w:br/>
        <w:t>Presidency of the Council of Ministers</w:t>
      </w:r>
    </w:p>
    <w:p>
      <w:r>
        <w:t>With reference to the request for an opinion formulated by your Office regarding the draft decree of the President of the Republic containing amendments to the decree of the President of the Republic of September 19, 2000, No. 358 "Regulation containing rules for the simplification of the procedure relating to the registration, transfer of ownership, and re-registration of motor vehicles, motorcycles, and trailers," the Authority intends to formulate the following observations pursuant to Article 22 of Law No. 287/90.</w:t>
      </w:r>
    </w:p>
    <w:p>
      <w:r>
        <w:t>The draft decree subject to the request for an opinion provides for the adjustment of the aforementioned D.P.R. No. 358/2000 to the new regulations of Legislative Decree No. 98/2017, which introduced the single document of circulation and ownership of vehicles and redefined the tasks of the General Directorate for Motorization of the MIT and ACI, establishing the necessary rules for coordinating the new regulations with the previous regulation.</w:t>
      </w:r>
    </w:p>
    <w:p>
      <w:r>
        <w:t>The Authority, in the meeting of February 20, 2019, while acknowledging the proposed adjustments, wishes to take this opportunity to point out that Article 10 of D.P.R. No. 358/2000, in its current formulation, contains provisions that conflict with the principles of liberalization and competition derived from European law as per Directive 2006/123/EC (the so-called "Services Directive") and with subsequent liberalization decrees, to the extent that it continues to stipulate that the telematic connections of the Telematics Desks for Motorists be activated "in such a way as to avoid market disturbances and to ensure the simultaneous opening of a number of desks adequate to the needs of the territory."</w:t>
      </w:r>
    </w:p>
    <w:p>
      <w:r>
        <w:t>The Authority therefore believes that, on the occasion of the amendment of the aforementioned regulation, the cited provision should be adjusted to the subsequent liberalization regulations, which exclude that access to the market for companies offering services can be subject to quantitative restrictions or assessments related to demand. More specifically, since automotive consulting activities constitute private services in a competitive regime, they should be able to be carried out under non-discriminatory conditions and without access limitations that are not strictly necessary, justified, and proportionate to the pursuit of significant general interests that cannot be otherwise protected.</w:t>
      </w:r>
    </w:p>
    <w:p>
      <w:r>
        <w:t>The Authority hopes that the observations set forth above will be taken into account for the definition of the draft decree containing amendments to D.P.R. No. 358/2000.</w:t>
      </w:r>
    </w:p>
    <w:p>
      <w:r>
        <w:t>This opinion will be published in the Authority's Bulletin.</w:t>
      </w:r>
    </w:p>
    <w:p>
      <w:r>
        <w:t xml:space="preserve">THE PRESIDENT f.f.  </w:t>
        <w:br/>
        <w:t>Gabriella Muscolo</w:t>
      </w:r>
    </w:p>
    <w:p>
      <w:r>
        <w:rPr>
          <w:b/>
        </w:rPr>
        <w:t>[Pages 22–24]</w:t>
      </w:r>
    </w:p>
    <w:p>
      <w:r>
        <w:t>24 BULLETIN NO. 13 OF APRIL 1, 2019</w:t>
      </w:r>
    </w:p>
    <w:p>
      <w:r>
        <w:t>AS1573 – CALL FOR TENDER FOR THE PROVISION OF AIR AMBULANCE SERVICES</w:t>
      </w:r>
    </w:p>
    <w:p>
      <w:r>
        <w:t>Rome, March 18, 2019</w:t>
      </w:r>
    </w:p>
    <w:p>
      <w:r>
        <w:t>Ministry of Health</w:t>
      </w:r>
    </w:p>
    <w:p>
      <w:r>
        <w:t>Health Departments of the Regions and Autonomous Provinces</w:t>
      </w:r>
    </w:p>
    <w:p>
      <w:r>
        <w:t>The Italian Competition Authority, in its meeting on March 12, 2019, resolved to carry out, pursuant to Article 22 of Law No. 287 of October 10, 1990, the considerations set forth below regarding the methods of awarding air ambulance services throughout the national territory, in order to increase the competitiveness of the tender procedures, to the benefit of contracting authorities and consumers, both in terms of service quality and cost.</w:t>
      </w:r>
    </w:p>
    <w:p>
      <w:r>
        <w:t>The Authority has, in fact, had the opportunity to deepen the characteristics of the demand and supply of air ambulance services in Italy during a recent investigative procedure, noting some critical issues in the functioning of competitive dynamics during the tender process, particularly in a market context characterized by the presence of an operator significantly larger than the few other competitors present. The Authority has also received some reports regarding specific tender procedures for the awarding of HEMS services that would have been characterized by special laws that distort and/or restrict competition during the tender process.</w:t>
      </w:r>
    </w:p>
    <w:p>
      <w:r>
        <w:t>The demand for air ambulance services or HEMS (Helicopter Emergency Medical Services) is, in fact, exclusively public and identified by local health authorities, hospitals, or, more recently, by aggregators of health demand at the regional or multi-regional level, that is, by entities required to award the service through tender procedures. The air ambulance services sector can be defined as mature, considering that the demand, expressed in the number of bases, has not undergone significant changes in the last ten years, nor are significant changes expected.</w:t>
      </w:r>
    </w:p>
    <w:p>
      <w:r>
        <w:t>As mentioned, the supply of services is very concentrated and sees the presence of an operator with shares significantly higher than those of its competitors, which alone holds over 60% of the market.</w:t>
      </w:r>
    </w:p>
    <w:p>
      <w:r>
        <w:t>Regarding the tender procedures for the awarding of the service, the Authority has ascertained that the number of tenders announced and awarded throughout the national territory, between 2005 and 2017, has been very limited and characterized by tenders of significant size and duration. In almost all cases, contracting authorities have not used the tool of dividing the contract into lots, despite the presence of contracts of significant value and size and the possibility of distributing the service across multiple autonomous operational bases.</w:t>
      </w:r>
    </w:p>
    <w:p>
      <w:r>
        <w:t>In this context, the outcomes of the tenders have, overall, highlighted the participation of a single bidder in a wide majority of tenders, identified by the larger operator.</w:t>
      </w:r>
    </w:p>
    <w:p>
      <w:r>
        <w:t>The Authority has repeatedly observed that a correct tender procedure must ensure the widest participation of interested parties in the selection process. Only under this condition can a competitive procedure achieve its objective, which is to seek the maximum possible competition, compatible with the characteristics of the service, in order to award the contract to the most efficient operator, under the best quality and price conditions.</w:t>
      </w:r>
    </w:p>
    <w:p>
      <w:r>
        <w:t>In this sense, the Authority notes that the described peculiarities of the supply and market dynamics suggest paying particular attention, in defining the tender rules, to all those conditions that may negatively impact the participation of potential competitors and, thereby, distort the market structure in the long term.</w:t>
      </w:r>
    </w:p>
    <w:p>
      <w:r>
        <w:t>Contracting authorities are therefore invited - in line with what is provided for by Article 51 of Legislative Decree No. 50/2016 (Public Contracts Code) - to divide contracts into lots - even possibly of asymmetric size - in order to avoid the artificial creation of dimensional barriers to access to the tender, which would favor the larger operator(s), and to allow a more competitive outcome of the tender procedures. If the provision of the service across multiple lots can lead to cost savings or efficiencies, it will then be the tender itself - if necessary also thanks to the use of the so-called combinatorial auction - to highlight them, thanks to the participation and awarding by companies of one or more of the lots in the tender, following the best offers submitted.</w:t>
      </w:r>
    </w:p>
    <w:p>
      <w:r>
        <w:t>It is appropriate, in this regard, to clarify that the institution of the ATI (Temporary Association of Enterprises) cannot be considered - and has not been found - a suitable tool to compensate for the barriers constituted by contract sizes that are not proportionate to the service and the pool of main bidding companies.</w:t>
      </w:r>
    </w:p>
    <w:p>
      <w:r>
        <w:t>Regarding the duration, the Authority believes that, also considering the lack of specificity of investments concerning the individual contract, this could usefully be reduced. Long durations of contracts, not justified by the presence of genuinely specific investments for the service provided to a particular contracting authority, unjustifiably reduce the opportunities for competitive comparison and contestability of the service, thereby determining a crystallization in the relative market position of operators. Long-term contractual relationships and repeated interactions could also favor situations in which the contracting authority could be - even unwittingly - influenced in defining tender rules that could advantage the outgoing operator.</w:t>
      </w:r>
    </w:p>
    <w:p>
      <w:r>
        <w:t>More generally, the implementation of tender procedures of lesser economic/performance significance (also thanks to the division of the service into lots) and of shorter duration appears suitable, in this case, to reduce the "market" risk for operators, who will find themselves in a position to compete more frequently with their competitors, in order to improve their market position and efficiently employ the means and resources available.</w:t>
      </w:r>
    </w:p>
    <w:p>
      <w:r>
        <w:t>It is also urged to pay maximum attention to ensure that the recourse to extensions, not strictly necessary and limited to the exceptional cases provided for by current legislation, does not lead to an artificial circumvention of the principles stated above.</w:t>
      </w:r>
    </w:p>
    <w:p>
      <w:r>
        <w:t>In defining the technical requirements, both for participation and for the allocation of scores for the evaluation of the technical offer, the contracting authority must, in general, ensure a balanced balance between the public interest in a competitive comparison - objective, transparent, and undistorted - and the specific interest of the administration in acquiring goods and services whose characteristics are most in line with its needs. In this case, contracting authorities are invited, when identifying the minimum technical-qualitative characteristics of the components of the service, to pay particular attention to ensure that these are not disproportionate to the objective of obtaining an adequate service, thereby favoring larger operators. Contracting authorities cannot, moreover, identify technical-qualitative requirements that identify and/or favor a specific producer or model of helicopter, given the substantial suitability of multiple models, even from different producers, for the adequate provision of the service.</w:t>
      </w:r>
    </w:p>
    <w:p>
      <w:r>
        <w:t>Regarding the participation/qualification criteria, including those of specific turnover, the Authority believes that they should not create barriers to entry for new entrants that - while possessing the necessary licenses, authorizations, and certifications - are not yet active in offering the specific type of helicopter services subject to the tender, namely air ambulance services. It is therefore urged to carefully consider the possibility that specific turnover and/or experience requirements, aimed at assessing the suitability of operators to perform, in the future, the air ambulance service, may be alternatively satisfied by proving possession of equivalent skills as a guarantee, also relating to similar or adjacent services.</w:t>
      </w:r>
    </w:p>
    <w:p>
      <w:r>
        <w:t>The possibility of participating in the tender should also not be conditioned on the prior availability of the aircraft and/or pilots required for the provision of the service, as it is sufficient that this is ensured by the awarded contractor by the start date of the service. In this sense, in order to allow maximum participation in the procedures, the Authority also invites contracting authorities to announce tenders for the awarding of the contract with adequate advance notice before the start of the service, so as to allow bidding companies to procure the necessary means, if necessary, even after the award.</w:t>
      </w:r>
    </w:p>
    <w:p>
      <w:r>
        <w:t>In light of the above and the complexity and relevance of the service in question, the Authority finally hopes that contracting authorities - possibly also jointly activating forms of collaboration - carry out, prior to defining the tender design, a transparent and inclusive market consultation aimed at identifying both the actual needs in the sector.</w:t>
      </w:r>
    </w:p>
    <w:p>
      <w:r>
        <w:rPr>
          <w:b/>
        </w:rPr>
        <w:t>[Pages 25–27]</w:t>
      </w:r>
    </w:p>
    <w:p>
      <w:r>
        <w:t>BULLETIN NO. 13 OF APRIL 1, 2019 27</w:t>
      </w:r>
    </w:p>
    <w:p>
      <w:r>
        <w:t>in terms of minimum efficient service characteristics, as well as the structure and organization of the reference market from the supply side. The outcome of this analysis should usefully support the contracting authority in the correct division of the service into lots and in their appropriate sizing, in defining the technical and dimensional participation requirements, as well as in identifying an adequate duration of the contract, in order to promote the widest competition in the tender process and the unfolding of more competitive dynamics in the sector.</w:t>
      </w:r>
    </w:p>
    <w:p>
      <w:r>
        <w:t>The Authority trusts that the considerations outlined above will be taken into account in the definition of the tender rules for the provision of the helicopter rescue services in question by the competent contracting authorities from time to time.</w:t>
      </w:r>
    </w:p>
    <w:p>
      <w:r>
        <w:t>It is also requested that the Regions and Autonomous Provinces addressed transmit the indications contained in this report to the entities competent to perform the role of contracting authorities for helicopter rescue services in their respective territories.</w:t>
      </w:r>
    </w:p>
    <w:p>
      <w:r>
        <w:t>The Authority invites communication, within a period of sixty days from the receipt of this report, of the decisions taken regarding the highlighted issues.</w:t>
      </w:r>
    </w:p>
    <w:p>
      <w:r>
        <w:t>This report will be published in the Bulletin referred to in Article 26 of Law No. 287/90.</w:t>
      </w:r>
    </w:p>
    <w:p>
      <w:r>
        <w:t xml:space="preserve">THE PRESIDENT f.f. </w:t>
        <w:br/>
        <w:t>Gabriella Muscolo</w:t>
      </w:r>
    </w:p>
    <w:p>
      <w:r>
        <w:t>28 BULLETIN NO. 13 OF APRIL 1, 2019</w:t>
      </w:r>
    </w:p>
    <w:p>
      <w:r>
        <w:t xml:space="preserve">AS1574 - OBSERVATIONS ON THE 2019 BUDGET LAW </w:t>
        <w:br/>
        <w:t xml:space="preserve">Rome, March 19, 2019 </w:t>
        <w:br/>
        <w:t xml:space="preserve">Senate of the Italian Republic </w:t>
        <w:br/>
        <w:t xml:space="preserve">Chamber of Deputies </w:t>
        <w:br/>
        <w:t>Presidency of the Council of Ministers</w:t>
      </w:r>
    </w:p>
    <w:p>
      <w:r>
        <w:t>The Antitrust Authority, in its meeting of March 12, 2019, intended to make some considerations, pursuant to Article 21 of Law No. 287 of October 10, 1990, regarding the competitive and consumer protection issues arising from certain provisions contained in Law No. 145 of December 30, 2018, concerning the "State Budget for the financial year 2019 and multi-year budget for the three-year period 2019-2021" (2019 Budget Law).</w:t>
      </w:r>
    </w:p>
    <w:p>
      <w:r>
        <w:t>In particular, these are the provisions related to the regulation concerning: (i) health informational communications and registration in the territorial register of health directors (Article 1, paragraphs 525 and 536); (ii) assignment of treasury and cash services to Poste Italiane S.p.A. (Article 1, paragraph 908); (iii) secondary ticketing (Article 1, paragraphs 1099 and 1100).</w:t>
      </w:r>
    </w:p>
    <w:p>
      <w:r>
        <w:t>On health informational communications and the registration in the territorial register of health directors (Article 1, paragraphs 525 and 536)</w:t>
      </w:r>
    </w:p>
    <w:p>
      <w:r>
        <w:t>The 2019 Budget Law introduces stringent limits on the dissemination of health informational communications, providing in particular, in Article 1, paragraph 525, that "Informational communications from private healthcare facilities and from those registered in the registers of the Orders of health professions referred to in Chapter II of Law No. 3 of January 11, 2018, regardless of the legal form in which they carry out their activities, including the companies referred to in Article 1, paragraph 153, of Law No. 124 of August 4, 2017, may only contain the information referred to in Article 2, paragraph 1, of Decree-Law No. 223 of July 4, 2006, converted, with amendments, by Law No. 248 of August 4, 2006, functional to ensuring the safety of health treatments, excluding any promotional or suggestive elements, in respect of the free and informed determination of the patient, in protection of public health, the dignity of the person, and their right to correct health information."</w:t>
      </w:r>
    </w:p>
    <w:p>
      <w:r>
        <w:t>Pursuant to the subsequent paragraph 536: "In the event of violation of the provisions on health informational communications referred to in paragraph 525, the territorial health professional orders, also upon notification from their respective Federations, shall proceed disciplinarily against the professionals or companies registered and report such violations to the Authority for Communications Guarantees for the possible adoption of the relevant sanctioning measures. All private healthcare facilities are required to appoint a medical director registered with the register of the competent territorial order for the location where they have their operational headquarters within one hundred and twenty days from the date of entry into force of this law."</w:t>
      </w:r>
    </w:p>
    <w:p>
      <w:r>
        <w:t>In essence, the provision establishes that the informational communications disseminated by private healthcare facilities and by those registered in the registers of the Orders of health professions may exclusively be "functional to ensuring the safety of health treatments" and must not contain any "promotional or suggestive elements." In the event of violation of such limits, the possible adoption by the Authority for Communications Guarantees (also "Agcom") of relevant sanctioning measures is provided for. It is also established that all private healthcare facilities must appoint, within one hundred and twenty days from the date of entry into force of the law, a medical director registered with the register of the competent territorial order for the location where they have their operational headquarters.</w:t>
      </w:r>
    </w:p>
    <w:p>
      <w:r>
        <w:t>The Authority, in opinion AS1553 - 2019 Budget Law - Observations on Articles 41-bis and 51 of the draft law AC 1334, sent on December 13, 2018, to the Senate of the Republic and the Chamber of Deputies, has already pointed out the distortions arising from the provisions in question, which, however, have been fully confirmed in the final text of the Budget Law. It is therefore deemed appropriate to reiterate that the provisions in question, applicable to all health professions - whether exercised individually or in corporate form - raise issues concerning the limits placed on the content of health advertising, the distribution of competencies regarding oversight of advertising, as well as the introduction of restrictions on the exercise of the role of medical director.</w:t>
      </w:r>
    </w:p>
    <w:p>
      <w:r>
        <w:t>It is recalled that the possibility for professionals engaged in regulated activities, including in the health sector, to advertise their professional services was introduced by Decree-Law No. 223/2006 (converted into Law No. 248/2006), whose Article 2, letter b), repealed the previous prohibition on informational advertising by intellectual professionals. The liberalization process then continued by outlining a regulatory framework that clearly defines the limits of advertising even in the peculiar and delicate health sector, balancing the general interest of protecting competition with the unavoidable needs of health and consumer protection.</w:t>
      </w:r>
    </w:p>
    <w:p>
      <w:r>
        <w:t>Finally, the legislator has provided for a uniform regulation concerning advertising for all regulated professions. In particular, pursuant to Article 4 of Presidential Decree No. 137 of August 7, 2012, concerning the reform of professional orders, "[advertising] is permitted by any means for informational purposes regarding the activities of regulated professions, specializations, qualifications."</w:t>
      </w:r>
    </w:p>
    <w:p>
      <w:r>
        <w:rPr>
          <w:b/>
        </w:rPr>
        <w:t>[Pages 28–30]</w:t>
      </w:r>
    </w:p>
    <w:p>
      <w:r>
        <w:t>30 BULLETIN NO. 13 OF APRIL 1, 2019</w:t>
      </w:r>
    </w:p>
    <w:p>
      <w:r>
        <w:t>related to the profession, the structure of the professional studio, and the fees requested for the services. (paragraph 1). The informational advertising referred to in paragraph 1 must be functional to the subject, truthful and correct, must not violate the obligation of professional secrecy, and must not be ambiguous, misleading, or denigrating (paragraph 2). The violation of the provision in paragraph 2 constitutes a disciplinary offense, in addition to constituting a violation of the provisions of Legislative Decrees No. 206 of September 6, 2005, and No. 145 of August 2, 2007. (paragraph 3)”.</w:t>
      </w:r>
    </w:p>
    <w:p>
      <w:r>
        <w:t>The Authority has welcomed this liberalizing push, which it has supported with multiple advocacy interventions, always highlighting the importance of advertising, both as a crucial competitive lever, especially for young professionals, and for its function of bridging the informational asymmetries in the specific sector of professions.</w:t>
      </w:r>
    </w:p>
    <w:p>
      <w:r>
        <w:t>The Authority therefore believes that the regulation referred to in Article 1, paragraph 525, of the 2019 Budget Law reintroduces unjustified limitations on the use of advertising in the healthcare professions sector, which were removed by the aforementioned liberalization interventions, and is neither necessary nor proportionate to the general interest of protecting consumer safety.</w:t>
      </w:r>
    </w:p>
    <w:p>
      <w:r>
        <w:t>In fact, prescribing that the legitimate content of an "informational communication," concerning titles, professional specializations, characteristics of the service offered, and the price of the services, must also "guarantee the safety of healthcare treatments" introduces a criterion for evaluating communications that is so vague and indeterminate as to generate uncertainty regarding the legitimacy of the communication itself by professionals. In particular, the aforementioned indeterminate concept could be instrumentally used by professional orders to reintroduce restrictions on competition, even in violation of Law No. 248/2006 (the so-called Bersani reform).</w:t>
      </w:r>
    </w:p>
    <w:p>
      <w:r>
        <w:t>Similar considerations apply regarding the provision that "informational communications" must not contain "any promotional or suggestive elements," in the absence of a precise definition of such expressions. In this way, the unjustified limitation of professionals' use of an important competitive lever is imposed, hindering consumers' ability to make more informed choices.</w:t>
      </w:r>
    </w:p>
    <w:p>
      <w:r>
        <w:t>It should also be noted that the safety of healthcare treatments pertains rather to the concrete measures and methods of exercising healthcare activities adopted by professionals, as well as to the controls carried out on them by the designated authorities.</w:t>
      </w:r>
    </w:p>
    <w:p>
      <w:r>
        <w:t>Consequently, the limits introduced by the Budget Law on healthcare advertising are not proportionate, unjustifiably compressing the freedom of professionals to advertise their economic activity.</w:t>
      </w:r>
    </w:p>
    <w:p>
      <w:r>
        <w:t>Furthermore, regarding what is provided for in Article 1, paragraph 536, the Authority wishes to reiterate that the attribution to Agcom of a competence to oversee compliance with healthcare information is likely to create a conflicting overlap of competences between Agcom and AGCM, in violation of the general competence of the latter to oversee compliance with the provisions introduced into the Consumer Code during the transposition of Directive 2005/29/EC concerning unfair commercial practices between businesses and consumers.</w:t>
      </w:r>
    </w:p>
    <w:p>
      <w:r>
        <w:t>The provision therefore violates the provisions of EU and national law that grant the Authority exclusive competence to oversee the correctness and transparency of informational and promotional communications, including in the healthcare sector.</w:t>
      </w:r>
    </w:p>
    <w:p>
      <w:r>
        <w:t>Finally, the Authority notes that the requirement for the medical director of private healthcare facilities to be registered with the territorial order where the facility is located (contained in the same Article 1, paragraph 536) constitutes an unjustified restriction of competition in the provision of professional services in the healthcare sector, unsupported by objective needs of general interest.</w:t>
      </w:r>
    </w:p>
    <w:p>
      <w:r>
        <w:t>The provision, in fact, does not appear aimed at ensuring safer healthcare services to protect consumers, nor are there particular needs for a more pervasive oversight power by the territorial order of belonging. It should be noted that access to the healthcare profession occurs following a path and with the acquisition of a degree and qualification recognized at the national level, also open to citizens of other Member States under the regime of free provision of services. The professional, therefore, once registered in the Register, can exercise healthcare activities throughout the national territory, in compliance with the relevant sector regulations. Moreover, when considering other protected professions, such as that of lawyers, registration with the professional order does not depend on the actual place of exercise of the activity.</w:t>
      </w:r>
    </w:p>
    <w:p>
      <w:r>
        <w:t>Therefore, the Authority believes that the new provision, aligning the geographical scope of registration in the Register with that of exercising the role of medical director, ends up segmenting the market and results in an unjustified barrier to access and exercise of the activity, even for those professionals who operate in multiple healthcare facilities.</w:t>
      </w:r>
    </w:p>
    <w:p>
      <w:r>
        <w:t>In summary, Article 1, paragraphs 525 and 536, of the 2019 Budget Law: removes the entire sector of healthcare professions from the possibility of resorting to advertising leverage, limiting competition among healthcare professionals in a manner not proportionate to the general interest of protecting consumer safety; violates the provisions that grant the Authority the competence to oversee the correctness and transparency of healthcare informational communications; introduces unjustified constraints on the exercise of the role of medical director.</w:t>
      </w:r>
    </w:p>
    <w:p>
      <w:r>
        <w:t>On the entrustment of treasury and cash services to Poste Italiane S.p.A. (Article 1, paragraph 908)</w:t>
      </w:r>
    </w:p>
    <w:p>
      <w:r>
        <w:t>The 2019 Budget Law extends the range of subjects that can directly entrust treasury and cash services to Poste Italiane S.p.A.</w:t>
      </w:r>
    </w:p>
    <w:p>
      <w:r>
        <w:t>Article 1, paragraph 908, indeed provides that, after Article 9, paragraph 3, of Law No. 1585 of October 6, 2017 - according to which "Small municipalities may entrust, pursuant to Article 40, paragraph 1, of Law No. 448 of December 23, 1998, the management of treasury and cash services to the company Poste Italiane S.p.A." - the following paragraph 3-bis is added: "Public administrations referred to in Article 1, paragraph 2, of Legislative Decree No. 165 of March 30, 2001, operating in small municipalities may also directly entrust, pursuant to Article 40, paragraph 1, of Law No. 448 of December 23, 1998, the management of treasury and cash services to the company Poste Italiane S.p.A.".</w:t>
      </w:r>
    </w:p>
    <w:p>
      <w:r>
        <w:t>In this regard, it is noted that, based on the provisions of Articles 208 et seq. of Legislative Decree No. 267 of August 18, 2000 (containing the Consolidated Text of the laws on the organization of local authorities – TUEL) and of D.P.R. No. 97 of February 27, 2003, public entities are required to entrust the treasury service through public evidence procedures. However, in derogation of this general principle, the aforementioned Law No. 158/2017 - adopted to promote and facilitate the sustainable economic, social, environmental, and cultural development of small municipalities (i.e., municipalities with a resident population of up to 5,000 inhabitants, as well as municipalities established following the merger of municipalities each with a population of up to 5,000 inhabitants) - has provided that small municipalities may entrust the management of treasury and cash services to Poste Italiane S.p.A.</w:t>
      </w:r>
    </w:p>
    <w:p>
      <w:r>
        <w:t>This is clearly an exceptional and derogatory regime compared to the general principle of entrusting the treasury service through a tender and, therefore, subjectively limited to the only 'small municipalities'.</w:t>
      </w:r>
    </w:p>
    <w:p>
      <w:r>
        <w:t>With the provision contained in the 2019 Budget Law, the legislator has instead provided that public administrations operating in small municipalities may also directly entrust the management of treasury and cash services, specifying that the entrustment of the service may occur (only) in favor of the company Poste Italiane S.p.A.</w:t>
      </w:r>
    </w:p>
    <w:p>
      <w:r>
        <w:t>In this regard, it is recalled that based on the consolidated orientation of this Authority, the entrustment of services by Public Administrations, including the service in question, must occur after the completion of a public evidence procedure, suitable to ensure compliance with the principles of equal treatment, non-discrimination, and competition, as well as the right of access for all potential competitors exercising such activity in the market. Conversely, it has been noted that direct entrustment precludes competitive comparison among the subjects interested in offering such services, limiting the price containment process typical of competitive play. Therefore, this latter form of entrustment can only be admitted in exceptional cases, justified by the presence of particular objective needs; cases that, being exceptional, cannot be further and arbitrarily expanded.</w:t>
      </w:r>
    </w:p>
    <w:p>
      <w:r>
        <w:t>Additionally, the provision in question expressly identifies Poste Italiane S.p.A. as the only possible beneficiary of the direct entrustment of such services. However, the company is a private operator, active in the Italian territory in competition with other private entities (for example, credit institutions), equally authorized to perform the role of treasurer for public entities.</w:t>
      </w:r>
    </w:p>
    <w:p>
      <w:r>
        <w:rPr>
          <w:b/>
        </w:rPr>
        <w:t>[Pages 31–33]</w:t>
      </w:r>
    </w:p>
    <w:p>
      <w:r>
        <w:t>BULLETIN NO. 13 OF APRIL 1, 2019 33</w:t>
      </w:r>
    </w:p>
    <w:p>
      <w:r>
        <w:t>administrations. Moreover, the treasury service does not fall within the scope of the universal service for which Poste Italiane S.p.A. is the concessionaire.</w:t>
      </w:r>
    </w:p>
    <w:p>
      <w:r>
        <w:t>Based on the considerations outlined, it is believed that Article 1, paragraph 908, of the 2019 Budget Law, according to which certain public administrations may directly entrust the treasury and cash service to Poste Italiane S.p.A., appears to be in conflict with the principles of free competition, as it hinders the proper functioning of competitive dynamics, unduly favoring one private operator over other operators equally authorized to provide the service.</w:t>
      </w:r>
    </w:p>
    <w:p>
      <w:r>
        <w:t>On the regulation of secondary ticketing (Article 1, paragraphs 1099 and 1100)</w:t>
      </w:r>
    </w:p>
    <w:p>
      <w:r>
        <w:t>The 2019 Budget Law, finally, in Article 1, paragraphs 1099 and 1100, amends paragraph 545 of Article 1 of Law No. 232 of December 11, 2016 (stability law 2017) and adds to this article paragraphs 545-bis to 545-quinquies.</w:t>
      </w:r>
    </w:p>
    <w:p>
      <w:r>
        <w:t>These provisions, adopted "in order to combat tax evasion and avoidance, as well as to ensure consumer protection and guarantee public order," have strengthened the regulation of the resale of tickets for events and have entrusted the Authority for Communications Guarantees with the task, "in concert" with the Authority for Competition and Market, to ascertain compliance with the prohibition on the sale of tickets by subjects other than the holders of the issuance systems (event organizers or persons appointed by them) - with the exclusion of occasional ticket sales by individuals at a price not exceeding the nominal value - possibly imposing the administrative sanctions provided for.</w:t>
      </w:r>
    </w:p>
    <w:p>
      <w:r>
        <w:t>In particular, Article 1, paragraph 545, of the Stability Law 2017 provides that "In order to combat tax evasion and avoidance, as well as to ensure consumer protection and guarantee public order, the sale or any other form of placement of access tickets to entertainment activities carried out by a subject other than the holders, even based on a specific contract or agreement, of the systems for their issuance is punished, unless the act constitutes a crime, with the inhibition of the conduct and with administrative monetary sanctions from 5,000 euros to 180,000 euros, as well as where the conduct is carried out through electronic communication networks, according to the methods established in paragraph 546, with 'the removal of content, or, in more serious cases, (...) the blocking of the website through which the violation was carried out, without prejudice to compensation actions.'</w:t>
      </w:r>
    </w:p>
    <w:p>
      <w:r>
        <w:t>The penultimate paragraph of the same paragraph 545, as amended by Article 1, paragraph 1099, of the 2019 Budget Law, provides that "The Authority for Communications Guarantees, in concert with the Authority for Competition and Market, carries out the necessary checks and interventions, acting ex officio or upon notification from interested parties and imposing, if necessary, the administrative monetary sanctions provided for in this paragraph."</w:t>
      </w:r>
    </w:p>
    <w:p>
      <w:r>
        <w:t>This provision raises concerns regarding the identification of a specific competence of the AGCM in matters of violation of the prohibition on the sale of tickets by subjects other than the holders of the issuance systems. The Authority already pursues the protection of consumer interests in the sector of ticket sales and resales, exclusively applying the regulations concerning commercial practices contained in the Consumer Code. In this regard,</w:t>
      </w:r>
    </w:p>
    <w:p>
      <w:r>
        <w:t>34 BULLETIN NO. 13 OF APRIL 1, 2019</w:t>
      </w:r>
    </w:p>
    <w:p>
      <w:r>
        <w:t>the Authority has classified as unfair commercial practices the conduct of a primary market operator that did not adopt suitable measures to limit the phenomenon of ticket hoarding on its platform and the conduct of secondary market operators that offered their services providing misleading and omissive information.</w:t>
      </w:r>
    </w:p>
    <w:p>
      <w:r>
        <w:t>In this perspective, the attribution to the AGCM, in the form of "concert," of the aforementioned competences, aimed also at "combating tax evasion and avoidance" and "guaranteeing public order," appears unrelated to the objectives that it is required to pursue in the application of the Consumer Code regulations concerning unfair commercial practices, as well as to the tools at its disposal in the context of consumer protection.</w:t>
      </w:r>
    </w:p>
    <w:p>
      <w:r>
        <w:t>In the changed regulatory framework, moreover, the position that the Authority will be called upon to express on the measures of Agcom in the exercise of the aforementioned competences under Article 1, paragraph 545, of Law No. 232/2016, as amended by the 2019 Budget Law, could conflict with the supervisory activity carried out by it in application of the Consumer Code. These are, in fact, competences that could present profiles of possible overlap, where the violation of the prohibition referred to in Article 1, paragraph 545, of Law No. 232/2016, carried out by intermediaries active in the sale of tickets, constitutes conduct that meets the criteria of an unfair commercial practice in violation of the Consumer Code.</w:t>
      </w:r>
    </w:p>
    <w:p>
      <w:r>
        <w:t>Therefore, based on the above, it is suggested to restore the previous formulation of Article 1, paragraph 545, of Law No. 232/2016, which limited itself to granting Agcom a sanctioning and inhibiting power in the presence of conduct attributable to the phenomenon of "online ticket scalping," without interfering with the competences of the Authority. The previous text of Article 1, paragraph 545, on this point provided that: "The Authority for Communications Guarantees and the other competent authorities carry out the necessary checks and interventions, acting ex officio or upon notification from interested parties."</w:t>
      </w:r>
    </w:p>
    <w:p>
      <w:r>
        <w:t>The Authority intervened during 2017 with five proceedings concerning unfair commercial practices carried out by professionals active in the primary (Ticketone) and secondary market of online event ticket sales (Viagogo, Seatwave, Ticketbis, and Mywayticket). The four sanctioning measures adopted against secondary market professionals concerned misleading and omissive information provided by professionals during the sales process. These included information such as the role of the professional, the characteristics of the intermediation service provided, the type and total price of the tickets offered. The Authority's proceeding concluded against the professional active in the primary market (Ticketone), holder of the online ticket issuance system, concerned the commercial practice consisting of the failure to implement measures to limit massive ticket purchases by a few subjects, including by automatic programs (ticketbots). See proceedings PS/8035 Ticketone – tickets not available; PS/10610 Viagogo – secondary market; PS/10611 Ticketbis – secondary market; PS/10612 Mywayticket – secondary market; PS/10613 Seatwave – secondary market, in Bulletin 14/2017 of April 18, 2017.</w:t>
      </w:r>
    </w:p>
    <w:p>
      <w:r>
        <w:t>BULLETIN NO. 13 OF APRIL 1, 2019 35</w:t>
      </w:r>
    </w:p>
    <w:p>
      <w:r>
        <w:t>It is hoped that the legislator will take due account of the considerations expressed above, in relation to Article 1, paragraphs 525, 536, 908, 1099, and 1100 of Law No. 145 of December 30, 2018, containing "State Budget for the financial year 2019 and multiannual budget for the three-year period 2019-2021" (2019 Budget Law).</w:t>
      </w:r>
    </w:p>
    <w:p>
      <w:r>
        <w:t>This report will be published in the Bulletin referred to in Article 26 of Law No. 287/90.</w:t>
      </w:r>
    </w:p>
    <w:p>
      <w:r>
        <w:t xml:space="preserve">THE PRESIDENT pro tempore </w:t>
        <w:br/>
        <w:t>Gabriella Muscolo</w:t>
      </w:r>
    </w:p>
    <w:p>
      <w:r>
        <w:rPr>
          <w:b/>
        </w:rPr>
        <w:t>[Pages 34–36]</w:t>
      </w:r>
    </w:p>
    <w:p>
      <w:r>
        <w:t>36 BULLETIN NO. 13 OF APRIL 1, 2019</w:t>
      </w:r>
    </w:p>
    <w:p>
      <w:r>
        <w:t>UNFAIR COMMERCIAL PRACTICES</w:t>
      </w:r>
    </w:p>
    <w:p>
      <w:r>
        <w:t>IP300 - GIRADA-ONLINE SALES</w:t>
      </w:r>
    </w:p>
    <w:p>
      <w:r>
        <w:t>Provision No. 27598</w:t>
      </w:r>
    </w:p>
    <w:p>
      <w:r>
        <w:t>THE ANTITRUST AUTHORITY</w:t>
      </w:r>
    </w:p>
    <w:p>
      <w:r>
        <w:t>IN ITS MEETING of March 12, 2019;</w:t>
      </w:r>
    </w:p>
    <w:p>
      <w:r>
        <w:t>HEARD the Rapporteur Professor Michele Ainis;</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its resolution No. 27056 of February 21, 2018, by which a series of commitments presented by the company GIRADA S.r.l.s. (hereinafter also Girada or the professional) in the investigative procedure PS/10842 were accepted and made mandatory, pursuant to and for the purposes of Article 27, paragraph 7, of the Consumer Code;</w:t>
      </w:r>
    </w:p>
    <w:p>
      <w:r>
        <w:t>HAVING REGARD to its resolution No. 27319 of September 13, 2018, by which the Authority contested to Girada the violation of Article 27, paragraph 12, of the Consumer Code, for failing to comply with the aforementioned resolution No. 27056 of February 21, 2018;</w:t>
      </w:r>
    </w:p>
    <w:p>
      <w:r>
        <w:t>HAVING REGARD to its provision of September 13, 2018, by which an inspection was ordered, pursuant to Article 27, paragraphs 2 and 3, of the Consumer Code, at the headquarters of Girada;</w:t>
      </w:r>
    </w:p>
    <w:p>
      <w:r>
        <w:t>HAVING REGARD to its resolution of December 20, 2018, by which, pursuant to Article 7, paragraph 3, of the Regulation, the deadline for concluding the procedure was extended to March 16, 2019, for specific investigative needs as well as to ensure adequate rights of defense;</w:t>
      </w:r>
    </w:p>
    <w:p>
      <w:r>
        <w:t>HAVING REGARD to the documents of the procedure;</w:t>
      </w:r>
    </w:p>
    <w:p>
      <w:r>
        <w:t>CONSIDERING the following:</w:t>
      </w:r>
    </w:p>
    <w:p>
      <w:r>
        <w:t>I. PREMISE</w:t>
      </w:r>
    </w:p>
    <w:p>
      <w:r>
        <w:t>1. With provision No. 27056 of February 21, 2018, the Authority accepted and made mandatory a series of commitments from Girada, closing the procedure PS10842 without establishing the infringement. Below is a summary of the content of the aforementioned commitments, analytically described in the statement attached to the cited Resolution No. 27056/2018:</w:t>
      </w:r>
    </w:p>
    <w:p>
      <w:r>
        <w:t>BULLETIN NO. 13 OF APRIL 1, 2019 37</w:t>
      </w:r>
    </w:p>
    <w:p>
      <w:r>
        <w:t>• substantial modification of the information set to clarify the sales scheme: modification of the Site by replacing the wording “price share” with “reservation” as well as the insertion of the notice "Attention: price subject to sales conditions," next to the indication of the amount related to the full price and that linked to the reservation, adding a different pop-up when the customer selects one of the two purchase methods;</w:t>
        <w:br/>
        <w:t>• greater prominence and accessibility to the identity of the professional, its location, phone number, and other corporate information: such information continues to be available even in the purchase conditions published on the site;</w:t>
        <w:br/>
        <w:t>• simplification of the access methods to the withdrawal form: publication of the link to the necessary form to exercise the right of withdrawal on the home page and the start of the 14-day period from which the buyer can withdraw from the delivery of the good and not from the moment of reservation;</w:t>
        <w:br/>
        <w:t>• publication on the home page of the site of the link to the Online Dispute Resolution (ODR) platform managed by the European Union;</w:t>
        <w:br/>
        <w:t>• reference to the consumer's forum;</w:t>
        <w:br/>
        <w:t>• increase in the staff assigned to the call center after appropriate training and increase in the hours of receiving calls;</w:t>
        <w:br/>
        <w:t>• implementation, by March 2018, of an integrated platform presenting all partnerships developed by Girada;</w:t>
        <w:br/>
        <w:t>• improvement and expansion of the FAQ section, adhering to the principle of greater transparency and simplicity, within 30 days from the adoption of the resolution accepting the commitments;</w:t>
        <w:br/>
        <w:t>• allowing all customers, after at least 9 months from the reservation, to purchase the chosen product at the market price applied at the time of the request;</w:t>
        <w:br/>
        <w:t>• possibility of early termination of the contract. In particular, Girada committed, within 30 days from the acceptance of the commitments, to indicate the possibility of refunding the reservation within 14 days from the same, by means of a checkbox stating “I have taken note of the possibility of refunding the reservation within 14 days from payment.” Furthermore, to clarify the exact scope of the early termination right concerning the reservation, the following article was introduced: “In the case of purchasing the good with the 'book now' method (Article 2.2 b of the sales conditions), the customer has the right to request a refund of the amount paid within 14 days from the actual payment. After 14 days, the customer can no longer request the amount paid for the reservation of the desired product, but can use it for the purchase of the same product chosen with the immediate purchase method (Article 2.2 a of the sales conditions) "full price." It is not possible to combine the amounts paid for multiple products, with the "book now" method, for the purchase of a single good at "full price." The possibility of exercising the right of withdrawal remains unaffected, as provided for in Article 13 of the sales conditions. To request a refund of the reservation, within the indicated term, it will be necessary to send an email to recesso@girada.it with the completed form attached. By clicking on the following link, it will be possible to download the form for the request for refund of the 'reservation' ”;</w:t>
      </w:r>
    </w:p>
    <w:p>
      <w:r>
        <w:t>38 BULLETIN NO. 13 OF APRIL 1, 2019</w:t>
      </w:r>
    </w:p>
    <w:p>
      <w:r>
        <w:t>• reformulation of Article 2.2 of the sales conditions concerning the two different purchase methods: a) immediate purchase of the good at "full price" without enjoying any discount (except for any price reductions according to the so-called “reverse mode” purchase criteria), or b) book now "reservation," which involves the payment of the reservation, the assignment of a personal reference code (“Referral Code”) associated with a unique and personal link, and finally obtaining the good at a lower price, approximately one-third of that applied for the immediate purchase "full price," when three new customers, using the same referral code, have, in turn, immediately purchased or reserved the same product (or a product of the same price range);</w:t>
        <w:br/>
        <w:t>• transmission to the Authority of a report regarding the number of orders managed, the correct management of the site, sales, and various issues faced in the relationship with customers, a commitment valid for 24 months from the acceptance of the commitments and with bimonthly frequency;</w:t>
        <w:br/>
        <w:t>• implementation, within 60 days from the acceptance of the commitments, of an explanatory video aimed at clarifying Girada's sales method, with particular reference to the effects of the reservation;</w:t>
        <w:br/>
        <w:t>• publication, within 60 days from the acceptance of the commitments, of statistics and rankings of the so-called GOLD quotas, assigned to consumers who place orders without presenting friends, so that such consumers can be aware of the finalization times of their order, explicitly stating the criteria followed to determine the order of assignment of the GOLD quotas;</w:t>
        <w:br/>
        <w:t>• sending to all customers, within 30 days from the acceptance of the commitments, an informative email regarding the changes to the sales conditions.</w:t>
      </w:r>
    </w:p>
    <w:p>
      <w:r>
        <w:t>2. With note prot. 44862 of May 31, 2018, the professional communicated that it had implemented the aforementioned measures.</w:t>
      </w:r>
    </w:p>
    <w:p>
      <w:r>
        <w:t>3. Following the closure of the investigative procedure, starting from May 30, 2018, numerous reports were received by the Authority highlighting conduct not compliant with some of the commitments that the professional was required to implement in compliance with the cited resolution No. 27056.</w:t>
      </w:r>
    </w:p>
    <w:p>
      <w:r>
        <w:t>4. In light of the elements acquired, the Authority, with provision No. 27319 of September 13, 2018, contested to Girada the violation of resolution No. 27056 of February 21, 2018, for failing to comply with the commitments consisting of: (a) allowing the exercise of the right of withdrawal according to the provisions of the Consumer Code also reported in the general sales conditions; (b) allowing customers, after at least nine months from the reservation, to purchase the chosen product at the market price at the time of the request; as well as (c) publishing the statistics and rankings of the so-called GOLD quotas, assigned to consumers who place orders without presenting friends and used to proceed “ex officio” to match with other consumers.</w:t>
      </w:r>
    </w:p>
    <w:p>
      <w:r>
        <w:t>5. The initiation of the non-compliance procedure was accompanied by inspection checks carried out at the professional's headquarters on September 14, 2019.</w:t>
      </w:r>
    </w:p>
    <w:p>
      <w:r>
        <w:t>6. With resolution of December 20, 2018, an extension was ordered, pursuant to Article 7, paragraph 3, of the Regulation, to March 16, 2019, of the deadline for concluding the procedure, for specific investigative needs as well as to ensure adequate rights of defense.</w:t>
      </w:r>
    </w:p>
    <w:p>
      <w:r>
        <w:rPr>
          <w:b/>
        </w:rPr>
        <w:t>[Pages 37–39]</w:t>
      </w:r>
    </w:p>
    <w:p>
      <w:r>
        <w:t>BULLETIN NO. 13 OF APRIL 1, 2019 39</w:t>
      </w:r>
    </w:p>
    <w:p>
      <w:r>
        <w:t>7. On February 1, 2019, the professional was sent a communication regarding the conclusion of the investigative phase of the present procedure, set for February 21, 2019.</w:t>
      </w:r>
    </w:p>
    <w:p>
      <w:r>
        <w:t>II. THE RESULTS OF THE PROCEDURE</w:t>
      </w:r>
    </w:p>
    <w:p>
      <w:r>
        <w:t>a) Failure to recognize the right of withdrawal according to the provisions of the Consumer Code as also reported in the general sales conditions</w:t>
      </w:r>
    </w:p>
    <w:p>
      <w:r>
        <w:t>8. From the reports and the informational elements collected during the inspection carried out on September 14, 2018, it appears that Girada did not allow buyers to exercise the right of withdrawal according to the provisions reported in the general sales conditions, modified following commitments to make them compliant with the regulations of the Consumer Code.</w:t>
      </w:r>
    </w:p>
    <w:p>
      <w:r>
        <w:t>9. In this regard, in the report sent in compliance with the aforementioned commitments, Girada justified the failure to recognize the right of withdrawal for some consumers due to allegedly anomalous behaviors exhibited by them during the second quarter of 2018, which were classified as attempts at fraud.</w:t>
      </w:r>
    </w:p>
    <w:p>
      <w:r>
        <w:t>10. Furthermore, several reports criticize the obstructive behavior of the professional consisting of the failure to refund - or only partial refund - to buyers who have duly communicated their decision to withdraw from the contract after having obtained or redeemed the good. An emblematic case in this regard is that of a consumer who communicated to the professional his decision to withdraw from the contract within the legally required time and according to the requested methods, after having "reserved" a smartphone at the price of €449.99, having registered on a "GiradaGroup" list to obtain the good as soon as possible, and then having paid the additional sum of €830.00 to redeem the phone (incurring a total expenditure of €1,279.99). This consumer received only a partial refund since Girada would have limited itself to returning only the sum of €830.00, converting the amount paid as a reservation (€449.99) into a voucher redeemable exclusively on the Girada website with a purchase of at least €1,259.99.</w:t>
      </w:r>
    </w:p>
    <w:p>
      <w:r>
        <w:t>11. From the evidence on file, it has been possible to ascertain that Girada, contrary to what is provided for by the Consumer Code as well as by the same general sales conditions, depending on the cases, did not follow up on withdrawal requests and did not proceed with the related refund, for example, by refusing the package regularly shipped by the consumer, or by sending letters of formal notice requesting compensation for damages allegedly suffered due to the discounts obtained by the so-called friends included in the system, or by demanding specific and costly methods of transmission of the withdrawal request (via certified email).</w:t>
      </w:r>
    </w:p>
    <w:p>
      <w:r>
        <w:t>12. Finally, the evidentiary documentation also highlights Girada's adoption of dilatory conduct aimed at unjustifiably delaying the refund of what is due to the consumer following the legitimate exercise of the right of withdrawal, even if carried out in compliance with the procedural indications provided by the professional.</w:t>
      </w:r>
    </w:p>
    <w:p>
      <w:r>
        <w:t>b) Failure to purchase the reserved good at the market price at the time of the request</w:t>
      </w:r>
    </w:p>
    <w:p>
      <w:r>
        <w:t>13. The numerous evidences on file attest that Girada, in violation of the commitments undertaken, did not allow the subsequent purchase ("redemption") of the chosen good at the market price applied at the time of the request. Based on the evidentiary documentation, in some cases the professional limited itself to not responding to the consumers' requests, in other cases expressly refused the request for redemption at market price, and in other cases left consumers in suspense by communicating that redemptions would be carried out at a later time.</w:t>
      </w:r>
    </w:p>
    <w:p>
      <w:r>
        <w:t>14. Some documents on file also attest to the circumstance that Girada would have expressly communicated to consumers who had expressed the desire to redeem the previously reserved product that it had suspended the redemption procedures.</w:t>
      </w:r>
    </w:p>
    <w:p>
      <w:r>
        <w:t>15. It emerges, in fact, that the professional has prepared a standard response that it sent via email to numerous consumers who had submitted requests for "redemption" of the reserved good, informing the recipients that it had suspended the procedure related to the redemption of products already "reserved" at the market price, even going so far as to state - in some cases - that it had been authorized to do so by the Authority.</w:t>
      </w:r>
    </w:p>
    <w:p>
      <w:r>
        <w:t>16. On this point, Girada itself confirmed, during the procedure, that it had "blocked the possibility of redemption at market prices due to some anomalies that had been found in the conduct of consumers." In this regard, the structure of the script that the professional uses regarding redemption at market price appears decisive: "at the moment, redemptions at market price are closed. Therefore, we invite you to stay updated through our social channels, including Telegram: https://t.me/girada, where notice will be given of the new reopening of the 'Redemption at market price' service and there is already a post where we inform that they will be reopened."</w:t>
      </w:r>
    </w:p>
    <w:p>
      <w:r>
        <w:t>17. Confirming the impossibility for consumers to redeem the reserved good at the market price are the numerous documentary evidences, also obtained during the inspection, of exchanges of messages between the company and users that attest to Girada's expressed refusal due to an alleged suspension of the redemption procedure, or the adoption of dilatory conduct aimed at delaying the processing of requests.</w:t>
      </w:r>
    </w:p>
    <w:p>
      <w:r>
        <w:rPr>
          <w:b/>
        </w:rPr>
        <w:t>[Pages 40–42]</w:t>
      </w:r>
    </w:p>
    <w:p>
      <w:r>
        <w:t>42 BULLETIN NO. 13 OF APRIL 1, 2019</w:t>
      </w:r>
    </w:p>
    <w:p>
      <w:r>
        <w:t>delaying the redemption at market price, and also the request for a payment higher than the market price.</w:t>
      </w:r>
    </w:p>
    <w:p>
      <w:r>
        <w:t>18. In relation to this last aspect, the evidentiary documentation has indeed shown that many buyers, in order to exit the Girada System, have been induced to pay prices significantly higher than market prices, despite having already paid substantial sums of money for the mere "reservation" of the good. According to the evidence on file, these are, in fact, prices that "are 26% to 40% higher than the market price" and, in some cases, products that would cost, at the time of redemption, even double their market price.</w:t>
      </w:r>
    </w:p>
    <w:p>
      <w:r>
        <w:t>15 In some reports, users are said to have been blocked for even months or years: see reports prot. 84868 of 12/31/2018 and prot. 10661 of 01/08/2019. See also document 66 of the inspection file - Ticket code - 183956-65568-180715 - After more than nine months from the "reservation," a user requests redemption, but the professional responds that, "given the enormous number of requests received, we must necessarily interrupt the procedure and the exercise of Redemption at Market Price. In this context, given the circumstances, the entire staff at our disposal is engaged in reducing the mass of Tickets received regarding this procedure. It is therefore technically unfeasible to take on new and additional requests."</w:t>
      </w:r>
    </w:p>
    <w:p>
      <w:r>
        <w:t>16 See document 66 of the inspection file - Ticket code 119622-74476-180828, according to which Girada would have requested an additional amount of 160 euros from the consumer to redeem the reserved product, although they had already paid a sum of 79.90 euros, and the market price was approximately 197 euros. In response to the consumer's complaints, the professional stated that "redemptions at market price are currently suspended" and that "the prices and methods used to calculate the Redemptions are determined by standard procedures. The conditions that determine them are therefore imposed by the System. These steps cannot be circumvented or modified. The colleagues in the department have applied the procedure according to the correct indications. Having already applied the maximum possible discount, it is not possible to proceed with further reductions to the proposed price. For this reason, our offer must necessarily remain unchanged." In the same vein, also in document 66 of the inspection file, see Ticket codes - 120991-75250-180831, from which it emerges that a user, who has already "reserved" a good by paying 400 euros, is offered a product exchange by paying an additional 950 euros for the purchase, when its market price would be 900 euros. In response to their request for explanations, Girada states that it is currently not possible to indicate a lower price. Similarly, from Ticket codes - 148119-76924-180910 of the same document 66 of the inspection file, it appears that Girada asked a consumer, for the redemption of a product, to pay 820 euros where on another site managed by the same professional (GiradaNow) the same good costs 559 euros. The professional responds that, since these are two different sites with different sales methods, it is not possible to consider the price of GiradaNow at the time of redemption of the product, just as it is not possible to convert the order into a voucher on GiradaNow. If the customer intends to redeem their order, they must accept the communicated offer. In the same sense, the report prot. 46436 of June 7, 2018 states: in response to the request for redemption of the good, a consumer was proposed "a total price of 280 euros, when on the same date the cost of the same product (Huawei P10 Lite) varies from a minimum of about 185 euros to a maximum of about 240 euros at the major electronics chains." Furthermore, previously the same consumer would have requested a redemption for the same type of smartphone regarding another order, and the total price would have been set at 200.00 euros, even lower than that subsequently requested by the Professional for the same product even though concerning a different order.</w:t>
      </w:r>
    </w:p>
    <w:p>
      <w:r>
        <w:t>17 In addition to the documents already specifically indicated, see report prot. 51025 of 07/02/2018 in which a consumer states that they want to redeem the product ("reserved" by paying 449.99 euros) at market price, but this is not possible as the professional proposes "high prices not conforming to the market." See also report prot. 79982 of 12/03/2018 in which a consumer claims to have "reserved" a good by paying the price of 389.89 euros and must pay an additional 979.01 euros for redemption "despite the fact that at the moment the product is sold on the same site at FULL price (thus without using the reservation) at 1,189.00 euros." Furthermore, in report prot. 10636 of 01/08/2019, it is complained that Girada allows redeeming the "reserved" product "at a truly excessive price."</w:t>
      </w:r>
    </w:p>
    <w:p>
      <w:r>
        <w:t>18 Thus, report prot. 52592 of 07/10/2018, in which a consumer complained that, after stating to Girada that they wanted to redeem at market prices, the company would not have proceeded in this sense and would have nonetheless requested said high amounts for redemption.</w:t>
      </w:r>
    </w:p>
    <w:p>
      <w:r>
        <w:t>19 See report prot. 48852 of 06/20/2018 in which a consumer informs that not all commitments made by Girada have been fulfilled, so that - to redeem a "reserved" product - they must pay the sum of 939 euros when the same good has a market value of about half. It is also reported that a refund of 259.99 euros is requested as a discount for those who would have been helped in the purchase chain.</w:t>
      </w:r>
    </w:p>
    <w:p>
      <w:r>
        <w:t>BULLETIN NO. 13 OF APRIL 1, 2019</w:t>
      </w:r>
    </w:p>
    <w:p>
      <w:r>
        <w:t>19. As also attested by the inspection documentation, as a result of Girada's conduct, consisting of requesting consumers who intend to redeem the reserved good, prices well above the market price, the various users who refused to pay the increased amounts have then remained "blocked" on the list prepared to obtain the chosen products for long periods that sometimes exceeded 12 months, reaching, in one case, 509 days.</w:t>
      </w:r>
    </w:p>
    <w:p>
      <w:r>
        <w:t>20. Moreover, from the numerous reports received, it appears that Girada would grant users the possibility to convert the reservation into a voucher to be spent on another site that is always managed by the same professional and on which products are offered at prices significantly higher than market prices and often with limited availability.</w:t>
      </w:r>
    </w:p>
    <w:p>
      <w:r>
        <w:t>c) Failure to publish statistics and rankings of the so-called GOLD Shares</w:t>
      </w:r>
    </w:p>
    <w:p>
      <w:r>
        <w:t>21. From the surveys conducted on the professional's site, it does not appear that statistics and rankings related to consumers who place orders without presenting friends, and who should therefore be matched by the professional, have been published. At the same time, Girada stated that "the lists of consumers who have made the reservation awaiting matching with other consumers/friends are not available, nor have they ever been published on the site, as there is a manual matching."</w:t>
      </w:r>
    </w:p>
    <w:p>
      <w:r>
        <w:t>III. THE ARGUMENTS OF THE PARTY</w:t>
      </w:r>
    </w:p>
    <w:p>
      <w:r>
        <w:t>22. In a communication received on February 22, 2019 (hereinafter also "final communication"), the professional transmitted the defensive memorandum in which he stated, preliminarily, that it would not be "true that Girada would not allow buyers to exercise the right of withdrawal provided by law, as specified also in the sales conditions subject to modification with the assumption of commitments."</w:t>
      </w:r>
    </w:p>
    <w:p>
      <w:r>
        <w:t>23. On this point, the professional limited himself to providing some justifications regarding specific situations subject to complaint and referred to in the communication of the conclusion of the investigation phase.</w:t>
      </w:r>
    </w:p>
    <w:p>
      <w:r>
        <w:t>20 See document no. 76 of the inspection file as well as the documents cited above in note 14. See also report prot. 82663 of 12/17/2018, in which a consumer informs that, although 14 months have passed since the reservation of a product, Girada does not seem inclined to introduce redemptions at market price.</w:t>
      </w:r>
    </w:p>
    <w:p>
      <w:r>
        <w:t>21 See document no. 77 of the inspection file.</w:t>
      </w:r>
    </w:p>
    <w:p>
      <w:r>
        <w:t>22 See document no. 135 of the inspection file.</w:t>
      </w:r>
    </w:p>
    <w:p>
      <w:r>
        <w:t>23 See the already cited report prot. 82663 of 12/17/2018, in which a consumer, who was unable to redeem the product although 14 months had passed since the reservation, states that Girada advises converting the reservation into a voucher to be spent on another site still managed by the same professional "where there is old merchandise with few sizes available and increased prices." See also report prot. 71758 of 10/23/2018 in which it is stated that Girada, to those who have been waiting to receive the "reserved" product for more than 9 months, gives the opportunity to convert "their reservations into 'gift cards' to be spent on the site www.bweve.com," also owned by the professional, where prices are set much higher than the market average and finally can only be purchased in a specific section, with few items and limited choice of sizes, colors, and types of clothing.</w:t>
      </w:r>
    </w:p>
    <w:p>
      <w:r>
        <w:t>24. In particular, regarding the report of a consumer who complained of obstacles to withdrawal, the professional stated that he would allow the exercise of the right of withdrawal once all operations were completed, including those for verifying the returned product.</w:t>
      </w:r>
    </w:p>
    <w:p>
      <w:r>
        <w:t>25. Regarding the case of another consumer, the professional confirmed that he denied the withdrawal because, in response to Girada's proposal to return the sum paid for purchasing the good, the consumer did not intend to return, in addition to the purchased good, the discount obtained for the so-called friend; for this reason, the company communicated to the consumer that "It returns to you what it has received, namely the entire sum you paid for the purchase of the good, and you must return to Girada what you have received, namely the purchased good and the discount you provided to a friend using the referral code" (bold in original).</w:t>
      </w:r>
    </w:p>
    <w:p>
      <w:r>
        <w:t>26. Regarding other specific events, the professional stated that he had carried out the refund procedure: in one case, he would have correctly followed up on the withdrawal request, quantifying the maximum period required for the crediting of the refund, and in other cases would have assisted customers requesting withdrawal "in an ancillary manner," so that the related procedure, including the refund, would have been successful.</w:t>
      </w:r>
    </w:p>
    <w:p>
      <w:r>
        <w:t>27. As for the lack of possibility to purchase the chosen good at market price, the professional confirmed the suspension of the purchase at market price and stated that he would reintroduce this option starting from February 2019 "in ways that do not allow customers to harm Girada with the anomalous behaviors already reported several times."</w:t>
      </w:r>
    </w:p>
    <w:p>
      <w:r>
        <w:t>28. Specifically, Girada responded regarding what was stated by a consumer who would have been denied the possibility of redeeming the good at market price, claiming that "a redemption price was offered in line with that of the market and practiced by the most well-known large distribution chains."</w:t>
      </w:r>
    </w:p>
    <w:p>
      <w:r>
        <w:t>29. The professional then refuted the circumstance that he would offer redemptions at prices 26% to 40% higher than market prices, as he claimed that this assertion is not supported by any evidence and "often customers refer to extremely low prices practiced by sellers of dubious reliability or in a particular offer and not those practiced by large distribution chains."</w:t>
      </w:r>
    </w:p>
    <w:p>
      <w:r>
        <w:t>30. Girada also emphasized that, "to meet customer requests," it would allow converting the amount spent for the reservation of the product into a voucher to be spent on www.bweve.com, denying that old products and increased prices are negotiated on that site.</w:t>
      </w:r>
    </w:p>
    <w:p>
      <w:r>
        <w:t>31. Regarding the failure to publish statistics and rankings, Girada confirmed that it had not "fully" fulfilled the commitment made in this regard as it would have...</w:t>
      </w:r>
    </w:p>
    <w:p>
      <w:r>
        <w:rPr>
          <w:b/>
        </w:rPr>
        <w:t>[Pages 43–45]</w:t>
      </w:r>
    </w:p>
    <w:p>
      <w:r>
        <w:t>BULLETIN NO. 13 OF APRIL 1, 2019 45</w:t>
      </w:r>
    </w:p>
    <w:p>
      <w:r>
        <w:t>"erroneously" considered sufficient the publication of the amount of shares attributed to customers who place orders without presenting other buyers (so-called friends) also for reasons related to compliance with the Privacy Code.</w:t>
      </w:r>
    </w:p>
    <w:p>
      <w:r>
        <w:t>32. The professional clarified that, "just a few days after the inspection by the Authority's officials, a detailed list of customers who benefited from the GOLD SHARES and the related attribution themes was published." (final communication, p. 4).</w:t>
      </w:r>
    </w:p>
    <w:p>
      <w:r>
        <w:t>33. The defense concluded by emphasizing that Girada, on one hand, would have remedied its shortcomings by publishing the ranking of the so-called GOLD SHARES, and on the other hand, would have always allowed the exercise of the right of withdrawal within its sales system, which would be lawful and sustainable.</w:t>
      </w:r>
    </w:p>
    <w:p>
      <w:r>
        <w:t>IV. EVALUATIONS</w:t>
      </w:r>
    </w:p>
    <w:p>
      <w:r>
        <w:t>34. In light of the investigative findings, it is believed that the behavior exhibited by the professional constitutes non-compliance with resolution No. 27056 of February 21, 2018 and, in particular, constitutes a violation of the commitments undertaken by Girada and made mandatory by the Authority.</w:t>
      </w:r>
    </w:p>
    <w:p>
      <w:r>
        <w:t>35. In fact, the measures proposed by the professional were aimed at overcoming the critical elements highlighted in the initiation communication of the PS10842 investigation, related to the peculiar sales scheme adopted by Girada, as they were a series of actions that, if correctly implemented, would have allowed consumers to have a series of information and reaction tools capable of remedying the possible profiles of illegitimacy of the commercial practices subject to the PS10842 proceeding.</w:t>
      </w:r>
    </w:p>
    <w:p>
      <w:r>
        <w:t>36. However, the requests for intervention in the records and the evidence collected show that the professional only formally modified the withdrawal policy in the general sales conditions while, in fact, he continued to impose unjustified obstacles to the exercise of that right by, for example, the failure or only partial refund made at the end of procedures correctly carried out by consumers, the delay of the refund justified by the need to verify the return, the repeated refusal to accept the package containing the returned product as well as the introduction of burdensome procedural requirements such as the indication of certified email as the only means to initiate the withdrawal procedure.</w:t>
      </w:r>
    </w:p>
    <w:p>
      <w:r>
        <w:t>37. Similar considerations must be made regarding the failure to implement the measure that should have allowed consumers who made the so-called reservation to purchase the chosen product at the market price applied at the time of the request after nine months from the same. In this regard, the professional himself confirmed having suspended the possibility of purchasing at market price and having resumed allowing the purchase of products at market price, only from February 2019, based on methods that prevented anomalous behaviors of customers. On the other hand, the documentation in the records shows that the professional systematically limited this ability both by practicing prices higher than the market price and by suspending the redemption of goods based on an alleged authorization from this Authority and due to alleged anomalies related to the conduct of certain consumers.</w:t>
      </w:r>
    </w:p>
    <w:p>
      <w:r>
        <w:t>38. Moreover, the investigative evidence demonstrates that the failure to apply the measure aimed at allowing the redemption of the good at the market price in question resulted in the consequence that numerous consumers – after being stuck on the list for periods exceeding 500 days – were forced to pay prices significantly higher than the market prices just to obtain the good and exit the sales scheme adopted by Girada.</w:t>
      </w:r>
    </w:p>
    <w:p>
      <w:r>
        <w:t>39. Finally, the failure to publish the statistics and rankings of the so-called Gold Shares, confirmed by the professional during the proceedings, constitutes a qualified violation of the commitments as it is certainly capable of depriving consumers of the availability of relevant data in order to make an informed consumption choice regarding the peculiar sales scheme chosen by the professional. The absence of such information, in fact, makes it impossible for consumers who place orders without presenting friends to verify the average time of permanence in the system before the ranking allows the actual acquisition of the good.</w:t>
      </w:r>
    </w:p>
    <w:p>
      <w:r>
        <w:t>40. In light of the above, it appears that the described behaviors constitute non-compliance with resolution No. 27056 of February 21, 2018 (PS10842), as they integrate a violation of some of the commitments undertaken by the company Girada and made mandatory by the Authority in the aforementioned resolution, particularly regarding the measures consisting of: (a) allowing the exercise of the right of withdrawal according to the provisions of the Consumer Code also reported in the general sales conditions; (b) allowing customers, after at least nine months from the reservation, to purchase the chosen product at the market price at the time of the request; as well as (c) publishing the statistics and rankings of the so-called GOLD shares, assigned to consumers who place orders without presenting friends and used to proceed "ex officio" with the matching with other consumers.</w:t>
      </w:r>
    </w:p>
    <w:p>
      <w:r>
        <w:t>V. QUANTIFICATION OF THE SANCTION</w:t>
      </w:r>
    </w:p>
    <w:p>
      <w:r>
        <w:t>Pursuant to Article 27, paragraph 12, of the Consumer Code, the Authority orders the application of an administrative pecuniary sanction from €10,000 to €5,000,000, taking into account the severity and duration of the violation.</w:t>
      </w:r>
    </w:p>
    <w:p>
      <w:r>
        <w:t>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In relation to the economic size of the professional, who started his commercial activity in the early months of 2017, based on the information provided by him and in the absence of available chamber data, it appears that Girada achieved a turnover of approximately [2 -6]* million euros in 2018.</w:t>
      </w:r>
    </w:p>
    <w:p>
      <w:r>
        <w:t>Regarding the severity of the infringement, it is taken into account that the violation subject to this provision concerns only a part of the set of commitments undertaken by the professional and made mandatory by the Authority at the closure of the PS10842 proceeding. It is also considered that such commitments specifically refer to the peculiar sales process adopted by Girada and are aimed at ensuring buyers the exercise of the right of early withdrawal in accordance with the provisions of the Consumer Code, the possibility of redeeming the good at the market price after nine months from the reservation as well as the publication of the statistics and rankings of the so-called Gold Shares necessary, for consumers who place orders without presenting friends, to know the delivery times of the reserved good.</w:t>
      </w:r>
    </w:p>
    <w:p>
      <w:r>
        <w:t>Regarding the duration of the violation, the documentary evidence in the records shows that the non-compliance with resolution No. 27056 of February 21, 2018, in the terms mentioned above, has been in effect at least since May 30, 2018, and, at present, is still ongoing.</w:t>
      </w:r>
    </w:p>
    <w:p>
      <w:r>
        <w:t>Considering these elements, it is deemed appropriate to impose on the company GIRADA S.r.l.s. an administrative pecuniary sanction of €250,000 (two hundred fifty thousand euros).</w:t>
      </w:r>
    </w:p>
    <w:p>
      <w:r>
        <w:t>All of the above having been stated and considered;</w:t>
      </w:r>
    </w:p>
    <w:p>
      <w:r>
        <w:t>RESOLVES</w:t>
      </w:r>
    </w:p>
    <w:p>
      <w:r>
        <w:t>a) that the behavior of the company GIRADA S.r.l.s., consisting of violating resolution No. 27056 of February 21, 2018, constitutes non-compliance with the latter;</w:t>
      </w:r>
    </w:p>
    <w:p>
      <w:r>
        <w:t>b) to impose on the company GIRADA S.r.l.s. an administrative pecuniary sanction of €250,000 (two hundred fifty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using the telematic services of the Revenue Agency, available on the website www.agenziaentrate.gov.it.</w:t>
      </w:r>
    </w:p>
    <w:p>
      <w:r>
        <w:t>* In this version, some data are omitted, as it was deemed that there were elements of confidentiality or secrecy of the information.</w:t>
      </w:r>
    </w:p>
    <w:p>
      <w:r>
        <w:t>41. See attachment to final communication prot. 20024 of February 22, 2019.</w:t>
      </w:r>
    </w:p>
    <w:p>
      <w:r>
        <w:t>42. See report prot. 44697 of May 30, 2018.</w:t>
      </w:r>
    </w:p>
    <w:p>
      <w:r>
        <w:rPr>
          <w:b/>
        </w:rPr>
        <w:t>[Pages 46–48]</w:t>
      </w:r>
    </w:p>
    <w:p>
      <w:r>
        <w:t>48 BULLETIN NO. 13 OF APRIL 1, 2019</w:t>
      </w:r>
    </w:p>
    <w:p>
      <w:r>
        <w:t>After the aforementioned deadline, for a delay period of less than six months, interest on arrears must be paid at the legal rate starting from the day following the payment deadline until the date of payment. In the event of further delay in compliance, pursuant to Article 27, paragraph 6, of Law No. 689/81, the amount due for the imposed sanction is increased by one-tenth for each semester starting from the day following the payment deadline until the date on which the role is transmitted to the concessionaire for collection; in such case, the increase absorbs the interest on arrears accrued during the same period.</w:t>
      </w:r>
    </w:p>
    <w:p>
      <w:r>
        <w:t>Immediate communication of the payment must be provided to the Authority through the submission of documentation certifying the payment made.</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 pro tempore</w:t>
        <w:br/>
        <w:t>Filippo Arena Gabriella Muscolo</w:t>
      </w:r>
    </w:p>
    <w:p>
      <w:r>
        <w:t>BULLETIN NO. 13 OF APRIL 1, 2019</w:t>
      </w:r>
    </w:p>
    <w:p>
      <w:r>
        <w:t>PS10569 - OPTIMA ITALIA-OFFER VITAMIA</w:t>
      </w:r>
    </w:p>
    <w:p>
      <w:r>
        <w:t>Provision No. 27599</w:t>
      </w:r>
    </w:p>
    <w:p>
      <w:r>
        <w:t>THE COMPETITION AND MARKET AUTHORITY</w:t>
      </w:r>
    </w:p>
    <w:p>
      <w:r>
        <w:t>IN ITS MEETING of March 12, 2019;</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September 13, 2018, which ordered the inspection, pursuant to Article 27, paragraphs 2 and 3, of the Consumer Code, at the registered office of Optima Italia S.p.A.;</w:t>
      </w:r>
    </w:p>
    <w:p>
      <w:r>
        <w:t>VIEWED its provision of December 19, 2018, which, pursuant to Article 7, paragraph 3, of the Regulation, ordered the extension of the deadline for concluding the procedure, for specific investigative needs;</w:t>
      </w:r>
    </w:p>
    <w:p>
      <w:r>
        <w:t>VIEWED the documents of the procedure;</w:t>
      </w:r>
    </w:p>
    <w:p>
      <w:r>
        <w:t>I. THE PARTIES</w:t>
      </w:r>
    </w:p>
    <w:p>
      <w:r>
        <w:t>1. Optima Italia S.p.A. (hereinafter Optima or the professional), as a professional, pursuant to Article 18, letter b), of the Consumer Code. The company operates in Italy and provides a multi-service supply of electricity, natural gas, telephony, and Internet in the free market. Optima achieved a turnover in the 2017 financial year of approximately 213 million euros.</w:t>
      </w:r>
    </w:p>
    <w:p>
      <w:r>
        <w:t>2. The consumer associations Altroconsumo, as the reporting party and intervenor in the procedure, and Codici Onlus – Center for Citizen Rights, as intervenor.</w:t>
      </w:r>
    </w:p>
    <w:p>
      <w:r>
        <w:t>II. THE COMMERCIAL PRACTICE</w:t>
      </w:r>
    </w:p>
    <w:p>
      <w:r>
        <w:t>3. The procedure concerns a commercial practice carried out by the professional, consisting of the promotion, in the pre-contractual phase, of the commercial offer "Optima VitaMia" (hereinafter also VitaMia) in misleading and deceptive ways, as well as the application, in the execution phase of the contract, of billing methods that present aggressive profiles, such as to generate undue conditioning in consumers who are billed unexpected and high adjustments.</w:t>
      </w:r>
    </w:p>
    <w:p>
      <w:r>
        <w:t>a) The promotion of the "VitaMia" offer</w:t>
      </w:r>
    </w:p>
    <w:p>
      <w:r>
        <w:t>4. In particular, Optima proposes, as the only operator in the market, within the Optima VitaMia offer, the sale of an integrated product consisting of the multi-service supply of energy, gas, fixed/mobile telephony, and Internet at a fixed or flat rate. The main features of this offer are: (i) the provision of a single bill for all types of services mentioned above with the establishment of a single monthly fee, calculated through an initial estimate based on the customer's historical consumption; (ii) the provision of an additional service intended for the accounting of variations in actual consumption compared to the subscribed monthly fee, the so-called "Conto Relax" (hereinafter Conto Relax), for which Optima grants an "Initial Bonus" equal to the amount of approximately one monthly fee for recognizing any savings achieved.</w:t>
      </w:r>
    </w:p>
    <w:p>
      <w:r>
        <w:t>5. Regarding the promotional phase of the commercial proposal, the advertising message of the VitaMia offer, disseminated since April 2015, emphasizes certain advantages such as simplicity, a single manager/interlocutor, a single monthly and fixed fee, the absence of surprises, and the possibility of saving and stabilizing expenses thanks to the Conto Relax, without specifying, however, other essential aspects such as the existence of a minimum duration constraint of the offer, the existence of an adjustment at the end of the contractual year, the loss of saved consumption exceeding the value of the Initial Bonus, and the rates applied in the adjustment for billing excess-threshold consumption accumulated.</w:t>
      </w:r>
    </w:p>
    <w:p>
      <w:r>
        <w:t>b) The billing adjustment</w:t>
      </w:r>
    </w:p>
    <w:p>
      <w:r>
        <w:t>6. Regarding the contractual execution phase, between June 2015 and November 2018, several reports were received from consumer associations and some consumers and micro-enterprises complaining of initial estimation errors and the failure to monthly account for consumption, below or above the threshold, so that the user would be prevented from keeping track of such consumption, adjusting it, or deciding on the possible exercise of the right of withdrawal. Based on the reports, the professional would have updated the "Conto Relax" based on the consumption made by users, in some cases, only after about a year from activation, in other cases, only at the time of deactivation of the service, proceeding, in the event of a negative final balance of the aforementioned account, to adjustments of amounts that were also very substantial. Finally, from some complaints, it emerged that, in the event of early withdrawal from the contractual period provided, the professional would have retained the amounts related to the discounts to which the user would have been entitled, including the discount related to any positive balance of the "Conto Relax," while charging excess-threshold amounts, by virtue of contractual clauses contained in the General Conditions of Contract.</w:t>
      </w:r>
    </w:p>
    <w:p>
      <w:r>
        <w:t>III. THE OUTCOMES OF THE PROCEDURE</w:t>
      </w:r>
    </w:p>
    <w:p>
      <w:r>
        <w:t>1. The course of the procedure</w:t>
      </w:r>
    </w:p>
    <w:p>
      <w:r>
        <w:t>7. In relation to the commercial practice and the conduct described above, on September 18, 2018, the professional was notified of the initiation of the investigative procedure No. PS10569 of the 13th.</w:t>
      </w:r>
    </w:p>
    <w:p>
      <w:r>
        <w:rPr>
          <w:b/>
        </w:rPr>
        <w:t>[Pages 49–51]</w:t>
      </w:r>
    </w:p>
    <w:p>
      <w:r>
        <w:t>BULLETIN NO. 13 OF APRIL 1, 2019 51</w:t>
      </w:r>
    </w:p>
    <w:p>
      <w:r>
        <w:t>September 2018, for possible violation of Articles 20, 21, paragraph 1, 22, paragraphs 1, 2, and 4, 24, and 25 of the Consumer Code.</w:t>
      </w:r>
    </w:p>
    <w:p>
      <w:r>
        <w:t>8. In this context, the misleading and omissive nature of the promotional offer "Vita Mia" was hypothesized during the promotional phase, as well as the aggressiveness in the execution phase of the contract of the same offer, particularly regarding the billing methods at settlement at the end of the contractual period or in the event of early withdrawal.</w:t>
      </w:r>
    </w:p>
    <w:p>
      <w:r>
        <w:t>9. On September 18, 2018, inspection checks were carried out at the legal headquarters of Optima, during which various documents related to the commercial practice subject to this proceeding were taken into the records of the procedure.</w:t>
      </w:r>
    </w:p>
    <w:p>
      <w:r>
        <w:t>10. On September 28, 2018, Optima requested access to the documents of the procedure, which was granted on October 9, 2018. Subsequently, on October 24, 2018, the professional requested to be heard in a hearing. This hearing took place on November 29, 2018.</w:t>
      </w:r>
    </w:p>
    <w:p>
      <w:r>
        <w:t>11. On November 2, 2018, Optima submitted its defense memorandum and, on the same date, pursuant to Article 27, paragraph 7, of the Consumer Code, presented commitments aimed at removing the unfairness profiles of the contested commercial practice, subsequently integrated on December 3, 2018. On the same date, Optima also sent the information and data requested during the hearing of November 29, 2018.</w:t>
      </w:r>
    </w:p>
    <w:p>
      <w:r>
        <w:t>12. On November 7 and November 19, 2018, the consumer associations Codici Onlus and Altroconsumo submitted a request to participate in the procedure, which was accepted on November 14 and November 26, 2018, respectively.</w:t>
      </w:r>
    </w:p>
    <w:p>
      <w:r>
        <w:t>13. The commitments presented by Optima were rejected by the Authority in its meeting on December 19, 2018, as communicated to the professional on December 21, 2018, as they related to conduct that, if established, could constitute cases of "manifestly unfair and serious" commercial practices, for which Article 27, paragraph 7, of the Consumer Code cannot be applied, as well as considering the Authority's interest in proceeding with the ascertainment of any infringement in this case.</w:t>
      </w:r>
    </w:p>
    <w:p>
      <w:r>
        <w:t>14. On December 18, 2018, Optima produced an additional integration to the commitments, which was rejected on January 10, 2019, as the interest in ascertainment was deemed to prevail.</w:t>
      </w:r>
    </w:p>
    <w:p>
      <w:r>
        <w:t>15. On December 24, 2018, the Parties were informed of the conclusion date of the investigative phase pursuant to Article 16, paragraph 1, of the Regulation, set for January 14, 2019. The professional submitted a request on December 31, 2018, for an extension of the deadline for submitting its final memorandum. This request was accepted on January 10, 2019, and the aforementioned deadline was extended to February 4, 2019.</w:t>
      </w:r>
    </w:p>
    <w:p>
      <w:r>
        <w:t>16. On February 4, 2019, Optima submitted a final memorandum and on February 14, 2019, transmitted the non-confidential version of the same and the previously submitted documentation; furthermore, on March 5 and March 12, 2019, it produced further information and documentation to supplement the final memorandum.</w:t>
      </w:r>
    </w:p>
    <w:p>
      <w:r>
        <w:t>17. On February 6, 2019, pursuant to and for the effects of Article 27, paragraphs 1-bis and 6 of the Consumer Code, opinions were requested from the Authority for Communications Guarantees and the Regulatory Authority for Energy, Networks and Environment, which were received - respectively - on February 27, 2019, and March 6, 2019.</w:t>
      </w:r>
    </w:p>
    <w:p>
      <w:r>
        <w:t>52 BULLETIN NO. 13 OF APRIL 1, 2019</w:t>
      </w:r>
    </w:p>
    <w:p>
      <w:r>
        <w:t>2. The evidence acquired</w:t>
      </w:r>
    </w:p>
    <w:p>
      <w:r>
        <w:t>a. The promotion of the Optima VitaMia offer</w:t>
      </w:r>
    </w:p>
    <w:p>
      <w:r>
        <w:t>18. Firstly, the promotional message, globally considered, disseminated by the professional on its corporate website, in the various versions that have succeeded over time, has always emphasized the simplicity of the VitaMia offer, its advantages in terms of a single manager/interlocutor, a single and fixed monthly fee, absence of surprises, and the possibility of saving and keeping expenses stable thanks to the Conto Relax, while omitting to indicate other essential aspects of the offer in question, described only in the General Terms and Conditions (hereinafter "GTC"), such as: (i) the existence of a minimum duration constraint of the offer (12 months) to benefit from the compensation mechanism of the Conto Relax; (ii) the loss of all advantages associated with the offer in the event of early withdrawal; (iii) the existence of a settlement at the end of the contractual year, even in the absence of monthly settlements; (iv) the loss of saved consumption exceeding the value of the initial Bonus; and (v) an obligation to pay for consumption exceeding the threshold and the related billing rates.</w:t>
      </w:r>
    </w:p>
    <w:p>
      <w:r>
        <w:t>19. Specifically, the claim present on the homepage of the professional's website, advertised since April 2015, was formulated as follows: "A revolutionary formula: electricity, gas, telephone, and internet in a unique solution at a fixed monthly price. Zero surprises on the bill and so much relaxation. We take you to another planet." It referred to a "single fixed monthly price," "calculated on actual consumption habits," a single bill for all services with a single manager and point of contact. Furthermore, it implied to the consumer that what was not consumed would be refunded, with the following claim: "The refund of what you do not consume. It’s not science fiction, it’s Optima. Thanks to Conto Relax, the free bill-saving account we give to every customer, you will accumulate what you do not consume and it will be refunded to you!"</w:t>
      </w:r>
    </w:p>
    <w:p>
      <w:r>
        <w:t>20. Regarding the advertising messages disseminated via radio and television, the different versions presented similar content but with even more deceptive scope. The TV message was formulated as follows: "Phone, light, gas, and Internet all in one. Fixed monthly price. Zero surprises. Zero settlements. What you do not consume, we refund you. Change planet!" In subsequent versions of the TV Spots, the message always emphasized the knowledge and stability of the monthly expense: "Unique tailored fee. One monthly bill and you know in advance how much you pay," "With Optima, the offer is personalized based on your expenses and you know in advance how much you pay," and again "Optima... offers you a stabilized fee so you know in advance how much you pay."</w:t>
      </w:r>
    </w:p>
    <w:p>
      <w:r>
        <w:t>21. Starting from November 2016, the reference to the "fixed" fee was removed from the professional's website, replaced by "unique tailored fee," while still emphasizing that the Conto Relax system helped maintain "fixed" monthly expenses. It was also specified, through an asterisk reference, that the refund for unconsumed amounts "can never exceed the value of the initial Bonus."</w:t>
      </w:r>
    </w:p>
    <w:p>
      <w:r>
        <w:t>22. Over time, the presentation message of the offer on the professional's website underwent various changes and experienced different versions, all characterized by the permanent emphasis on the advantageous aspects of the integrated multi-service offer: (i) the simplicity and clarity of the single bill; (ii) the single manager/interlocutor for all utilities; (iii) the single monthly fee for all utilities; (iv) its customization; (v) the compensation mechanism between excess consumption and unconsumed amounts ("bill-saving") represented by the Conto Relax.</w:t>
      </w:r>
    </w:p>
    <w:p>
      <w:r>
        <w:t>23. Only in the GTC is it clarified that (i) compensation is only possible during the contractual period, (ii) any savings achieved at the end of the contractual year may be credited to the Conto Relax for the subsequent year, only within the limits of the amount of the initial Bonus, (iii) the movement of the Account occurs only when the actual data is made available by the distributor or when the self-reading is communicated by the consumers, which constitutes a physiological limit in the energy market, and (iv) monitoring of consumption trends is not necessarily updated monthly and does not allow for timely adjustment of economic behavior to avoid the final settlement.</w:t>
      </w:r>
    </w:p>
    <w:p>
      <w:r>
        <w:t>24. As stated in the GTC and specifically in Article 1.3. of the "Special Conditions - Conto Relax," the operation of the Conto Relax requires the professional to periodically update the said account. It is explicitly provided that this update is carried out "based on actual consumption (therefore monthly, for electronic communication services, and upon receipt of measurement data transmitted by the Local Distributor, for electricity and gas services) and estimated consumption related to active utilities." Furthermore, Article 2.3. of the GTC specifies that "The settlement of the Conto Relax will be carried out at the expiration of the Contractual Period, based on actual consumption data if possible, on self-readings communicated by the Customer, or based on estimated consumption data, subject to subsequent settlements, if actual consumption data is not yet available."</w:t>
      </w:r>
    </w:p>
    <w:p>
      <w:r>
        <w:t>25. Based on the inspection documents, according to which the issues related to the operation of the Conto Relax represent one of the main causes of dissatisfaction among Optima customers, it emerged that in May 2018, the professional was fully aware that both the method of use/movement of the said account and the information regarding the non-accreditation of the initial Bonus in the event of early withdrawal, the limitation of the credit at the end of the contractual period, the amount of the said bonus, and in general the exposure in the bill regarding the composition of the Account were not easily understandable to consumers.</w:t>
      </w:r>
    </w:p>
    <w:p>
      <w:r>
        <w:rPr>
          <w:b/>
        </w:rPr>
        <w:t>[Pages 52–54]</w:t>
      </w:r>
    </w:p>
    <w:p>
      <w:r>
        <w:t>54 BULLETIN NO. 13 OF APRIL 1, 2019</w:t>
      </w:r>
    </w:p>
    <w:p>
      <w:r>
        <w:t>Relax (double bonus, RAI fee bonus, etc.). This critical aspect represented a high priority, as the professional received more than [20-40]* complaint cases per month. Additional inspection documents corroborate the aforementioned circumstance.</w:t>
      </w:r>
    </w:p>
    <w:p>
      <w:r>
        <w:t>b. The billing adjustment</w:t>
      </w:r>
    </w:p>
    <w:p>
      <w:r>
        <w:t>i. Size estimation</w:t>
      </w:r>
    </w:p>
    <w:p>
      <w:r>
        <w:t>26. As previously indicated, the VitaMia offer requires the customer to pay the same amount monthly, regardless of any changes in their consumption habits, as the Relax Account serves to absorb the quantities of services consumed in excess of the monthly size indicated in the commercial offer over the contractual period (one year) and to accumulate the unused quantities. Only upon expiration of the contractual period, that is, after a full year, or at the time of early withdrawal, does the professional proceed to make an adjustment based on the consumption generated during the year (actual consumption, if available, or estimated consumption).</w:t>
      </w:r>
    </w:p>
    <w:p>
      <w:r>
        <w:t>27. Regardless of the channel through which the customer is contracted (teleselling, door-to-door, or sales on tariff comparators), the offer proposed by Optima is personalized, based on an initial estimate of the customer's historical consumption, on the basis of which a monthly fee is configured. Currently, the professional uses a computerized configurator, in which data is manually entered by the commercial consultants assigned to this task, and which, through an algorithm, returns a customer size and a corresponding monthly fee.</w:t>
      </w:r>
    </w:p>
    <w:p>
      <w:r>
        <w:t>28. It is evident from the inspection data that the aforementioned configurator processes a "size" personalized, determined based on average power data resulting from the user's previous invoices. Upon receiving actual consumption data from the distributor, the professional compares the power actually used by the customer in the month with the average contracted power. If the power used in the month is greater than the contracted power, the Relax Account is depleted; otherwise, it increases. The single fee represents the sum of the individual sub-fees set for each service provided; the fee related to energy includes the portion related to the various components.</w:t>
      </w:r>
    </w:p>
    <w:p>
      <w:r>
        <w:t>29. The evidentiary documentation highlights that the mechanism for configuring the offer, as designed by Optima, often leads to the assignment of an incorrect size, which has immediate repercussions during the application of adjustments at the end of the contractual period, in the sense that an incorrectly applied lower size (underestimated) will correspond to higher extra-threshold adjustments. In fact, the data collected during the inspection revealed that the percentage of customers "acquired from the national campaign" who had a size error amounted to [30-50%]*.</w:t>
      </w:r>
    </w:p>
    <w:p>
      <w:r>
        <w:t>30. Although there are monitoring mechanisms that the professional has introduced to remedy this problem, it is evident that any incorrect application of the size as well as the structural difficulty presented by the Relax Account mechanism, in relation to the functioning of the energy market, reflect on the billing adjustment, which is carried out at the end of the contractual period (12 months).</w:t>
      </w:r>
    </w:p>
    <w:p>
      <w:r>
        <w:t>ii. Adjustment billing</w:t>
      </w:r>
    </w:p>
    <w:p>
      <w:r>
        <w:t>31. As seen, the adjustment, governed by Article 2.3 of the "Special Conditions - Relax Account," is made at the expiration of the contractual period, based on actual consumption data where available and self-readings communicated by the customer or based on estimated consumption data, subject to subsequent adjustments. This occurs after a full contractual year during which some of the movements of the Account have not been made, due to the absence of actual consumption data, so that the Account is unable to consistently represent the actual balance, which could have been monitored by the consumer, allowing them to predict the amount of the final adjustment.</w:t>
      </w:r>
    </w:p>
    <w:p>
      <w:r>
        <w:t>32. In this annual adjustment phase, extra-threshold consumption, that is, those in excess of the initial estimate that determined the assignment of the monthly "size," is billed at extra-threshold rates and, according to the theoretical functioning of the Relax Account, is offset against those below the threshold. However, any savings accumulated at the end of the year as a result of this compensation mechanism is recognized to customers in the form of a discount and only up to the amount of the initial Bonus. The adjustment billing essentially depends on the "size" of consumption specifically set for the customer for the calculation of their fixed monthly fee and thus their personalized flat-rate offer. The amount of extra-threshold consumption indeed depends on the "limit" of consumption included in the size covered by the "flat" offer.</w:t>
      </w:r>
    </w:p>
    <w:p>
      <w:r>
        <w:t>33. The contractual discipline of the Relax Account and its functioning mechanism presupposes, as seen, the provision of measurement data relating to actual energy and gas consumption by the Distributor or the communication of self-readings by the customer, to allow Optima to update the Account and the consumer to adjust their monthly consumption and maintain stable spending, according to the logic intrinsic to the VitaMia offer. In the absence of communication of actual data, the Account does not undergo movement and therefore the consumer is not in a position to know whether the balance of the Relax Account, reported in the bill itself, is actually positive or negative and for what amount, until they receive the end-of-contract balance and the related adjustment, provided that this balance is not also based on an estimated figure, which can happen according to Article 2.3 of the CPC - Relax Account.</w:t>
      </w:r>
    </w:p>
    <w:p>
      <w:r>
        <w:t>34. The inspection data confirmed that this aspect was known to the professional: while regarding electricity supplies, the meters with accepted self-reading amounted in 2018 to about [50-100%]*, regarding gas supplies, given that the number of electronic meters amounts to [2,000-5,000] out of a total of [25,000-55,000], that is, about [5-15%]* of the contracted users, adjustments are presumably made more frequently based on estimated data, subject to subsequent correction.</w:t>
      </w:r>
    </w:p>
    <w:p>
      <w:r>
        <w:t>35. In this regard, a manual prepared by the professional was acquired to define the management methods of the self-reading recovery campaign for customers who have an integrated offer, with at least one gas point in the package. In the introduction of this manual, it is stated that these customers may have been billed several months of gas consumption in the absence of communication of actual consumption by the distributors.</w:t>
      </w:r>
    </w:p>
    <w:p>
      <w:r>
        <w:t>36. From the elements acquired during the inspection, full awareness of the problem of the lack of reading of gas meters and the consequent impossibility of updating the Relax Account monthly emerged, which can lead to a sudden negative or positive balance at the time of billing adjustments. Moreover, the inspection documentation reports that, once the actual values are received, "these are compared with the estimated value for that specific month and not with the value of the fee. This comparison generates a service disruption to the customer with a possible negative Relax Account."</w:t>
      </w:r>
    </w:p>
    <w:p>
      <w:r>
        <w:t>37. Furthermore, the billing of extra-threshold consumption is carried out based on different, personalized rates, which are not set ex ante in a general and transparent manner for all consumers. In fact, these extra-threshold values are set ad hoc ("generated from time to time by the configurator") based on the parameters of the individual offer proposed to each customer and the monthly fee thus determined, even though they apply to consumption and per unit. Such rates are, moreover, viewable and consultable exclusively by entering one's "tariff code" on the page of the website dedicated to customers, making it less easy to know an essential parameter on the basis of which the adjustment billing is carried out. Essentially, the extra-threshold rates, based on which excess consumption compared to the monthly size is billed, are not easily known by the consumer nor have they been available on the professional's website since November 2014.</w:t>
      </w:r>
    </w:p>
    <w:p>
      <w:r>
        <w:t>38. In a context of uncertainty regarding the two factors of the offer that contribute to determining the amount of the end-of-year adjustment that Optima charges to customers, namely, on one hand, the quantity (the actual extra-threshold consumption that the consumer is accumulating month by month during the contractual period and which - it is repeated - may not be fully known in the absence of actual data) and, on the other hand, the price (the extra-threshold rates configured to measure),</w:t>
      </w:r>
    </w:p>
    <w:p>
      <w:r>
        <w:rPr>
          <w:b/>
        </w:rPr>
        <w:t>[Pages 55–57]</w:t>
      </w:r>
    </w:p>
    <w:p>
      <w:r>
        <w:t>BULLETIN NO. 13 OF APRIL 1, 2019 57</w:t>
      </w:r>
    </w:p>
    <w:p>
      <w:r>
        <w:t>must be sought by the customer with their own tariff code in the appropriate section of the professional's website), consumers are often called upon to pay, at the end of an entire contractual year - given that the offer provides for only one annual adjustment - unexpected and substantial adjustments.</w:t>
      </w:r>
    </w:p>
    <w:p>
      <w:r>
        <w:t>39. The inspection documentation allows for an understanding of the quantitative dimension of the problem of year-end adjustments in the Optima VitaMia offer, in light of the data indicating: (i) the significant number of adjustments made as year-end charges, and (ii) the revenue that the professional has derived from them in the years 2016, 2017, and 2018.</w:t>
      </w:r>
    </w:p>
    <w:p>
      <w:r>
        <w:t>From this data, it is evident that the value of the adjustments made due to year-end charges and customer withdrawals amounts to over [5-15] million euros in 2016, nearly [5-15] million euros in 2017, and about [5-15] million euros in 2018 (January-September).</w:t>
      </w:r>
    </w:p>
    <w:p>
      <w:r>
        <w:t>40. Considering that the revenue of the professional related solely to the Optima VitaMia offer, for the total number of customers in the three years considered was [70-150 million euros] in 2016, [90-170 million euros] in 2017, and [100-180 million euros] in 2018, the revenue derived from the adjustments represents a significant percentage of the total VitaMia revenue, being equal to [5-15%] in 2016, [5-15%] in 2017, and approximately [5-10%] in 2018 (January-September).</w:t>
      </w:r>
    </w:p>
    <w:p>
      <w:r>
        <w:t>41. From the data provided by the professional, it also emerged that the number of negative balances, recorded as a result of the adjustments and in relation to all customers globally considered, was [5,000-15,000] in 2016, [15,000-25,000] in 2017, and [15,000-25,000] in 2018. These negative balances, when compared to the number of active VitaMia customers over the three years considered (approximately [30,000-60,000] in 2016, over [40,000-70,000] in 2017, and approximately [50,000-80,000] in 2018) - from which the number of withdrawals per year must be subtracted - represented a percentage greater than [20-30%] in 2016, [30-40%] in 2017, and [20-30%] in 2018, thus at least a quarter of the entire VitaMia clientele.</w:t>
      </w:r>
    </w:p>
    <w:p>
      <w:r>
        <w:t>42. Based on the elements collected during the inspection, it was found that, statistically, customers who recorded a negative balance greater than the amount of a monthly fee account for about [20-30%], while those who recorded a negative balance within the amount of a monthly fee are equal to [5-15%]. Essentially, about [30-40%] of the overall Optima customers experienced a negative balance. This data is consistent with the information produced by the professional regarding the year 2017; however, a discrepancy is noted between the data for the years 2016 and 2018, which seems to be explainable by the fact that some customers contracted during 2016 received the year-end balance in 2017 and some customers who started the contractual year in 2018 had not yet received the final adjustment.</w:t>
      </w:r>
    </w:p>
    <w:p>
      <w:r>
        <w:t>43. In light of the evidence presented so far, it has been found that, for at least a quarter of the Optima clientele, the expenditure at the end of the contractual year was greater than the flat fee subscribed, and for many of them, the adjustments were also significant amounts. This clientele was then the subject of a specific reconfiguration campaign, as also found in the inspection documents.</w:t>
      </w:r>
    </w:p>
    <w:p>
      <w:r>
        <w:t>iii. Early Withdrawal</w:t>
      </w:r>
    </w:p>
    <w:p>
      <w:r>
        <w:t>44. With specific reference to the case of early withdrawal by the customer, that is, exercised before the expiration of the 12-month minimum contractual duration, the investigative findings clearly revealed that Optima, at the time of billing for adjustments, not only calculates all consumption in excess of the monthly size (based on the specific extra-threshold rates of each consumer) but does not recognize to the customer the under-threshold consumption, thus proceeding to make charges of greater amounts than what should have occurred in the case of compensation, according to the regular functioning of the Relax Account. Only in the case where a consumer records always positive balances does Optima not proceed to make any charge.</w:t>
      </w:r>
    </w:p>
    <w:p>
      <w:r>
        <w:t>45. The inspection documents also reveal another critical aspect related to the customer's early withdrawal when the calculation of above-threshold consumption is made based on estimated data. In this regard, as early as November 2017, the professional realized that they were applying a "terribly wrong logic to the negative balances of the relax account" (original emphasis) in the case of early withdrawal from the contract. In fact, in an internal email, the professional pointed out that "unlike what is provided for in the contract (and as it should be), we charge the Customer the above-threshold based on actual or estimated consumption but, subsequently, upon receiving the adjustment data of the estimated above-threshold [thus the actual consumption], we do not issue any credit note. We only issue an invoice with the consumption data but with zero amount"; in the same email, it was also highlighted that "from the various cases examined, ... in the absence of real data, we always overestimate and by a lot (about 110%)" (original emphasis and bold).</w:t>
      </w:r>
    </w:p>
    <w:p>
      <w:r>
        <w:t>In essence, the anomaly, indeed, the improper conduct observed, consists in charging the customer, in the case of early withdrawal, for all consumption in excess of the monthly size without compensating for any "savings" at the time of billing for adjustments.</w:t>
      </w:r>
    </w:p>
    <w:p>
      <w:r>
        <w:t>46. Based on the data collected during the inspection, it is highlighted that the number of withdrawals is overall very high: [10,000-30,000] in 2016, [30,000-50,000] in 2017, and [15,000-35,000] in 2018 (January-September).</w:t>
      </w:r>
    </w:p>
    <w:p>
      <w:r>
        <w:t>In relation to the customer base contracted with the VitaMia offer (approximately [30,000-60,000] in 2016, over [40,000-70,000] in 2017, and approximately [50,000-80,000] in 2018), the percentage of customers who decided to withdraw from the contract is particularly significant, amounting to [35-55%] of customers in 2016, even [60-80%] in 2017, and about [25-45%] in 2018.</w:t>
      </w:r>
    </w:p>
    <w:p>
      <w:r>
        <w:t>47. Moreover, the professional's awareness that such behavior was likely to generate, downstream, significant adjustments emerges from the inspection data, which attest to the revenue generated by Optima from the total withdrawals of VitaMia customers: [3-9 million euros] in 2016, [4-12 million euros] in 2017, and [2-8 million euros] in 2018 (January-September). The value generated as a result of the withdrawals represented, in relation to the total revenues related to the VitaMia offer, approximately [1-5%] in 2016, nearly [5-10%] in 2017, and over [1-5%] in 2018 (up to September).</w:t>
      </w:r>
    </w:p>
    <w:p>
      <w:r>
        <w:t>48. Inspection data also show that the billing mechanism in the case of early withdrawal had been the subject of many complaints, as it was reported as a high-frequency criticality to the extent that it necessitated an adjustment of the policy that was under study in May 2018 and that there were numerous internal reflections aimed at considering less penalizing billing mechanisms for consumers.</w:t>
      </w:r>
    </w:p>
    <w:p>
      <w:r>
        <w:t>3. The Defensive Arguments of the Professional</w:t>
      </w:r>
    </w:p>
    <w:p>
      <w:r>
        <w:t>49. In their defensive memoranda, the professional asserts the legitimacy of their conduct, deeming it compliant with the norms protecting the consumer and the rules of professional diligence, as they would have provided the consumer with truthful, complete, and clear information, placing them in a position to make an informed commercial choice.</w:t>
      </w:r>
    </w:p>
    <w:p>
      <w:r>
        <w:t>According to what Optima claims, the Vita Mia offer was created with the aim of providing consumers with better control of utilities in a sector characterized by intrinsic structural and technological difficulties that do not allow for knowing the actual consumption data at all times, which must therefore be estimated for monthly billing. On the other hand, the regulator and the legislator would have intervened to limit such criticalities, prohibiting adjustments after more than two years and requiring the possibility of installment payments for adjustments to customers.</w:t>
      </w:r>
    </w:p>
    <w:p>
      <w:r>
        <w:t>50. With particular regard to the allegation of misleading nature of the VitaMia offer, according to Optima, the claims present on the website and the promotional messages disseminated on radio, TV, and the internet would contain all the information considered relevant under the Consumer Code, relating to the main characteristics of the offer and the methods of calculating the price, indicating: that it is the integrated supply of electricity, gas, telephone, and internet from a single provider; that a single monthly bill is issued; that the consumer pays a single fee defined based on their actual consumption habits in order to stabilize expenditure as much as possible; the functioning of the Relax account and the related compensation mechanism. Essentially, the promotional messages of the VitaMia offer would not be misleading as the aforementioned information would be adequate in relation to the means of communication used and to the</w:t>
      </w:r>
    </w:p>
    <w:p>
      <w:r>
        <w:rPr>
          <w:b/>
        </w:rPr>
        <w:t>[Pages 58–60]</w:t>
      </w:r>
    </w:p>
    <w:p>
      <w:r>
        <w:t>60 BULLETIN NO. 13 OF APRIL 1, 2019</w:t>
      </w:r>
    </w:p>
    <w:p>
      <w:r>
        <w:t>the complexity of the advertised product, also containing a reference to the Website or the toll-free number of Optima for further information.</w:t>
      </w:r>
    </w:p>
    <w:p>
      <w:r>
        <w:t>51. In any case, the professional in the pre-contractual phase would provide consumers with all the information related to the offer in question and its characteristics, which are clarified in the General Terms and Conditions (GTC) and the Specific Terms and Conditions (STC) attached to the contractual proposal submitted to the customer (as well as visible on the website), also containing an Information Note indicating the information that must be provided when presenting an offer for the supply of electricity and gas (contract duration, service price, and methods of using reading data). Furthermore, Optima claims to do everything possible to ensure that the customer receives, before the activation of the service, all the information regarding the contractual offer, having them confirm in writing that they have read and accepted the promotional regulations, the GTC, and STC published on the website, as well as having received all the documents referred to in Article 1.1 GTC consenting to their delivery on a durable medium other than paper.</w:t>
      </w:r>
    </w:p>
    <w:p>
      <w:r>
        <w:t>52. The information provided by the professional during the pre-contractual phase, contained in the General and/or Specific Conditions of the contract, would concern the following characteristics of the VitaMia offer: the minimum contract duration of one year (GTC); the presence of a settlement at the end of the one-year contractual period (STC); the non-recognition of compensation, the initial bonus, and discounts in the event of early withdrawal (STC); the methods of updating the Relax account and billing the balance, based on actual consumption if available or estimated (STC); the recognition of savings in terms of unconsumed amounts in the form of a discount only up to the limit of the initial Bonus (STC; this information was also included, in November 2016, on the website via an asterisk and, in April 2018, on the "Check Rate" webpage); the possibility of viewing personalized extra-threshold rates on the website by entering the specific personal rate code indicated in the contractual proposal (STC and Sales Manual used by sales agents). [Omissis].</w:t>
      </w:r>
    </w:p>
    <w:p>
      <w:r>
        <w:t>53. Regarding the management of the Relax Account, the professional states that, with a view to consumer protection, it has implemented a self-reading recovery campaign aimed at facilitating the communication of data to Optima by customers through various communication channels; a proactive offer reconfiguration campaign, whereby Optima proposes – during the contractual year - a new (reconfigured) offer to customers with an increase in actual consumption compared to the initially estimated size; a balance and reconfiguration offer campaign, whereby the reconfigured offer is proposed to the customer at the time of the balance due to the lack of actual consumption data during the contractual year.</w:t>
      </w:r>
    </w:p>
    <w:p>
      <w:r>
        <w:t>54. In order to ensure correct and complete information to consumers, Optima would have implemented a series of measures consisting of the following: adoption of guidelines aimed at ensuring the provision of complete information by consultants (Sales Manual); training and training processes for sales operators; drafting of information on the commercial offer using common terms; making available a Customer Office that can be contacted via a toll-free number and other contact details available on the website; a sanctioning system aimed at punishing unfair commercial conduct by consultants; a so-called Quality Check Call mechanism, which involves a call aimed at summarizing the contractual conditions signed and verifying the customer's knowledge of the content of the contract entered into, with specific regard to the monthly fee, the functioning of the Relax account, and the initial bonus. Only after the positive outcome of this verification would Optima send an SMS link to the customer to access the signed contractual documentation: from that date, the 14-day period for exercising the right of reconsideration begins, allowing the consumer to withdraw before the activation of the service without costs.</w:t>
      </w:r>
    </w:p>
    <w:p>
      <w:r>
        <w:t>55. Regarding the allegation of aggressive billing for settlements, the professional reiterates the full legitimacy of its conduct as it aligns with the indications and obligations set by the current sector regulations: i) it would not operate multi-year settlements (making settlements at the end of the contractual year) nor exorbitant amounts (any high amounts billed at the balance would be due to variations in consumption or the insufficiency of historical data provided at the time of configuring the size); ii) it would grant the possibility of installment payments for the settlement amounts; iii) it would manage user requests promptly and diligently and would be available to reconfigure the sizes of dissatisfied consumers; iv) it would not place obstacles to the return of accrued credits and would not threaten to interrupt the supply in case of non-payment, limiting itself to notifying consumers that, in the event of persistent default, the supply could be suspended.</w:t>
      </w:r>
    </w:p>
    <w:p>
      <w:r>
        <w:t>56. The professional also claims that the activity of configuring sizes would be carried out legitimately and correctly, developing accurate estimates in compliance with regulatory obligations, making correct calculations (the number of negative balances and zero balances would be similar to the number of positive balances) and adopting a proactive conduct to protect consumers, to whom the possibility of recalculating the size would be offered in order to remedy the incongruity of the previously estimated size, if applicable, benefiting from a year-end discount. Optima claims to have no interest in underestimating its customers' sizes only to bill high settlements, as in these cases the company would effectively advance costs that it would bill to the customer only at the end of the contractual year, also assuming a risk of insolvency on the part of the customer.</w:t>
      </w:r>
    </w:p>
    <w:p>
      <w:r>
        <w:t>57. Finally, Optima states that the amounts billed at the end of the year are entirely predictable, knowable, and controllable by the consumer, being calculated based on the under-threshold and extra-threshold rates set ex ante simultaneously with the size and easily knowable by the customer before signing the contract, by entering the Rate Code on their webpage. Furthermore, these rates would be indicated in the monthly bills when actual consumption is accounted for, are verifiable in the personal area of each customer's website, and can also be obtained by contacting the Customer Office.</w:t>
      </w:r>
    </w:p>
    <w:p>
      <w:r>
        <w:t>58. According to Optima, the consumer would also be able to know the status of the Relax Account before the year-end balance, as the monthly bill would report the balance of that Account for the month of the bill's issuance compared to that of the previous months, as well as the details of consumption and the under-threshold and extra-threshold rates; moreover, the last bill of the contractual year would display the year-end balance before its billing in the subsequent bill. In the event that actual consumption data is missing and therefore the Relax account does not undergo movements and cannot be updated, the bill would include a note to inform the consumer of the unavailability of data related to actual consumption ("No consumption present. We are waiting to receive the settlement data from the local Distributor," see page 33 of the final memorandum).</w:t>
      </w:r>
    </w:p>
    <w:p>
      <w:r>
        <w:t>59. Finally, reiterating the correctness of its actions, the professional contests the reconstruction made regarding the quantitative dimension of the year-end settlement problem, which it claims is the result of a misinterpretation of the inspection documents and/or the incorrect identification of the revenue derived from settlements, the number of negative balances, and the amount of withdrawals. However, the alternative interpretations proposed by the professional are not supported by any documentary evidence and, therefore, do not appear suitable to refute the Authority's reconstruction based on the evidence acquired during the inspection and the overall body of evidence on file.</w:t>
      </w:r>
    </w:p>
    <w:p>
      <w:r>
        <w:t>60. In conclusion, according to the professional, its actions regarding the billing of settlements do not constitute any aggressive commercial practice and must be considered at least fully compliant with the standard of professional diligence in the sector of electricity, gas, telephony, and internet supply services, given that the company would have actively worked on managing complaints and implementing initiatives aimed at preventing, as well as resolving, the problems encountered and, if necessary, compensating consumers for the negative balances recorded at the end of the year following the reconfiguration of the offer.</w:t>
      </w:r>
    </w:p>
    <w:p>
      <w:r>
        <w:t>61. The professional, while noting the marginal impact of its conduct in light of the reduced number of complaints allegedly received, nonetheless points out that it has worked to eliminate or mitigate the consequences of the contested violations, having undertaken a series of initiatives (already presented as commitments during the proceedings and nevertheless rejected by the Authority) concerning, in summary, the variation of the general contract conditions, the modification of the advertising message related to the commercial offer VitaMia (now called "All-In-One"), the strengthening of internal compliance activities, monitoring the consumption trends of customers to notify them in case of abnormal readings (with Alerts in the bill), and promoting self-reading campaigns for meters by customers.</w:t>
      </w:r>
    </w:p>
    <w:p>
      <w:r>
        <w:t>IV. OPINION OF THE AUTHORITY FOR GUARANTEES IN COMMUNICATIONS</w:t>
      </w:r>
    </w:p>
    <w:p>
      <w:r>
        <w:t>62. Since the commercial practice subject to this provision was disseminated via the internet, on February 6, 2019, the opinion of the Authority for Guarantees in Communications (hereinafter, AGCOM) was requested, pursuant to Article 27, paragraph 6, of the Consumer Code.</w:t>
      </w:r>
    </w:p>
    <w:p>
      <w:r>
        <w:t>63. In a communication received on February 27, 2019, AGCOM transmitted resolution No. 52/19/CONS, in which it expressed the requested opinion limiting its assessments to the suitability of the specific means of communication used to disseminate the commercial practice to influence and amplify any misleading and/or unfairness of the same practice.</w:t>
      </w:r>
    </w:p>
    <w:p>
      <w:r>
        <w:t>64. In particular, AGCOM, considering that "with reference to the case at hand, the consumer, through the information contained on the professional's website, was not in a position to monitor their monthly consumption and to make the consequent economic decisions to adjust them," deemed that, in this case, the internet is a suitable tool to significantly influence the realization of the commercial practice subject to the request for opinion.</w:t>
      </w:r>
    </w:p>
    <w:p>
      <w:r>
        <w:t>V. OPINION OF THE REGULATORY AUTHORITY FOR ENERGY NETWORKS AND ENVIRONMENT</w:t>
      </w:r>
    </w:p>
    <w:p>
      <w:r>
        <w:t>65. Since the commercial practice subject to this provision concerns, among other things, the energy and gas sector, on February 6, 2019, the opinion of the Regulatory Authority for Energy Networks and Environment (hereinafter, ARERA) was requested pursuant to and for the effects of which</w:t>
      </w:r>
    </w:p>
    <w:p>
      <w:r>
        <w:rPr>
          <w:b/>
        </w:rPr>
        <w:t>[Pages 61–63]</w:t>
      </w:r>
    </w:p>
    <w:p>
      <w:r>
        <w:t>BULLETIN NO. 13 OF APRIL 1, 2019 63</w:t>
      </w:r>
    </w:p>
    <w:p>
      <w:r>
        <w:t>pursuant to Article 27, paragraph 1-bis, of the Consumer Code, introduced by Article 1, paragraph 6, letter a), of Legislative Decree No. 21/2014.</w:t>
      </w:r>
    </w:p>
    <w:p>
      <w:r>
        <w:t>66. In a notice received on March 6, 2019, ARERA, after preliminarily clarifying that the evaluations expressed therein regarding the commercial conduct adopted by Optima "do not address the potential non-compliance with the provisions of the Consumer Code, but relate exclusively to possible profiles of alleged non-conformity of such conduct with the regulatory provisions deemed more significant also due to the sector specificity," provided informational elements regarding sector regulation on aspects of interest concerning the subject matter as well as the status of the sanctioning and prescriptive procedure initiated with determination DSAI/59/2018/com of September 21, 2018, against Optima itself, which is still ongoing.</w:t>
      </w:r>
    </w:p>
    <w:p>
      <w:r>
        <w:t>67. Regarding the promotion of Optima's contractual offer, according to ARERA, the advertising message related to the "VitaMia" offer, associated with the "Conto relax" service, does not seem to utilize methods suitable to ensure a clear perception of the commercial proposal nor does it report the indication of the characteristics of the offer and any limiting conditions applied to it, insofar as - contrary to what is provided in the General Terms and Conditions of Contract - it emphasized the simplicity of the offer, the absence of surprises, and the possibility of obtaining a refund for unused amounts, omitting in particular to mention: i) the existence of a minimum duration constraint of the offer of one year to benefit from the compensation mechanism of the Conto relax; ii) the existence of a settlement at the end of the contractual year, even in the absence of monthly settlements; iii) the loss of saved consumption exceeding the value of the initial bonus; iv) the compensation of consumption only during the contractual period; v) that the transactions on the account occur only at the time of the availability of actual data from the distributor or the communication of self-reading by consumers; vi) the rates at which extra-threshold consumption would be billed during the settlement.</w:t>
      </w:r>
    </w:p>
    <w:p>
      <w:r>
        <w:t>68. In its evaluations, ARERA particularly emphasized that "the reference to a 'fixed fee' without specifying the possibility of settlement bills concerning extra-threshold consumption does not seem to allow for a clear perception of the offer, without prejudice to further evaluations regarding the profile of misleadingness." Moreover, the sector Authority did not fail to highlight how the investigative findings of the present procedure PS10569 reveal the evidence of numerous complaints from end customers lamenting the lack of clarity regarding the use/movement of the Conto relax, the failure to credit the initial bonus in case of early withdrawal, and the limitation of the credit at the end of the contractual period, regarding the amount of the aforementioned bonus and in general regarding the billing exposure concerning the composition of the Conto Relax.</w:t>
      </w:r>
    </w:p>
    <w:p>
      <w:r>
        <w:t>69. Regarding the right of withdrawal, according to ARERA, the operational modalities of the VitaMia offer, associated with the Conto Relax, where they entail the loss of all benefits associated with the offer in case of withdrawal exercised (before the expiration of the minimum contractual period of twelve months) in compliance with the notice periods established by regulation, would be in conflict with the prohibition of imposing penalties and closure fees.</w:t>
      </w:r>
    </w:p>
    <w:p>
      <w:r>
        <w:t>70. Following the illustration of the regulation concerning the frequency of data collection in the natural gas and electricity sectors as well as regarding the billing of consumption, ARERA finally expressed the opinion that "an offer that provides for a fixed monthly and flat amount, billed regardless of the actual consumption of the customer and without the provision for recalculations at least once every 12 months would be incompatible with the specific provisions of Legislative Decree No. 102 of July 4, 2014 and with the related implementing regulation."</w:t>
      </w:r>
    </w:p>
    <w:p>
      <w:r>
        <w:t>VI. CONCLUDING EVALUATIONS</w:t>
      </w:r>
    </w:p>
    <w:p>
      <w:r>
        <w:t>71. The present procedure concerns the commercial practice carried out by Optima Italia, which consists of the adoption of the following conducts: the promotion of a multi-service commercial offer for the supply of energy, gas, fixed/mobile telephony, and Internet at a fixed or flat rate in a misleading manner; as well as the application to a multitude of consumers of a settlement billing, according to aggressive modalities as they expose them to a single payment at the end of the contractual year of significant amounts, not easily predictable, known, and controllable, also due to the definition of an incorrect size for the flat-rate package.</w:t>
      </w:r>
    </w:p>
    <w:p>
      <w:r>
        <w:t>72. Such commercial practice, as described above, in light of the evidence on record, appears to be carried out in violation of the Consumer Code, for the reasons set forth below.</w:t>
      </w:r>
    </w:p>
    <w:p>
      <w:r>
        <w:t>a) The promotion of the commercial offer VitaMia</w:t>
      </w:r>
    </w:p>
    <w:p>
      <w:r>
        <w:t>73. The promotional information of the Optima VitaMia commercial offer is conveyed in a severely misleading manner regarding relevant information and elements that the consumer needs in order to make an informed decision about joining the contractual proposal, being suitable to induce consumers to make a commercial decision that they otherwise would not have made.</w:t>
      </w:r>
    </w:p>
    <w:p>
      <w:r>
        <w:t>74. In particular, the advertising message, conveyed via the Internet, radio, and TV, emphasizes, in the pre-contractual phase, at the delicate and decisive moment of the "consumer hook," the flat nature and the alleged advantages of the VitaMia commercial proposal, presenting this offer as "A revolutionary formula: electricity, gas, phone, and internet in a single solution at a fixed monthly price. No surprises on the bill and plenty of relaxation. We take you to another planet."</w:t>
      </w:r>
    </w:p>
    <w:p>
      <w:r>
        <w:t>75. The specific indications contained in the presentation of the VitaMia offer emphatically and suggestively highlight the following characteristic elements of the commercial proposal: the benefit consisting of the existence of a "customized single fee" - characterized by a "single fixed monthly price calculated on your actual consumption habits" - the advantage of receiving a "single monthly bill" for all services provided, the simplicity arising from the presence of a "single manager and single interlocutor" for all utilities as well as "the certainty of the fixed monthly expense" ("Come visit us in shopping centers and sales points, we configure your monthly peace of mind together"; "No settlements. What you don't consume we refund you.") and the convenience in the absence of unnecessary expenses ("No more waste and you know in advance how much you pay").</w:t>
      </w:r>
    </w:p>
    <w:p>
      <w:r>
        <w:t>76. In truth, given the actual characteristics of the offer and the concrete billing modalities, the message is severely deceptive regarding the actual nature and scope of the commercial proposal, the essential characteristics of which are specified exclusively in the General Terms and Conditions. In fact, the VitaMia offer operates, through the peculiar mechanism of the Conto Relax, as a unique consumption offer, in which the customer is obliged to pay a settlement at the end of the contractual period, that is, after a full year, based on the measurement of actual consumption.</w:t>
      </w:r>
    </w:p>
    <w:p>
      <w:r>
        <w:t>77. For these reasons, the presentation of the offer as "flat" with the explicit reference to a "fixed fee," without specifying the possibility of settlement bills for extra-threshold consumption, creates a particularly serious deceptive effect as the consumer is surprised at the final balance and is forced to pay amounts, even significant ones, that they could not foresee and avoid.</w:t>
      </w:r>
    </w:p>
    <w:p>
      <w:r>
        <w:t>78. Given, in fact, the actual functioning of the "Conto Relax" and particularly considering the existence of year-end settlements, the advantage emphasized in the advertising message regarding the fixed price is exhausted in the mere advance by the professional of a defined amount to cover the extra-threshold consumption that will be billed to the customer at the end of the contractual period, as the professional himself acknowledges in his defense documents.</w:t>
      </w:r>
    </w:p>
    <w:p>
      <w:r>
        <w:t>79. Therefore, the advertising message, insofar as it, on the one hand, suggestively and repeatedly highlights the stability of the monthly expense and the invariance of the fixed fee, while on the other hand omits outright to indicate that the supplier will proceed to make a settlement at the end of the contractual year, even avoiding a simple reference to a page of in-depth information regarding the essential modalities of such settlement, severely misleads consumers regarding the existence of a fixed monthly expense, devoid of additional costs, tailored to the supply needs of the individual consumer.</w:t>
      </w:r>
    </w:p>
    <w:p>
      <w:r>
        <w:t>80. Furthermore, the promotion of the offer is severely misleading regarding the functioning of the "Conto Relax" ("We have created the perfect bill-saving account, it's free! Optima VitaMia gives you the Conto relax, the system that gives you the certainty of a fixed monthly expense"), where it emphasizes with suggestive tones as an additional benefit, in terms of savings or refunds, what instead constitutes the consumption mechanism provided by the professional ("Thanks to Conto Relax, the free bill-saving account that we give to every customer, you will accumulate what you do not consume and it will be refunded to you!").</w:t>
      </w:r>
    </w:p>
    <w:p>
      <w:r>
        <w:t>81. In fact, in the case of actual consumption lower than the estimated ones, the refund by the professional is still limited to the amount of the initial Bonus, an accounting figure already credited to the aforementioned account free of charge by the professional at the time of signing the contract. The presentation of untruthful possibilities of refund further induces in</w:t>
      </w:r>
    </w:p>
    <w:p>
      <w:r>
        <w:rPr>
          <w:b/>
        </w:rPr>
        <w:t>[Pages 64–66]</w:t>
      </w:r>
    </w:p>
    <w:p>
      <w:r>
        <w:t>66 BULLETIN NO. 13 OF APRIL 1, 2019</w:t>
      </w:r>
    </w:p>
    <w:p>
      <w:r>
        <w:t>error the consumer about additional economic advantages of the offer, urging him to make an economic choice that is not fully aware.</w:t>
      </w:r>
    </w:p>
    <w:p>
      <w:r>
        <w:t>82. It should be noted, moreover, that in the event of early withdrawal by the consumer, the misleading nature of the promotional message regarding the operation of the "Conto Relax," insofar as it is focused on emphasizing, on the one hand, the invariability of expenditure and, on the other, the reimbursement of unconsumed amounts, assumes particular relevance and greater severity. It is noted that in the presentation of the VitaMia offer, any indication regarding the existence of a minimum duration constraint of the contract of at least 12 months and a settlement at the end of the contractual period (indicated only in the General Terms and Conditions) is omitted, and the consumer is not even informed that, in the event of early withdrawal before this minimum duration, the compensation mechanism between under-threshold and extra-threshold consumption does not operate, so that the initial Bonus is deducted and all extra-threshold consumption is instead fully billed and charged to the customer.</w:t>
      </w:r>
    </w:p>
    <w:p>
      <w:r>
        <w:t>83. The evidentiary documentation fully confirms the deceptive nature of the promotional messages related to the ViaMia offer. It has indeed emerged that the professional received a high number of complaints each month regarding the customers' lack of understanding of the existence of a year-end settlement and the operation of the "Conto Relax," particularly concerning the methods of use/movement of said account, as well as the lack of crediting of the initial Bonus in the event of early withdrawal and the limitation of crediting at the end of the contractual period, the amount of said Bonus, and in general the billing exposure regarding the composition of the Conto Relax (double bonus, RAI fee bonus, etc.).</w:t>
      </w:r>
    </w:p>
    <w:p>
      <w:r>
        <w:t>84. On the other hand, the extremely high number of withdrawals by VitaMia customers recorded each year by the professional ([35-55%] in 2016, [60-80%] in 2017, and [25-45%] in 2018), corresponding to at least a quarter of the entire VitaMia clientele, represents further tangible confirmation of the misleading nature of the promotional message, in the sense that the customer, once aware, only in an advanced phase of contract execution, of the real characteristics of the offer and the concrete mechanisms of payment operation, which presented a high degree of sophistication and complexity, made the decision to terminate the contractual relationship.</w:t>
      </w:r>
    </w:p>
    <w:p>
      <w:r>
        <w:t>85. In such circumstances, the professional's defensive argument, according to which the consumer would not be deceived and would have all the necessary elements to make an informed choice regarding the subscription of the contract, is contradicted by the evidentiary findings, which demonstrate the inadequacy of the information provided in the promotional message of the offer to ensure full understanding by consumers of such a complex and sophisticated type of offer, in light of the significant omissions (minimum duration constraint and loss of advantages in case of withdrawal, indicated only in the General Terms and Conditions) as well as due to the obvious deceptive nature of the categorical indications regarding the existence of a "single fixed monthly price, zero surprises on the bill, and so much relaxation," as well as the "reimbursement of what you do not consume."</w:t>
      </w:r>
    </w:p>
    <w:p>
      <w:r>
        <w:t>86. The lack of clarity regarding essential information for understanding the VitaMia offer appears particularly serious as it affects an essential element for making an informed decision regarding the economic convenience of the commercial proposal and the appropriateness of proceeding to conclude the related contract, namely its flat nature, which should guarantee the constancy of expenditure and the absence of surprises. As seen, however, in this case, the real nature ("pay-as-you-go") of the offer is entrusted to the mechanism of the "Conto Relax," and therefore directly to the reliability of the data recorded in that account, or to its timely updating.</w:t>
      </w:r>
    </w:p>
    <w:p>
      <w:r>
        <w:t>87. In conclusion, the VitaMia offer, although presented as a flat-rate offer with a fixed monthly fee, is instead characterized by elements typical of a pay-as-you-go offer, in which, moreover, the accounting mechanism does not guarantee timely updating, due to the timing and methods of making available the actual consumption data, typical of the energy market. On the other hand, the misleading nature of the offer regarding the amount of the initially fixed single fee, deceptively presented as stable, is confirmed by the number, and in many cases the high amounts, of the billed settlements. Contrary to what the professional claimed, such an offer allegedly at a "single fixed monthly fee" (flat) differs from the flat offers normally proposed on the market, particularly in telecommunications, as out-of-bundle consumption is generally of limited amounts compared to the flat fee and is anyway billed based on rates well known to consumers well before the contract is signed.</w:t>
      </w:r>
    </w:p>
    <w:p>
      <w:r>
        <w:t>88. The misleading nature of the promotion of the commercial offer cannot be considered mitigated by the circumstance, raised in the final memorandum, that all relevant information about the characteristics of the offer, in addition to being available on the website and through the toll-free number, would be provided to the consumer in the pre-contractual phase, being contained in the documentation submitted to him for the purpose of signing the proposal. This is because the legislator himself has provided that the consumer, according to the paradigm identified in the provisions of the Consumer Code aimed at protecting his freedom of choice, must have simultaneously – from the first contact – all the information useful to make a commercial decision also because, once the so-called "advertising hook" of the consumer is determined, the mere fact that he is induced to consult the website or call the toll-free number or read the contractual documentation to obtain further information increases the likelihood that he will actually decide to use the services of the professional.</w:t>
      </w:r>
    </w:p>
    <w:p>
      <w:r>
        <w:t>89. In this case, while contextualizing the assessment of the misleading nature of the advertising messages of Optima in light of the limitations of the communication means used, as indicated by the professional in the final memorandum, the alleged limitations of time and space did not exempt Optima from the burdens of completeness of the message and certainly did not make it impossible to represent the real characteristics of the realized offer, avoiding emphasizing the alleged advantages in terms of the fixity of monthly expenditure, absence of settlements, and achievable savings.</w:t>
      </w:r>
    </w:p>
    <w:p>
      <w:r>
        <w:t>90. Nor can the misleading conduct be considered remedied by the establishment of measures aimed, on the one hand, at ensuring in the pre-contractual phase the provision by sales staff of all information related to the commercial offer (Sales Manual in use by consultants, training and training processes, Customer Office, sanctioning system for sales agents), and on the other hand to allow consumers to withdraw in case of misunderstanding of the terms of the proposal (Quality Check Call and right of reconsideration). The abstract assignment of the informative task to sales consultants, in addition to relating to conduct subsequent to the moment of the advertising hook that occurred in misleading ways, does not constitute in any case proof of the fulfillment of the informative burden by the consultants. In any case, the documentation in the records of the proceedings, attesting to the significant number of complaints and claims regarding the real scope of the offer and the high withdrawal rate, is certainly not suitable to demonstrate the prior information of consumers by the consultants.</w:t>
      </w:r>
    </w:p>
    <w:p>
      <w:r>
        <w:t>b) The settlement billing</w:t>
      </w:r>
    </w:p>
    <w:p>
      <w:r>
        <w:t>91. The commercial practice carried out by Optima in marketing the VitaMia offer also has an aggressive character, particularly regarding the settlement billing carried out at the time of the final balance, which occurs at the expiration of the contractual duration and involves the unexpected charge of amounts, even of significant size, which depend on the initially fixed size (monthly fee) and are billed based on personalized rates not easily known as well as based on consumption data that are not always actual and truly updated.</w:t>
      </w:r>
    </w:p>
    <w:p>
      <w:r>
        <w:t>92. As illustrated above, the "Optima VitaMia" offer provides for a final balance at the expiration of the contractual period as a result of compensations between under-threshold and extra-threshold consumption, carried out within the framework of the Conto Relax, pursuant to Article 2.3 of the Special Conditions – Conto Relax (CPC). The amount of the sums requested by the professional as a settlement obviously depends on the size of the flat package defined upstream and based on the estimate initially made for the calculation of the "personalized fixed fee" proposed to the consumer.</w:t>
      </w:r>
    </w:p>
    <w:p>
      <w:r>
        <w:t>93. In order to develop a customer size and define the corresponding single monthly fee, the professional uses the tool of the computerized configurator, based on an algorithm, which uses the historical consumption of the customer related to the various supplies. On this point, from the evidentiary findings illustrated above, it has emerged that the professional has recorded high error rates in estimating the customer size, errors that have concerned about [30-50%] of the contracts concluded in the national campaign. This evidentiary documentation disproves the generic defensive thesis, according to which the company elaborates estimates accurately and correctly, having no interest in underestimating the sizes of its customers because, by doing so, it would expose itself to a financial outlay much earlier than the moment of billing the related extra-consumption to the customer as well as the risk of insolvency of the latter.</w:t>
      </w:r>
    </w:p>
    <w:p>
      <w:r>
        <w:t>94. From what has been stated so far, it is entirely evident that attributing an incorrect size to a customer significantly affects the settlement billing carried out by the professional and translates into significant harm to consumers, who, in the case of extra-threshold consumption (i.e., in excess of the monthly size), are charged unpredictable and uncalculable amounts, while in the case of under-threshold consumption, they are denied the savings achieved.</w:t>
      </w:r>
    </w:p>
    <w:p>
      <w:r>
        <w:t>95. The settlements related to any quantities of services consumed in excess of the monthly size (extra-threshold consumption), at least regarding energy supplies, can</w:t>
      </w:r>
    </w:p>
    <w:p>
      <w:r>
        <w:rPr>
          <w:b/>
        </w:rPr>
        <w:t>[Pages 67–69]</w:t>
      </w:r>
    </w:p>
    <w:p>
      <w:r>
        <w:t>BULLETIN NO. 13 OF APRIL 1, 2019 69</w:t>
      </w:r>
    </w:p>
    <w:p>
      <w:r>
        <w:t>remain unknown for a long time and in any case cannot be known until the professional has obtained the availability of the actual consumption data necessary to update and manage the Relax Account. Therefore, in the absence of the aforementioned data, the consumer is unable to know with certainty their debt exposure during the contractual period and is also deprived of the possibility of adjusting their habits in relation to the services used, in order to limit consumption and avoid arriving at the final annual balance with extra-threshold consumption to be paid as a settlement.</w:t>
      </w:r>
    </w:p>
    <w:p>
      <w:r>
        <w:t>96. The investigative evidence has also confirmed that the professional was fully aware of the problem of the lack of reading of gas meters, which resulted in the impossibility of managing the "Relax Account" on a monthly basis, and that this could lead to a sudden negative or positive balance, based on actual consumption, at the time of year-end billing. This critical issue was acknowledged by the professional in their defense documents.</w:t>
      </w:r>
    </w:p>
    <w:p>
      <w:r>
        <w:t>97. In this regard, the defensive argument of Optima, according to which the settlement billing carried out by it would be legitimate and not aggressive, being compliant with the indications and regulatory obligations in force, is not relevant to the case at hand, where the frequency (multi-year or not) of settlements is not being discussed, nor the possibility of installment payments of the related amounts or the management methods of complaints, but rather the charge of unpredictable and also significant amounts at the end of the contractual year, without the consumer being put in a position to avoid or contain them.</w:t>
      </w:r>
    </w:p>
    <w:p>
      <w:r>
        <w:t>98. In conclusion, the conduct carried out by Optima in the marketing of the VitaMia offer, consisting of applying settlement billing to a multitude of consumers at the end of the contractual period, exposing them to a single payment without any prior notice and without the possibility of opposing, of significant, unpredictable, knowable, and controllable amounts, also due to the definition of an incorrect size, must be considered aggressive. Such settlements are likely to generate undue conditioning of the consumers themselves arising from the position of strength in which the professional finds themselves, who is the only one able to know the two essential factors for determining the amount of the expenditure: price and quantity.</w:t>
      </w:r>
    </w:p>
    <w:p>
      <w:r>
        <w:t>99. In fact, as mentioned, in this case, the consumer is not informed about the two factors that contribute to determining the amount of the settlement, namely, on the one hand, the amount of extra-threshold consumption, made known only in the bill and in any case after the availability of data on actual consumption, and, on the other hand, the rates at which such extra-threshold consumption is billed, which are made accessible only to the subscribed customer - through their personal code - on the page dedicated to checking the rate on the professional's website.</w:t>
      </w:r>
    </w:p>
    <w:p>
      <w:r>
        <w:t>100. The aggressive nature of the situation is also confirmed by the data collected during the inspection checks, from which it emerges that the number of consumers subjected to settlement is very high, about a quarter of all customers of the "Optima VitaMia" offer, and that the number of negative balances recorded at the end of the contractual year, for each year considered (2016-2017-2018), affected between a quarter and a third of all VitaMia customers. In the same sense, the circumstance that the application of the described settlement billing methods has generated high percentages of the total revenue of the professional derived from the marketing of the Optima VitaMia offer, equal to about [5-15%] for each year considered, also supports this.</w:t>
      </w:r>
    </w:p>
    <w:p>
      <w:r>
        <w:t>101. Furthermore, as already mentioned, in the same years a very high number of customers exercised their right of withdrawal (between approximately [10,000-30,000] and [30,000-50,000] customers for each year, against a total customer base related to the same offer between [30,000-60,000] and [50,000-80,000] customers). These customers were subjected to the disconnection logic provided for in Article 2.4 of the "Special Conditions - Relax Account," and were therefore subjected to settlements of even more burdensome amounts, since - due to the exercise of the right of withdrawal - their final balance did not recognize the under-threshold consumption, with the consequence that these customers were unable to benefit from any savings, the "Initial Bonus" was taken from them, and they were subject to the full charge of extra-threshold consumption, without any compensation in their favor, even where there were the prerequisites according to the regular functioning of the Relax Account.</w:t>
      </w:r>
    </w:p>
    <w:p>
      <w:r>
        <w:t>102. In this context, the application of significantly worsening economic conditions in the event of withdrawal and the loss of savings benefits related to actual consumption certainly represents a form of pressure capable of unduly conditioning the consumer's freedom of choice regarding the contractual relationship, hindering their right to terminate the contract and thus "extorting" a decision regarding the continuation of the supply that they would not otherwise have made.</w:t>
      </w:r>
    </w:p>
    <w:p>
      <w:r>
        <w:t>103. The data relating to the amount of settlements and the number of withdrawals, which led the company to develop policies aimed at resolving the problem, including the resizing campaign, are suitable to demonstrate, on the one hand, that such settlements in practice constitute an ordinary and not extraordinary phenomenon in the functioning of the offer and, on the other hand, that the billing methods and the related charges entail significant economic prejudice for consumers, without prior notice and without the possibility of opposing, which has led to the massive exercise of withdrawal from the signed contract. Moreover, the collected evidentiary elements regarding the internal reflections within the company demonstrate the professional's awareness of the critical issues highlighted above.</w:t>
      </w:r>
    </w:p>
    <w:p>
      <w:r>
        <w:t>c) Final considerations</w:t>
      </w:r>
    </w:p>
    <w:p>
      <w:r>
        <w:t>104. Regarding the initiatives that the professional has stated to have undertaken during the procedure to protect the consumer, some of which are subject to future implementation, with specific reference to the relevant elements for this assessment, it is noted that the variation of the contractual conditions of the offer and the modification of the commercial communication present on Optima's website do not appear fully adequate to overcome the significant misleading aspects of the VitaMia offer (now called "ALL-IN-ONE"), particularly related to the significant limiting conditions applied to it, nor to affect the serious aspects of aggressiveness of the commercial practice, inherent in the settlement billing in a single payment, at the end of the contractual period, of significant, unpredictable, knowable, and controllable amounts, also due to the definition of an incorrect size and the professional's position of strength, with significant penalties in the event of early withdrawal by the consumer.</w:t>
      </w:r>
    </w:p>
    <w:p>
      <w:r>
        <w:t>105. In light of all that has been stated so far, the commercial practice in question, carried out by Optima in relation to the VitaMia offer, is found to be seriously unfair, constituting a misleading and aggressive case, capable of misleading consumers and exerting undue conditioning on them regarding the contractual proposal, limiting their freedom of choice and behavior, thereby inducing them to make a commercial decision that they would not otherwise have made regarding adherence to the offer, management of their consumption habits, and continuation of the contractual relationship, in violation of Articles 21, paragraph 1, 22, paragraphs 1, 2, and 4, 24, and 25 of the Consumer Code.</w:t>
      </w:r>
    </w:p>
    <w:p>
      <w:r>
        <w:t>VII. QUANTIFICATION OF THE SANCTION</w:t>
      </w:r>
    </w:p>
    <w:p>
      <w:r>
        <w:t>106. Pursuant to Article 27, paragraph 9, of the Consumer Code, with the provision that prohibits the unfair commercial practice, the Authority orders the application of an administrative pecuniary sanction from 5,000 euros to 5,000,000 euros, taking into account the severity and duration of the violation.</w:t>
      </w:r>
    </w:p>
    <w:p>
      <w:r>
        <w:t>107.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108. With regard to the severity of the violation, the economic dimension of the professional is taken into account in the case at hand: a nationally significant operator in the sector of electricity, gas, and telecommunications and Internet services, operating nationwide and which, in 2017, achieved a turnover of nearly 213 million euros, while the estimated turnover for 2018 would amount to [100–400 million euros].</w:t>
      </w:r>
    </w:p>
    <w:p>
      <w:r>
        <w:t>109. In assessing the severity of the violation, account is also taken of: i) the method of dissemination of the promotional message, conveyed via the Internet, radio, and TV and thus capable of quickly reaching a very high number of consumers; ii) the importance of the professional, an established supplier in the energy market; iii) the specificity of the sector involved, in which the consumer finds themselves in a position of inevitable informational asymmetry compared to the professional; as well as iv) the actions taken by the professional to remedy or mitigate the illegitimacy profiles of the commercial practice carried out.</w:t>
      </w:r>
    </w:p>
    <w:p>
      <w:r>
        <w:t>110. Regarding the duration of the violation, the available evidence indicates that the commercial practice has been carried out for a long period of time, since April 2015, and is still ongoing in the terms mentioned above.</w:t>
      </w:r>
    </w:p>
    <w:p>
      <w:r>
        <w:t>111. Based on these elements, with reference to the commercial practice in question, in order to ensure the deterrent effect of the sanctions applied for violations of the Consumer Code, while considering the measures adopted during the procedure to remedy or mitigate the profiles of</w:t>
      </w:r>
    </w:p>
    <w:p>
      <w:r>
        <w:rPr>
          <w:b/>
        </w:rPr>
        <w:t>[Pages 70–72]</w:t>
      </w:r>
    </w:p>
    <w:p>
      <w:r>
        <w:t>72 BULLETIN NO. 13 OF APRIL 1, 2019</w:t>
      </w:r>
    </w:p>
    <w:p>
      <w:r>
        <w:t>illegitimacy of the contested conduct, it is necessary to take into account the seriousness of the practice, which has been capable of inducing an extremely significant number of consumers to make a commercial decision that they would not have otherwise made, subscribing to a severely misleading and aggressive offer.</w:t>
      </w:r>
    </w:p>
    <w:p>
      <w:r>
        <w:t>It is therefore deemed appropriate to determine the amount of the administrative pecuniary sanction applicable to Optima Italia S.p.A. in the amount of €1,000,000 (one million euros), taking into account the duration and severity of the infringement.</w:t>
      </w:r>
    </w:p>
    <w:p>
      <w:r>
        <w:t>CONSIDERED, therefore, in accordance with both the opinion of the Authority for Communications Guarantees and the opinion of the Regulatory Authority for Energy Networks and Environment, based on and within the limits of the considerations set forth above, that the commercial practice under examination constitutes, limited to the aspects subject to evaluation, an unfair commercial practice pursuant to Articles 21, paragraph 1, 22, paragraphs 1, 2, and 4, as well as 24 and 25 of the Consumer Code;</w:t>
      </w:r>
    </w:p>
    <w:p>
      <w:r>
        <w:t>FURTHER CONSIDERED, that due to the significant effects on consumers of the conduct carried out by Optima, particularly with regard to the conditioning of their commercial choice regarding adherence to the VitaMia offer, the management of their consumption habits, and the continuation of the contractual relationship, it is necessary to order the publication of a corrective statement at the care and expense of the professional, pursuant to Article 27, paragraph 8, of the Consumer Code, in order to inform the same consumers of the Authority's provision and prevent the continuation of the effects of the same conduct. In consideration of the widespread manner in which the commercial practice has been disseminated, it appears necessary and proportionate that the publication of the corrective statement takes place, for twenty days, on the home page of the professional's corporate website www.optimaitalia.com;</w:t>
      </w:r>
    </w:p>
    <w:p>
      <w:r>
        <w:t>RESOLVES</w:t>
      </w:r>
    </w:p>
    <w:p>
      <w:r>
        <w:t>a) that the commercial practice described in point II of this provision, carried out by the company Optima Italia S.p.A., constitutes, for the reasons and within the limits set forth in the motivation, an unfair commercial practice pursuant to Articles 21, paragraph 1, 22, paragraphs 1, 2, and 4, 24 and 25 of the Consumer Code, and prohibits its dissemination or continuation;</w:t>
      </w:r>
    </w:p>
    <w:p>
      <w:r>
        <w:t>b) to impose on the company Optima Italia S.p.A. an administrative pecuniary sanction of €1,000,000 (one million euros);</w:t>
      </w:r>
    </w:p>
    <w:p>
      <w:r>
        <w:t>c) that the professional shall communicate to the Authority, within sixty days from the notification of this provision, the initiatives taken in compliance with the injunction referred to in point a). 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interest on arrears must be paid at the legal rate starting from the day following the payment deadline until the date of payment. In the event of further delay in compliance, pursuant to Article 27, paragraph 6, of Law No. 689/81, the amount due for the imposed sanction is increased by one-tenth for each semester starting from the day following the payment deadline until the date on which the role is transmitted to the concessionaire for collection; in such case, the increase absorbs the interest on arrears accrued during the same period.</w:t>
      </w:r>
    </w:p>
    <w:p>
      <w:r>
        <w:t>Immediate communication of the payment must be provided to the Authority through the submission of documentation certifying the payment made.</w:t>
      </w:r>
    </w:p>
    <w:p>
      <w:r>
        <w:t>ORDERS</w:t>
      </w:r>
    </w:p>
    <w:p>
      <w:r>
        <w:t xml:space="preserve">a) that the company Optima Italia S.p.A. publish, at its care and expense, a corrective statement pursuant to Article 27, paragraph 8, of the Consumer Code, according to the following modalities: </w:t>
        <w:br/>
        <w:t xml:space="preserve">1) the text of the corrective statement is that reported in the attachment to this provision; </w:t>
        <w:br/>
        <w:t xml:space="preserve">2) the corrective statement must be published within thirty days from the notification of this provision for twenty consecutive days on the home page of the website www.optimaitalia.com in a box equal to at least 1/5 of the page space; </w:t>
        <w:br/>
        <w:t>3) the publication must fully reflect the setting, structure, and appearance of the attached corrective statement; the characters of the text must be of the maximum typographic size compatible with the space indicated in point 2 and the writing, printing, and dissemination methods must not be such as to nullify the effects of the publication; in particular, on the page of publication of the corrective statement, as well as on the remaining pages, there must not be messages that conflict with the content of the statement itself or that tend to diminish its scope and meaning;</w:t>
      </w:r>
    </w:p>
    <w:p>
      <w:r>
        <w:t>b) that the publication of the corrective statement must be preceded by communication to the Authority of the date on which it will take place and must be followed, within three days, by the sending to the Authority of an original copy of the screenshot of the home page containing the published corrective statement.</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 xml:space="preserve">THE SECRETARY GENERAL THE PRESIDENT f.f. </w:t>
        <w:br/>
        <w:t>Filippo Arena Gabriella Muscolo</w:t>
      </w:r>
    </w:p>
    <w:p>
      <w:r>
        <w:rPr>
          <w:b/>
        </w:rPr>
        <w:t>[Pages 73–74]</w:t>
      </w:r>
    </w:p>
    <w:p>
      <w:r>
        <w:t>BULLETIN NO. 13 OF APRIL 1, 2019 75</w:t>
      </w:r>
    </w:p>
    <w:p>
      <w:r>
        <w:t>ANTITRUST AUTHORITY</w:t>
      </w:r>
    </w:p>
    <w:p>
      <w:r>
        <w:t>COMMUNICATIONS FOR CONSUMER PROTECTION</w:t>
      </w:r>
    </w:p>
    <w:p>
      <w:r>
        <w:t>The company Optima Italia S.p.A. has engaged in conduct consisting of the promotion of a multi-service commercial offer (named “Optima VitaMia”), for the supply of energy, gas, fixed/mobile telephony, and Internet at a single fixed monthly fee in a severely misleading manner regarding the actual nature (presented as flat) and the actual limiting conditions of the proposal; as well as applying to a multitude of consumers a billing adjustment, carried out through aggressive methods at the end of the contractual year by charging a final settlement in a single payment of significant amounts, not easily foreseeable, knowable, and controllable, also due to the definition of an incorrect size for the flat-rate package (fixed monthly fee).</w:t>
      </w:r>
    </w:p>
    <w:p>
      <w:r>
        <w:t>This commercial practice has been assessed as unfair, pursuant to Articles 21, paragraph 1, 22, paragraphs 1, 2, and 4, as well as 24 and 25 of Legislative Decree No. 206/2005 (Consumer Code) by the Antitrust Authority.</w:t>
      </w:r>
    </w:p>
    <w:p>
      <w:r>
        <w:t>The Authority has ordered the publication of this corrective statement pursuant to Article 27, paragraph 8, of the Consumer Code (provision adopted in the meeting of March 12, 2019, and available on the website www.agcm.it)</w:t>
      </w:r>
    </w:p>
    <w:p>
      <w:r>
        <w:t>Antitrust Authority Weekly Bulletin of Competition and the Market Year XXIX - No. 13 - 2019</w:t>
      </w:r>
    </w:p>
    <w:p>
      <w:r>
        <w:t>Editorial Coordination Giulia Antenucci</w:t>
      </w:r>
    </w:p>
    <w:p>
      <w:r>
        <w:t>Editorial Staff Sandro Cini, Valerio Ruocco, Simonetta Schettini, Manuela Villani</w:t>
      </w:r>
    </w:p>
    <w:p>
      <w:r>
        <w:t>Antitrust Authority</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