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https://www.agcm.it/dotcmsdoc/bollettini/2022/13-22.pdf</w:t>
      </w:r>
    </w:p>
    <w:p>
      <w:r>
        <w:t>Pages translated : 75</w:t>
      </w:r>
    </w:p>
    <w:p/>
    <w:p>
      <w:r>
        <w:rPr>
          <w:b/>
        </w:rPr>
        <w:t>[Pages 1–3]</w:t>
      </w:r>
    </w:p>
    <w:p>
      <w:r>
        <w:t>Bulletin</w:t>
        <w:br/>
        <w:t>Weekly</w:t>
        <w:br/>
        <w:t>Year XXXII - No. 13</w:t>
        <w:br/>
        <w:t>Published on the website www.agcm.it</w:t>
        <w:br/>
        <w:t>April 11, 2022</w:t>
      </w:r>
    </w:p>
    <w:p>
      <w:r>
        <w:t>SUMMARY</w:t>
        <w:br/>
        <w:t>AGREEMENTS AND ABUSE OF DOMINANT POSITION 5</w:t>
        <w:br/>
        <w:t>I843 - NEW IMAIE/SCF</w:t>
        <w:br/>
        <w:t>Measure No. 30075 5</w:t>
        <w:br/>
        <w:t>I858 - MUNICIPALITY OF LIVIGNO/PRICE OF FUELS FOR ROAD TRANSPORT</w:t>
        <w:br/>
        <w:t>Measure No. 30081 7</w:t>
        <w:br/>
        <w:t>A550 - ORIGINAL MARINES FRANCHISING CHAIN</w:t>
        <w:br/>
        <w:t>Measure No. 30084 15</w:t>
        <w:br/>
        <w:t>CONCENTRATION OPERATIONS 17</w:t>
        <w:br/>
        <w:t>C12434 - CAPGEMINI FINANCE TECH/BRANCH OF NATIONAL LABOR BANK</w:t>
        <w:br/>
        <w:t>Measure No. 30074 17</w:t>
        <w:br/>
        <w:t>REPORTING AND CONSULTATIVE ACTIVITIES 22</w:t>
        <w:br/>
        <w:t>AS1823 – CONSIP - TENDER FOR THE SUPPLY OF MOBILE WORKSTATION LAPTOPS</w:t>
        <w:br/>
        <w:t>AND CHROMEBOOKS FOR PUBLIC ADMINISTRATIONS 22</w:t>
        <w:br/>
        <w:t>AS1824 - COMPETITION REFORM PROPOSALS RELATING TO THE ELECTRICITY</w:t>
        <w:br/>
        <w:t>AND INTEGRATED WATER SERVICE SECTORS FOR THE ANNUAL LAW ON</w:t>
        <w:br/>
        <w:t>MARKET AND COMPETITION YEAR 2022 25</w:t>
        <w:br/>
        <w:t>AS1825 – LAZIO REGION – TENDER FOR THE ASSIGNMENT OF</w:t>
        <w:br/>
        <w:t>NOTIFICATION SERVICES FOR JUDICIAL ACTS AND ADMINISTRATIVE SANCTIONS 44</w:t>
        <w:br/>
        <w:t>UNFAIR COMMERCIAL PRACTICES 48</w:t>
        <w:br/>
        <w:t>IP349 - VOLOTEA-CANCELLATION OF FLIGHTS POST-COVID</w:t>
        <w:br/>
        <w:t>Measure No. 30077 48</w:t>
        <w:br/>
        <w:t>IP350 - BLUE PANORAMA-CANCELLATION OF FLIGHTS POST-COVID</w:t>
        <w:br/>
        <w:t>Measure No. 30078 63</w:t>
        <w:br/>
        <w:t>UNFAIR CLAUSES 69</w:t>
        <w:br/>
        <w:t>IP348 - GOOGLE DRIVE-UNFAIR CLAUSES</w:t>
        <w:br/>
        <w:t>Measure No. 30076 69</w:t>
      </w:r>
    </w:p>
    <w:p>
      <w:r>
        <w:t>BULLETIN NO. 13 OF APRIL 11, 2022 5</w:t>
        <w:br/>
        <w:t>AGREEMENTS AND ABUSE OF DOMINANT POSITION</w:t>
        <w:br/>
        <w:t>I843 - NEW IMAIE/SCF</w:t>
        <w:br/>
        <w:t>Measure No. 30075</w:t>
        <w:br/>
        <w:t>THE COMPETITION AND MARKET AUTHORITY</w:t>
        <w:br/>
        <w:t>IN ITS MEETING of March 22, 2022;</w:t>
        <w:br/>
        <w:t>HEARD the Rapporteur Professor Michele Ainis;</w:t>
        <w:br/>
        <w:t>HAVING REGARD TO Article 101 of the Treaty on the Functioning of the European Union (TFEU);</w:t>
        <w:br/>
        <w:t>HAVING REGARD TO Regulation No. 1/2003 of the Council of December 16, 2002, concerning the application</w:t>
        <w:br/>
        <w:t>of the competition rules set out in Articles 81 and 82 of the EC Treaty (now Articles 101 and 102 TFEU);</w:t>
        <w:br/>
        <w:t>HAVING REGARD TO the Commission Communication on cooperation within the network of competition</w:t>
        <w:br/>
        <w:t>authorities, of April 27, 2004;</w:t>
        <w:br/>
        <w:t>HAVING REGARD TO Law No. 287 of October 10, 1990;</w:t>
        <w:br/>
        <w:t>HAVING REGARD TO the Presidential Decree No. 217 of April 30, 1998;</w:t>
        <w:br/>
        <w:t>HAVING REGARD TO Legislative Decree No. 35 of March 15, 2017 and, in particular, Article 44;</w:t>
        <w:br/>
        <w:t>HAVING REGARD TO its Measure No. 28438 of November 3, 2020, which initiated</w:t>
        <w:br/>
        <w:t>an investigation against the companies Nuovo Istituto Mutualistico per la Tutela degli Artisti</w:t>
        <w:br/>
        <w:t>Interpreti ed Esecutori and SCF S.r.l., to ascertain the existence of any violations of Article 101</w:t>
        <w:br/>
        <w:t>of the Treaty on the Functioning of the European Union (TFEU) in relation to the project of these companies</w:t>
        <w:br/>
        <w:t>to establish a joint venture;</w:t>
        <w:br/>
        <w:t>HAVING REGARD TO its Measure No. 29893 of November 16, 2021, which ordered an extension of the</w:t>
        <w:br/>
        <w:t>deadline for concluding the procedure, equal to sixty days;</w:t>
        <w:br/>
        <w:t>HAVING REGARD TO the request for an extension of the deadline for concluding the procedure, equal to at least two months,</w:t>
        <w:br/>
        <w:t>received on December 7, 2021, from Nuovo Istituto Mutualistico per la Tutela degli Artisti</w:t>
        <w:br/>
        <w:t>Interpreti ed Esecutori and SCF S.r.l., for the purpose of making structural and behavioral modifications,</w:t>
        <w:br/>
        <w:t>such as to affect fundamental aspects for the operation of the joint venture in order to eliminate any</w:t>
        <w:br/>
        <w:t>doubt regarding its compatibility with competition protection regulations;</w:t>
        <w:br/>
        <w:t>HAVING REGARD TO its Measure No. 29962 of December 21, 2021, with which the Authority accepted</w:t>
        <w:br/>
        <w:t>the request of Nuovo Istituto Mutualistico per la Tutela degli Artisti Interpreti ed Esecutori and SCF S.r.l.</w:t>
        <w:br/>
        <w:t>and ordered an extension of the deadline for concluding the procedure, equal to sixty days;</w:t>
        <w:br/>
        <w:t>HAVING REGARD TO the communication of February 28, 2022, with which Nuovo Istituto Mutualistico per la Tutela</w:t>
        <w:br/>
        <w:t>degli Artisti Interpreti ed Esecutori and SCF S.r.l. expressed their intention not to complete</w:t>
        <w:br/>
        <w:t>the joint venture project, which is to be considered definitively abandoned;</w:t>
        <w:br/>
        <w:t>CONSIDERING that the joint venture has not been established and therefore no implementation has been given to the communicated project;</w:t>
      </w:r>
    </w:p>
    <w:p>
      <w:r>
        <w:rPr>
          <w:b/>
        </w:rPr>
        <w:t>[Pages 4–6]</w:t>
      </w:r>
    </w:p>
    <w:p>
      <w:r>
        <w:t>6 BULLETIN NO. 13 OF APRIL 11, 2022</w:t>
        <w:br/>
        <w:t>CONSIDERED, therefore, that the communicated agreement project has lapsed, which was subject to evaluation within the procedure initiated pursuant to Article 14 of Law No. 287/90;</w:t>
        <w:br/>
        <w:t>RESOLVES</w:t>
        <w:br/>
        <w:t>that there is no need to take action.</w:t>
        <w:br/>
        <w:t>This provision will be notified to the interested parties and published in the Bulletin of the Competition and Market Authority.</w:t>
        <w:br/>
        <w:t>THE SECRETARY GENERAL THE PRESIDENT</w:t>
        <w:br/>
        <w:t>Guido Stazi Roberto Rustichelli</w:t>
      </w:r>
    </w:p>
    <w:p>
      <w:r>
        <w:t>BULLETIN NO. 13 OF APRIL 11, 2022 7</w:t>
        <w:br/>
        <w:t>I858 - MUNICIPALITY OF LIVIGNO/PRICE OF FUELS FOR ROAD TRANSPORT</w:t>
        <w:br/>
        <w:t>Measure no. 30081</w:t>
        <w:br/>
        <w:t>THE COMPETITION AND MARKET AUTHORITY</w:t>
        <w:br/>
        <w:t>IN ITS MEETING of 29 March 2022;</w:t>
        <w:br/>
        <w:t>HEARD the Rapporteur, President Roberto Rustichelli;</w:t>
        <w:br/>
        <w:t>HAVING REGARD TO Law 10 October 1990, no. 287, and subsequent amendments;</w:t>
        <w:br/>
        <w:t>HAVING REGARD TO D.P.R. 30 April 1998, no. 217;</w:t>
        <w:br/>
        <w:t>HAVING REGARD TO the documentation on file;</w:t>
        <w:br/>
        <w:t>CONSIDERED the following:</w:t>
        <w:br/>
        <w:t>I. PREMISE</w:t>
        <w:br/>
        <w:t>1. On 10 December 2021, a report was received (subsequently supplemented on 17 December) from the Special Antitrust Unit of the Guardia di Finanza (hereinafter also "NSA") regarding a possible restrictive agreement in the sector of fuel distribution for road transport in Northern Italy and, in particular, in the area of the Municipality of Livigno (SO), corresponding to a duty-free zone under a tax relief regime on all goods subject to excise duty, including fuels for road transport. The report from the NSA originates, in turn, from a report received by it from the Tenenza of the Guardia di Finanza of Bormio (hereinafter also "GDFB"), transmitted as an attachment along with further information obtained by the NSA. The report identifies 12 operators, holders of the 13 sales points in the duty-free area of Livigno benefiting from tax relief, for which there is evidence of a clear and persistent parity of pump prices practiced and for which, in many cases, there is documentary evidence (emerged within a criminal procedure) of explicit price collusion.</w:t>
        <w:br/>
        <w:t>2. The cited conduct takes place in a local context characterized by a particular tax regime. In fact, the Municipality of Livigno enjoys, pursuant to Law 17 July 1910, no. 516, the status of a duty-free zone. Therefore, with specific reference to the price of fuels (which are not the only product affected by tax benefits), it is devoid of the tax component (which, as is known, historically constitutes a large part of the final price of fuels), represented by excise duties and VAT. Both excise duties (fixed taxes on consumption) and VAT (value-added tax) do not apply in the area of Livigno, where, instead, the only cost component that adds to the so-called industrial cost of fuel is represented by "special rights," amounting to €0.25 per liter of gasoline and €0.155 per liter of diesel for road transport1.</w:t>
        <w:br/>
        <w:t>II. THE PARTIES</w:t>
        <w:br/>
        <w:t>3. Cus.Car. S.r.l. (“Cuscar”) is a company active in the distribution of fuels for road transport in the territory of Livigno, through a distributor that uses the Q8 brand.</w:t>
        <w:br/>
        <w:t>1 The fuel classified as heating diesel is associated with an even lower special right, amounting to €0.055 per liter.</w:t>
      </w:r>
    </w:p>
    <w:p>
      <w:r>
        <w:t>8 BULLETIN NO. 13 OF APRIL 11, 2022</w:t>
        <w:br/>
        <w:t>4. Tre.Car. S.r.l. (“Trecar”) is a company active in the distribution of fuels for road transport in the territory of Livigno, through a distributor that uses the Q8 brand.</w:t>
        <w:br/>
        <w:t>5. Ges.Car. SAS di Cusini Bernardo &amp; C. (“Gescar”) is a company active in the distribution of fuels for road transport in the territory of Livigno, through a distributor that uses the Eni-Agip brand.</w:t>
        <w:br/>
        <w:t>6. Cu.Ba. S.r.l. (“Cuba”) is a company active in the retail sale of food products and in the distribution of fuels for road transport in the territory of Livigno, through a distributor that uses the Eni-Agip brand.</w:t>
        <w:br/>
        <w:t>7. Fibo S.r.l. (“Fibo”) is a company active in the wholesale trade of petroleum products and, until the end of 2021, in the distribution of fuels for road transport in the territory of Livigno, through a retail distributor.</w:t>
        <w:br/>
        <w:t>8. C-Energia S.r.l. (“C-Energia”) is a company active in the distribution of fuels for road transport in the territory of Livigno, through a distributor that uses the Eni-Agip brand.</w:t>
        <w:br/>
        <w:t>9. Market S-Anton di Compagnoni Virgilio &amp; C. SAS (“Market S.Anton”) is a company active in the retail trade of various types of products and in the distribution of fuels for road transport in the territory of Livigno, through a distributor that uses the IP brand.</w:t>
        <w:br/>
        <w:t>10. G.M.F. S.r.l. (“GMF”) is a company active in the distribution of fuels for road transport in the territory of Livigno, through a distributor that uses the IP brand (formerly TotalErg).</w:t>
        <w:br/>
        <w:t>11. Bondi Carburanti di Bormolini Luigi S.r.l. (“Bondi”) is a company active in the distribution of fuels for road transport in the territory of Livigno, through two distributors that use the IP brand (one of which was previously TotalErg).</w:t>
        <w:br/>
        <w:t>12. Silroc S.r.l. (“Silroc”) is a company active in the retail sale of various types of products and in the distribution of fuels for road transport in the territory of Livigno, through a distributor that uses the Q8 brand.</w:t>
        <w:br/>
        <w:t>13. Global Service S.r.l. or more briefly Global S.r.l. (“Global Service”) is a company active in the distribution of fuels for road transport in the territory of Livigno, through a distributor that uses the Q8 brand.</w:t>
        <w:br/>
        <w:t>14. Five of the aforementioned companies (Cuscar, Trecar, Gescar, Cuba, and Fibo) are controlled by the same individuals. During the investigation, the possibility that there are any forms of unique coordination among groups of companies will be assessed.</w:t>
      </w:r>
    </w:p>
    <w:p>
      <w:r>
        <w:rPr>
          <w:b/>
        </w:rPr>
        <w:t>[Pages 7–9]</w:t>
      </w:r>
    </w:p>
    <w:p>
      <w:r>
        <w:t>BULLETIN NO. 13 OF APRIL 11, 2022 9</w:t>
        <w:br/>
        <w:t>III. THE FACT</w:t>
        <w:br/>
        <w:t>III.1. Price Parallelism</w:t>
        <w:br/>
        <w:t>15. The GDFB detected the first anomalies during some administrative police actions, noting, in particular, the identical prices of gasoline and diesel for all active distributors in the territory of Livigno, even though they belonged to different companies and were, in many cases, affiliated with different oil companies2. This circumstance was confirmed by further sample checks carried out by the military of the GDFB and the NSA and by the Authority's Offices, using the "Osservaprezzi Carburanti" portal of the Ministry of Economic Development (“MISE”)3. In particular, in each of these checks, identical prices were found among all distributors in the area, even belonging to different fuel brands (also referred to as "flags"). Furthermore, the military of the GDFB also noted that all distributors affiliated with the same brand practice the same intrabrand price for special products (“Hi – Q Perform+” and “Hi – Q Diesel” for Q8 retailers and “Blue Super” and “Blue Diesel” for those of Eni).</w:t>
        <w:br/>
        <w:t>16. The Authority examined the entire historical series of prices charged by the reported distributors using data extractable from the MISE fuel price database, transmitted by the NSA, reconstructing the price trend of distributors in the Livigno area from 2014 until the end of January 2022, for a total of nearly 3000 price surveys4. This analysis confirms, in turn, the results of the aforementioned sample surveys: as can be seen in the figures that follow (see Figures 1 and 2), in fact, despite the natural volatility of prices over time (due to the evolution of relevant variables), there is an absence of any differentiation between the prices of distributors (standard deviation equal to zero from 2014 to 2022) which, indeed, over the long time horizon considered present exactly the same prices or, at most, entirely occasional and negligible deviations. A substantially perfect parallelism between the prices of the 13 sales points can thus be observed throughout the period 2014/2022.</w:t>
        <w:br/>
        <w:t>2 In addition to the distributors mentioned and managed by the Parties, there is another facility in the Livigno area, managed by the Parish of Sant’Anna di Trepalle.</w:t>
        <w:br/>
        <w:t>3 The portal can be consulted at the web address https://carburanti.mise.gov.it/ospzSearch/home. The military of the Guardia di Finanza also concurrently conducted further checks on price levels, consulting the website www.valtellinamobile.it, which in turn reports the “price” of each type of fuel (“gasoline diesel gpl”) in the Livigno area, without providing price indications for the different distribution facilities.</w:t>
        <w:br/>
        <w:t>4 It should be noted, in this regard, that in the early years of observation only some of the distributors were active or, in any case, communicated their prices to the MISE fuel price observatory.</w:t>
      </w:r>
    </w:p>
    <w:p>
      <w:r>
        <w:t>10 BULLETIN NO. 13 OF APRIL 11, 2022</w:t>
        <w:br/>
        <w:t>Figure 1: average price and standard deviation of gasoline in Livigno 2014-2022</w:t>
        <w:br/>
        <w:t>Figure 2: average price and standard deviation of diesel in Livigno 2014-2022</w:t>
        <w:br/>
        <w:t>III.2. Documentary Evidence</w:t>
        <w:br/>
        <w:t>17. The information transmitted by the GDFB also includes a substantial amount of documentation obtained in the context of a criminal proceeding, in whose investigation file numerous pieces of evidence of systematic email exchanges between the former head of the tax office of the Municipality of Livigno (who, at present, is not an employee of any of the companies involved) and the fuel distribution companies in the area were found, within a time frame ranging from 2012 to 2019 (the date when such documentation was acquired), in which the former municipal employee indicated to the recipients, with an apparently weekly frequency5, the prices to be applied to the sale of fuels in the territory.</w:t>
        <w:br/>
        <w:t>18. The recipients of the price communications appear to be some managers of the sales points in Livigno, belonging to different companies and bearing the colors of different oil company brands (Eni-Agip, Q8, IP).</w:t>
        <w:br/>
        <w:t>19. The GDFB transmitted to the Authority some examples of such documentation, claiming to hold hundreds of emails of a similar nature, sent by the same individual to some of the reported companies, holders of sales points in the Livigno area. In particular, these documents attest how the sender, using a personal address (gmail), made regular communications of fuel prices by sending a weekly email to the same group of addresses, attributable in part to representatives of some of the fuel distribution companies operating in Livigno. It is believed that at least eight companies among those Parties to this proceeding may be involved in the exchange of price information via email6.</w:t>
        <w:br/>
        <w:t>20. This email, characterized by a rather standard structure, has as its subject “fuel prices from [start date]” and contains a very brief text, in which the sender announces to the recipients any variation in the prices to be applied during the period of interest (or, conversely, the invariance of the same prices for the period of interest), generally effective from the day following the date of sending the email. Following this text is a summary table (see Figure 1), in which the “updated” prices, the “previous” prices (presumably referring to the week), and the variation deducible from the comparison between these two values are indicated for each product (gasoline and diesel) (see Figure 1).</w:t>
        <w:br/>
        <w:t>Figure 3: exemplary email of price communications to the companies</w:t>
        <w:br/>
        <w:t>5 As reported by the GDFB.</w:t>
        <w:br/>
        <w:t>6 Certainly Bondi Carburanti, then two individuals who can be linked to the companies Global Service and Silroc, then two other individuals with an email address related to an industrial group to which the companies Cuscar, Trecar, Gescar, Cuba, and Fibo could refer as indicated in § 13.</w:t>
      </w:r>
    </w:p>
    <w:p>
      <w:r>
        <w:rPr>
          <w:b/>
        </w:rPr>
        <w:t>[Pages 10–12]</w:t>
      </w:r>
    </w:p>
    <w:p>
      <w:r>
        <w:t xml:space="preserve">12 BULLETIN NO. 13 OF APRIL 11, 2022  </w:t>
        <w:br/>
        <w:t xml:space="preserve">IV. EVALUATIONS  </w:t>
        <w:br/>
        <w:t xml:space="preserve">IV.1. The relevant markets  </w:t>
        <w:br/>
        <w:t xml:space="preserve">21. According to consistent case law, the definition of the relevant market in terms of agreements is essentially aimed at identifying the characteristics of the economic and legal context in which the agreement or the practice agreed upon between companies is situated. This definition is therefore functional to delineating the scope within which the agreement may restrict or distort the competitive mechanism and to defining its degree of offensiveness7.  </w:t>
        <w:br/>
        <w:t xml:space="preserve">22. The market for the distribution of fuels for road vehicles (distinct from that for the distribution of fuels for vehicles on the motorway network) does not present, in the constant practice of the Authority, a segmentation within itself based on the type of fuels offered. This approach is also motivated by the fact that almost all distributors offer all the main fuels for road vehicles. This is even more confirmed in the specific case, as the reported conduct mainly concerns the two most common products, namely gasoline and diesel8.  </w:t>
        <w:br/>
        <w:t xml:space="preserve">23. As for the geographical extent of the market, according to the most recent practice of the Authority, it is identified through a substantial criterion that provides for the construction of so-called catchment areas, that is, hypothetically traceable areas around each sales outlet and including all sales points that, due to distance or travel time, can be considered sufficiently substitutable by consumers with the sales point around which the catchment area is traced.  </w:t>
        <w:br/>
        <w:t xml:space="preserve">24. In particular, in the recent precedents of the Authority, especially in the matter of concentrations9, the positions of the Parties were evaluated within catchment areas with a radius of 20 km of road travel from the central sales point, a distance that was consistent with the available information. By adopting this radius, the reported sales points would indeed all be in competition with each other, as they are located much less than 20 km apart and are substantially concentrated near the town of Livigno and its immediate surroundings.  </w:t>
        <w:br/>
        <w:t xml:space="preserve">25. In the specific case, due to the particular tax regime enjoyed by fuel sales activities in the Livigno area, a radius of 20 km may prove unsuitable for a correct definition of the geographical scope of the relevant market. In fact, precisely because of the more advantageous prices, fuel distributors in Livigno could supply residents of neighboring areas located at a greater distance, as well as the numerous tourists who frequent the area (which, in addition to the ordinary tourist attractiveness associated with the mountainous environment, is affected, precisely because of the tax benefits, by flows of so-called "commercial tourism").  </w:t>
        <w:br/>
        <w:t xml:space="preserve">7 See, among others, Council of State, June 21, 2017, nos. 3057 and 3016, I782 - Tenders for the remediation and disposal of polluting and/or hazardous materials at the arsenals of Taranto, La Spezia, and Augusta: "The definition of the relevant market is not merely characterized in a geographical or spatial sense, but is also and above all related to the scope within which the anti-competitive intent has, or would have, the capacity to impact, so that 'in cases of restrictive agreements on competition, the definition of the relevant market is directly correlated to the context in which the collusive behavior among the involved companies is framed' and is subsequent to the identification of the agreement in its objective elements."  </w:t>
        <w:br/>
        <w:t xml:space="preserve">8 Only one of the distributors in the area, moreover, is active in the sale of LPG.  </w:t>
        <w:br/>
        <w:t>9 See measure no. 29824 of September 14, 2021, C12386 – Tamoil/Repsol and measure no. 26909 of December 20, 2017, C12131 – API/TotalErg.</w:t>
      </w:r>
    </w:p>
    <w:p>
      <w:r>
        <w:t xml:space="preserve">BULLETIN NO. 13 OF APRIL 11, 2022 13  </w:t>
        <w:br/>
        <w:t xml:space="preserve">26. If this circumstance were confirmed during the present investigation, an asymmetric substitutability situation could be envisioned, in which the distributors in Livigno - due to the favorable tax regime they enjoy - could represent a competitive constraint even for distributors located more than 20 km away and, conversely, not be constrained by the presence of such other distributors (which, in addition to the distance, are burdened by ordinary tax obligations).  </w:t>
        <w:br/>
        <w:t xml:space="preserve">IV.2. The qualification of the agreement  </w:t>
        <w:br/>
        <w:t xml:space="preserve">27. Based on the above, it is possible to hypothesize the existence of a restrictive agreement on competition among the companies managing the fuel sales points in the Livigno area, concerning the fixing of fuel sale prices, in possible violation of art. 2 of law 287/1990. It should also be noted that, since some companies are held by the same individuals (Cuscar, Trecar, Gescar, Cuba, and Fibo), it cannot be excluded that, during the investigation, the companies may be grouped into broader interest groups (for example, of a familial type).  </w:t>
        <w:br/>
        <w:t xml:space="preserve">28. In particular, the factual evidence on price trends shows the existence of a substantially perfect parallelism among all fuel distribution plants located in the territory of Livigno.  </w:t>
        <w:br/>
        <w:t xml:space="preserve">29. Additionally, there is a substantial amount of documentation represented by exchanges of messages involving at least eight of the companies that are Parties to the proceedings, which seems interpretable as evidence of an explicit concertation regarding the determination of future prices practiced by the aforementioned plants, for the entire period 2012-2019. Both the number and the tone of the emails - for example, the circumstance that they also take care to report on the lack of price changes (also providing a summary table in this case) - indeed lead to hypothesize that such exchanges reflect the existence of a structured and well-tested agreement among the operators.  </w:t>
        <w:br/>
        <w:t xml:space="preserve">30. The observation of market outcomes, moreover, seems to suggest that such coordination may still be ongoing. Even though the latest available emails are from 2019, a perfect parallelism between the price decisions of the reported operators can still be observed.  </w:t>
        <w:br/>
        <w:t xml:space="preserve">THEREFORE CONSIDERING that the described conduct, carried out by Cus.Car. S.r.l., Tre.Car. S.r.l., Ges.Car. S.r.l., Cu.Ba. S.r.l., Fibo S.r.l., C-Energia S.r.l., Market S-Anton di Compagnoni Virgilio &amp; C. SAS, G.M.F. S.r.l., Bondi Carburanti di Bormolini Luigi S.r.l., Silroc S.r.l. and Global Service S.r.l. or more briefly Global S.r.l. may constitute an agreement in violation of art. 2 of law 287/1990;  </w:t>
        <w:br/>
        <w:t xml:space="preserve">RESOLVES  </w:t>
        <w:br/>
        <w:t>a) to initiate the investigation, pursuant to article 14 of law no. 287/90, against Cus.Car. S.r.l., Tre.Car. S.r.l., Ges.Car. S.r.l., Cu.Ba. S.r.l., Fibo S.r.l., C-Energia S.r.l., Market S-Anton di Compagnoni Virgilio &amp; C. SAS, G.M.F. S.r.l., Bondi Carburanti di Bormolini Luigi S.r.l., Silroc S.r.l. and Global Service S.r.l., or more briefly "Global S.r.l.", to ascertain the existence of possible violations of article 2 of law 287/90;</w:t>
      </w:r>
    </w:p>
    <w:p>
      <w:r>
        <w:t xml:space="preserve">14 BULLETIN NO. 13 OF APRIL 11, 2022  </w:t>
        <w:br/>
        <w:t xml:space="preserve">b) the establishment of a 45-day period starting from the notification of this provision for the exercise by the legal representatives of the parties of the right to be heard, specifying that the request for a hearing must be received by the Energy and Basic Industry Directorate of this Authority at least 15 days before the expiration of the aforementioned period;  </w:t>
        <w:br/>
        <w:t xml:space="preserve">c) that the person responsible for the procedure is Dr. Giuseppe Quinto;  </w:t>
        <w:br/>
        <w:t xml:space="preserve">d) that the documents of the procedure can be reviewed at the Energy and Basic Industry Directorate of this Authority by the legal representatives of the parties, as well as by a person delegated by them;  </w:t>
        <w:br/>
        <w:t xml:space="preserve">e) that the procedure must be concluded by June 30, 2023.  </w:t>
        <w:br/>
        <w:t xml:space="preserve">This provision will be notified to the interested parties and published in the Bulletin of the Competition and Market Authority.  </w:t>
        <w:br/>
        <w:t xml:space="preserve">THE SECRETARY GENERAL THE PRESIDENT  </w:t>
        <w:br/>
        <w:t>Guido Stazi Roberto Rustichelli</w:t>
      </w:r>
    </w:p>
    <w:p>
      <w:r>
        <w:rPr>
          <w:b/>
        </w:rPr>
        <w:t>[Pages 13–15]</w:t>
      </w:r>
    </w:p>
    <w:p>
      <w:r>
        <w:t>BULLETIN NO. 13 OF APRIL 11, 2022 15</w:t>
        <w:br/>
        <w:t>A550 - ORIGINAL MARINES FRANCHISING CHAIN</w:t>
        <w:br/>
        <w:t>Measure no. 30084</w:t>
        <w:br/>
        <w:t>THE COMPETITION AND MARKET AUTHORITY</w:t>
        <w:br/>
        <w:t>IN ITS MEETING of April 5, 2022;</w:t>
        <w:br/>
        <w:t>HEARD the Rapporteur, President Roberto Rustichelli;</w:t>
        <w:br/>
        <w:t>HAVING REGARD TO Law No. 287 of October 10, 1990 and, in particular, Article 14-ter;</w:t>
        <w:br/>
        <w:t>HAVING REGARD TO the Decree of the President of the Republic No. 217 of April 30, 1998;</w:t>
        <w:br/>
        <w:t>HAVING REGARD TO Law No. 192 of June 18, 1998 and, in particular, Article 9;</w:t>
        <w:br/>
        <w:t>HAVING REGARD TO the "Communication on the application procedures of Article 14-ter of Law No. 287 of October 10, 1990," adopted in the meeting of September 6, 2012 and published in the Bulletin of September 17, 2012, No. 35;</w:t>
        <w:br/>
        <w:t>HAVING REGARD TO its measure of December 3, 2021, No. 29930, with which an investigation was initiated pursuant to Article 9, paragraph 3-bis, of Law No. 192 of June 18, 1998 and Article 14 of Law No. 287 of October 10, 1990, against the company Original Marines S.p.A. (hereinafter also OM), in relation to conduct applied towards its network of affiliates;</w:t>
        <w:br/>
        <w:t>HAVING REGARD TO the communication of March 10, 2022, with which the company OM submitted commitments, pursuant to Article 14-ter of Law No. 287/90, according to the methods indicated in the specific "Form for the submission of commitments pursuant to Article 14-ter of Law No. 287/90," consisting, in summary, of the following measures related to the modification of OM's contractual model:</w:t>
        <w:br/>
        <w:t>- Commitment No. 1: modification of Articles 8.1 and 8.2 of the franchise contracts, at the request of the franchisor, in order to eliminate purchase constraints related to the minimum quantity and type of products to be purchased;</w:t>
        <w:br/>
        <w:t>- Commitment No. 2: inclusion in the franchise contracts of paragraph 8.2-bis, at the request of the franchisor, in order to clarify that restocking is carried out only at the request of the franchisee and without minimum purchase obligations, with the option to adopt forms of automatic restocking;</w:t>
        <w:br/>
        <w:t>- Commitment No. 3: modification of Article 9.1 of the franchise contracts in order to clarify that the franchisee is free to determine the resale price, without prejudice to the franchisor's ability to develop a recommended price list;</w:t>
        <w:br/>
        <w:t>- Commitment No. 4: modification of Article 9.2 of the franchise contracts in order to clarify the decision-making autonomy of the franchisee with respect to the implementation of promotional campaigns;</w:t>
        <w:br/>
        <w:t>CONSIDERING that the commitments presented, as a whole, do not appear manifestly unfounded and are such as to be susceptible to publication, without prejudice to any assessment by the Authority regarding their suitability to resolve the issues raised at the outset;</w:t>
        <w:br/>
        <w:t>THEREFORE CONSIDERED, to order the publication of the aforementioned commitments presented by OM, so that interested third parties may express their observations;</w:t>
      </w:r>
    </w:p>
    <w:p>
      <w:r>
        <w:t>16 BULLETIN NO. 13 OF APRIL 11, 2022</w:t>
        <w:br/>
        <w:t>RESOLUTION</w:t>
        <w:br/>
        <w:t>a) to publish on April 7, 2022, on the Authority's website, the aforementioned commitments, attached to this measure, which constitute an integral part thereof, presented by the company Original Marines S.p.A., pursuant to Article 14-ter of Law No. 287/90;</w:t>
        <w:br/>
        <w:t>b) that any observations on the commitments presented by the company Original Marines S.p.A. must be submitted in writing, no later than May 9, 2022, to the Directorate General for Competition – Manufacturing and Services, Piazza G. Verdi, 6/A, 00198 Rome, tel. 06/85821.266, pec: protocollo.agcm@pec.agcm.it;</w:t>
        <w:br/>
        <w:t>c) that any representations by Original Marines regarding its position in relation to the observations submitted by third parties on the commitments, as well as any introduction of accessory modifications to them, must be submitted in writing to the Authority no later than June 8, 2022.</w:t>
        <w:br/>
        <w:t>THE SECRETARY GENERAL THE PRESIDENT</w:t>
        <w:br/>
        <w:t>Guido Stazi Roberto Rustichelli</w:t>
      </w:r>
    </w:p>
    <w:p>
      <w:r>
        <w:t>BULLETIN NO. 13 OF APRIL 11, 2022 17</w:t>
        <w:br/>
        <w:t>CONCENTRATION OPERATIONS</w:t>
        <w:br/>
        <w:t>C12434 - CAPGEMINI FINANCE TECH/BRANCH OF BANCA NAZIONALE DEL LAVORO</w:t>
        <w:br/>
        <w:t>Measure no. 30074</w:t>
        <w:br/>
        <w:t>THE COMPETITION AND MARKET AUTHORITY</w:t>
        <w:br/>
        <w:t>IN ITS MEETING of March 22, 2022;</w:t>
        <w:br/>
        <w:t>HEARD the Rapporteur, Professor Elisabetta Iossa;</w:t>
        <w:br/>
        <w:t>HAVING REGARD TO Law No. 287 of October 10, 1990;</w:t>
        <w:br/>
        <w:t>HAVING REGARD TO the D.P.R. No. 217 of April 30, 1998;</w:t>
        <w:br/>
        <w:t>HAVING REGARD TO the communication from Capgemini Finance Tech S.r.l., received on February 28, 2022;</w:t>
        <w:br/>
        <w:t>HAVING REGARD TO the documentation on file;</w:t>
        <w:br/>
        <w:t>CONSIDERING the following:</w:t>
        <w:br/>
        <w:t>I. THE PARTIES</w:t>
        <w:br/>
        <w:t>1. Capgemini Finance Tech S.r.l. (hereinafter, CFT), is a new company established for the purpose of carrying out the concentration operation in question, wholly owned by Capgemini Italia S.p.A., a company active in high value-added business consulting that provides integrated business services, with a particular focus on the digital and business transformation of its clients. The latter is in turn controlled by Capgemini S.E., a European company with its registered office in Paris, operating through the eponymous group (hereinafter, the Acquiring Group), and by Altran Technologies SAS, a company active in engineering and technological consulting, 100% owned by Capgemini S.E. In 2020, the consolidated revenue generated worldwide by the Acquiring Group was approximately [10-20]* billion euros, of which approximately [511-700] million euros generated in Italy.</w:t>
        <w:br/>
        <w:t>2. Banca Nazionale del Lavoro S.p.A. (hereinafter, BNL) is an Italian banking institution subject to direction and coordination by the sole shareholder BNP Paribas S.A., based in Paris, which operates at the head of the eponymous banking group mainly in three areas of activity: traditional banking activities (savings collection and loans), financial services, and insurance products. BNL is active nationwide with a network of approximately 700 branches located in all Italian regions. The subject of acquisition is a Branch of Business (hereinafter, also the Target or Branch of Business) of BNL consisting of the organized, autonomous, and functional complex of all human resources, assets, and contractual relationships related to the operational management of IT application services necessary for the provision of banking services.</w:t>
        <w:br/>
        <w:t>* In this version, some data are omitted, as elements of confidentiality or secrecy of the information were deemed to exist.</w:t>
      </w:r>
    </w:p>
    <w:p>
      <w:r>
        <w:rPr>
          <w:b/>
        </w:rPr>
        <w:t>[Pages 16–18]</w:t>
      </w:r>
    </w:p>
    <w:p>
      <w:r>
        <w:t>18 BULLETIN NO. 13 OF APRIL 11, 2022</w:t>
        <w:br/>
        <w:t>integrated for the final customers of BNL. The Parties estimated1 that the annual revenue attributable to the aforementioned business branch is approximately [31-100] million euros2 and that it has been entirely generated in Italy.</w:t>
        <w:br/>
        <w:t>II. DESCRIPTION OF THE OPERATION</w:t>
        <w:br/>
        <w:t>3. The communicated Operation consists of the acquisition, by CFT, of exclusive control of the Business Branch, following the award of a competitive procedure initiated by BNL for the outsourcing of Information Technology (hereinafter, IT services) related to the operational management of certain integrated banking services, currently managed in-house.</w:t>
        <w:br/>
        <w:t>4. As communicated by the Parties, they have agreed, within the outsourcing contract, on a non-exclusive supply obligation in favor of BNL, with a duration of ten years, which may be extended. Regarding the aforementioned service supply agreement, the Parties have represented, on one hand, the accessory nature of the same as it aims to ensure the continuity of supply of the services in question and, on the other hand, have justified its duration based on the assessment of the time necessary for BNL to find any alternative suppliers that possess the necessary technology and know-how, also in light of the cyber-security profiles related to the use of the software necessary for the provision of the IT services subject to the outsourcing contract.</w:t>
        <w:br/>
        <w:t>III. QUALIFICATION OF THE OPERATION</w:t>
        <w:br/>
        <w:t>5. The communicated operation constitutes a concentration pursuant to Article 5, paragraph 1, letter b), of Law No. 287/90, as it aims at acquiring exclusive control of part of a company. It falls within the scope of application of Law No. 287/90, as the conditions set out in Article 1 of Regulation EC 139/2004 do not apply, and it is subject to the obligation of prior notification provided for by Article 16, paragraph 1, of the same law as the total revenue generated, in the last financial year at the national level, by the group of companies involved exceeded 511 million euros and the total revenue generated, in the last financial year at the national level, by at least two of the companies involved exceeded 31 million euros. The supply agreement in question can be qualified as accessory to the communicated concentration to the extent that it is directly connected to its realization or necessary for it3. In particular, in this case, the aforementioned agreement can be considered accessory to the present operation to the extent that it aims to ensure the continuity of supply, in favor of BNL, of the outsourced services, but must be limited, as to duration, to five years in order to allow the Business Branch to acquire a position of autonomy in the market4.</w:t>
        <w:br/>
        <w:t>1 See case C11084 – Ericsson Telecomunicazioni/Business Branch of Vodafone Omnitel.</w:t>
        <w:br/>
        <w:t>2 [Omitted].</w:t>
        <w:br/>
        <w:t>3 See paragraph 32 of the "Commission Communication on restrictions directly related and necessary to concentrations (O.J. EU 2005/C-56/03 of March 5, 2005)."</w:t>
        <w:br/>
        <w:t>4 See paragraph 33 of the "Commission Communication on restrictions directly related and necessary to concentrations (O.J. EU 2005/C-56/03 of March 5, 2005)."</w:t>
      </w:r>
    </w:p>
    <w:p>
      <w:r>
        <w:t>BULLETIN NO. 13 OF APRIL 11, 2022 19</w:t>
        <w:br/>
        <w:t>IV. ASSESSMENT OF THE CONCENTRATION</w:t>
        <w:br/>
        <w:t>6. The operation in question concerns the market for IT services.</w:t>
        <w:br/>
        <w:t>The relevant market: Information Technology</w:t>
        <w:br/>
        <w:t>7. IT Services can be segmented considering the type of services, as well as the characteristics of the sectors in which the customers operate5.</w:t>
        <w:br/>
        <w:t>8. As highlighted in numerous precedents of the Authority6, the high rate of innovation and the rapid and constant technological evolution that characterize the IT sector make it not always easy to draw a clear demarcation between the different markets (and even more so between the segments) that this sector comprises.</w:t>
        <w:br/>
        <w:t>9. The companies operating in this sector tend, in fact, to offer a multitude of services, adapting their offerings to the same technological evolution, demand, and customer needs.</w:t>
        <w:br/>
        <w:t>10. More generally, within IT services, the European Commission has identified seven segments that identify a plurality of IT services directed at businesses7. These include, in particular, services for: (i) IT management, for the use of specific skills to create and optimize business processes and information flows; (ii) transaction IT management, for transactions that require IT support; (iii) consulting for the analysis and improvement of technological strategies; (iv) software development, to develop and integrate solutions into existing infrastructures; (v) software maintenance, for the maintenance of products (operating systems, software applications, etc.) and technical assistance (also online or by phone); (vi) hardware maintenance, to optimize systems through installation, maintenance, and technical assistance of hardware components; (vii) training and education, for the transfer of knowledge outside of professional training.</w:t>
        <w:br/>
        <w:t>11. These segments can further be subdivided into groups of services and are characterized by high fragmentation and substitutability on the supply side, also considering that IT service providers generally offer a more or less wide range of different services in packages that may involve all or some of the aforementioned segments. In this case, moreover, a further segmentation of the market can be carried out based on the characteristics of the target sector, namely the banking sector8.</w:t>
        <w:br/>
        <w:t>12. Based on the information provided, regarding the target sector, the Target limits its commercial offering to the sub-markets related to software development and software maintenance, in which the Acquiring Group is also operational, which is also present in the segments related to IT management and consulting.</w:t>
        <w:br/>
        <w:t>5 See, among others, Authority Measure No. 28331 of August 4, 2020, case C12312 – OEP 14 COOPERATIEF U.A./TECHEDGE, in Bull. No. 34/2020; Authority Measure No. 26818 of October 25, 2017, case C12119 – Engineering Ingegneria Informatica/Infogroup Informatica e Servizi Telematici, in Bull. No. 43/2017; European Commission Decision of June 19, 2013, case M.6921 – IBM Italia/UBIS.</w:t>
        <w:br/>
        <w:t>6 See, among others, Authority Measure No. 24851 of March 27, 2014, case C11943 – ICCREA Holding/I.S.I.D.E., in Bull. No. 15/2014; Authority Measure No. 23925 of September 27, 2012, case C11772 – Accenture Sub/Octagon Research Solution, in Bull. No. 39/12.</w:t>
        <w:br/>
        <w:t>7 See the cases: M.7458 – IBM/INF Business of Deutsche Lufthansa; M.9205 – IBM/Red Hat; M.6921 – IBM Italia/UBIS; M.6237 – Computer Sciences Corporation/Isoft Group; M.6127 – Atos Origin/Siemens It Solutions &amp; Services; M.5666 – Xerox/Affiliated Computer Services; M.5301 – CAP Gemini/BAS; M.2946 – IBM/PWC Consulting.</w:t>
        <w:br/>
        <w:t>8 See Authority Measure No. 26473 of March 14, 2017, case C12088 – Istituto Centrale Delle Banche Popolari Italiane/Bassilichi, in Bull. No. 12/2017.</w:t>
      </w:r>
    </w:p>
    <w:p>
      <w:r>
        <w:t>20 BULLETIN NO. 13 OF APRIL 11, 2022</w:t>
        <w:br/>
        <w:t>13. In particular, within the overall market for IT services, according to what has been communicated by the Parties, the Target registers a market share of [less than 1%], while the Acquiring Group has approximately [1-5%]. As for the respective segments into which the market in question is divided, according to what reported by the Parties, the Target and the Acquiring Group register, in the two sectors in which they are both operational, namely software development and software maintenance, a share of approximately [less than 1%] and approximately [5-10%], regarding the first, and approximately [1-5%] and [10-15%], regarding the second. Finally, regarding the remaining segments in which only the Acquiring Group operates, namely those related to IT management and consulting, the shares recorded by the latter are approximately [less than 1%] and approximately [1-5%].</w:t>
        <w:br/>
        <w:t>14. Furthermore, if we further segment the relevant market based on the services specifically directed at the banking sector, in which both the Target and the Acquiring Group operate, the former registers a market share of approximately [1-5%], while the latter is approximately [1-5%].</w:t>
        <w:br/>
        <w:t>15. From a geographical perspective, finally, it is deemed appropriate to leave the definition of the market open and, in particular, whether this market is national or broader, as in both configurations there would be no detrimental effects on competition.</w:t>
        <w:br/>
        <w:t>Effects of the operation</w:t>
        <w:br/>
        <w:t>16. Based on the information provided during the notification, within Information Technology, in 2020, at the national level, the Target registers a market share of [less than 1%], while the Acquiring Group has approximately [1-5%]. Therefore, following the operation, the share of the Acquiring Party, while increasing, will still be marginal in value, settling at a percentage share of approximately [1-5%].</w:t>
        <w:br/>
        <w:t>17. Furthermore, also concerning the segments in which the Parties are both operational, namely those of software development and software maintenance, following the operation, the cumulative shares held by the Acquiring Party in the same will be approximately [5-10%] and [10-15%], respectively, which will experience a modest increase in value, as the shares of the Target are approximately [less than 1%] and approximately [1-5%]. Therefore, even in the aforementioned markets, where there is an overlap between the Parties, the operation, while allowing for a limited consolidation, in value, of the share held by the Acquiring Group, will not alter the current market structures.</w:t>
        <w:br/>
        <w:t>18. Similar considerations also apply to the further sub-segment of IT services specifically directed at the banking sector, in which both Parties operate, where, following the operation, the Acquiring Group will register a market share of approximately [5-10%], the value of which, while allowing for an improvement in the specific weight of the latter in this segment, is not suitable to alter the current market structures.</w:t>
        <w:br/>
        <w:t>19. Regarding the competitive context, it should be noted that, based on the information provided by the Parties, numerous qualified competitors operate in the relevant markets with market shares exceeding those held by the Parties, such as, for example, Nexi S.p.A., Accenture S.p.A., IBM, Engineering Ingegneria Informatica S.p.A..</w:t>
        <w:br/>
        <w:t>20. In conclusion, considering the market shares held by the interested Parties, the limited overlap of their areas of activity, and the presence of significant competitors,</w:t>
      </w:r>
    </w:p>
    <w:p>
      <w:r>
        <w:rPr>
          <w:b/>
        </w:rPr>
        <w:t>[Pages 19–21]</w:t>
      </w:r>
    </w:p>
    <w:p>
      <w:r>
        <w:t>BULLETIN NO. 13 OF APRIL 11, 2022 21</w:t>
        <w:br/>
        <w:t>the operation under examination does not appear likely to substantially alter the structure and competitive dynamics of the relevant markets.</w:t>
        <w:br/>
        <w:t>CONSIDERED, therefore, that the operation under examination does not entail, pursuant to Article 6, paragraph 1, of Law No. 287/90, the establishment or strengthening of a dominant position in the ICT services market, and its possible further delimitations, such as to eliminate or substantially and durably reduce competition;</w:t>
        <w:br/>
        <w:t>CONSIDERED, furthermore, that the supply agreements between the Parties are ancillary to this operation only to the extent described above and that the Authority reserves the right to evaluate, where the prerequisites exist, the aforementioned agreements that are realized beyond the limits indicated therein;</w:t>
        <w:br/>
        <w:t>RESOLVES</w:t>
        <w:br/>
        <w:t>not to initiate the investigation referred to in Article 16, paragraph 4, of Law No. 287/90.</w:t>
        <w:br/>
        <w:t>The above conclusions will be communicated, pursuant to Article 16, paragraph 4, of Law No. 287/90, to the interested companies and to the Minister of Economic Development.</w:t>
        <w:br/>
        <w:t>This provision will be published in the Bulletin of the Competition and Market Authority.</w:t>
        <w:br/>
        <w:t>THE SECRETARY GENERAL THE PRESIDENT</w:t>
        <w:br/>
        <w:t>Guido Stazi Roberto Rustichelli</w:t>
      </w:r>
    </w:p>
    <w:p>
      <w:r>
        <w:t>22 BULLETIN NO. 13 OF APRIL 11, 2022</w:t>
        <w:br/>
        <w:t>REPORTING AND CONSULTATIVE ACTIVITIES</w:t>
        <w:br/>
        <w:t>AS1823 – CONSIP - TENDER FOR THE SUPPLY OF LAPTOPS, MOBILE WORKSTATIONS, AND CHROMEBOOKS FOR PUBLIC ADMINISTRATIONS</w:t>
        <w:br/>
        <w:t>Rome, January 21, 2022</w:t>
        <w:br/>
        <w:t>Ministry of Economy and Finance</w:t>
        <w:br/>
        <w:t>With reference to the request for an opinion formulated by the Ministry of Economy and Finance with note prot. no. 0149306 of December 30, 2021, regarding the Consip tender for the conclusion of a Framework Agreement concerning the purchase supply of Portable Personal Computers, Mobile Workstations, and Chromebooks and related and optional products and services for Public Administrations, the Competition and Market Authority, in its meeting of January 18, 2022, resolved to carry out, pursuant to Article 22 of Law No. 287 of October 10, 1990, the considerations set forth below.</w:t>
        <w:br/>
        <w:t>Preliminarily, appreciation is expressed for the objective pursued by the tender to provide Public Administrations with products and services whose reference technologies, functional to the digitization of the mentioned sector, are multiple and diverse. In this specific case, this aspect assumes particular relevance also in light of the fact that the procedure in question also allows the use of funds from the National Recovery and Resilience Plan dedicated to the so-called "digital transition": therefore, it is extremely necessary, in this context, to ensure a range of products and services suitable to guarantee an efficient allocation of the aforementioned resources. The offering of multiple and diverse technologies is, in fact, of strategic relevance as it is capable of: (i) responding to the multiple and differentiated needs of the Administrations; (ii) allowing the Public Administration as a whole to try different solutions and verify their effectiveness in relation to specific needs; (iii) containing the risks of technological lock-in; (iv) incentivizing competition among technology developers in terms of both costs and performance; (v) ensuring an effective allocation of PNRR funds.</w:t>
        <w:br/>
        <w:t>With specific reference to the object of the procedure, the creation of a digital ecosystem, capable of allowing the sector in question to operate efficiently and in line with the directives issued by the competent Administrations, especially in a phase of digital transition, such as the current one, can benefit from the use of so-called "open source" resources, instead of resorting to "closed" solutions regarding proprietary standards. In this perspective, it seems necessary to ensure that all devices subject to the tender allow the use of open source applications.</w:t>
        <w:br/>
        <w:t>Regarding the tender procedure, it is noted that the awarding of the framework agreement to all eligible participants, according to the requirements and participation methods defined in the tender, who offer a catalog of qualified services, that is, meeting the minimum requirements indicated for the individual services in the same tender, does not involve a comparative selection of participants in the first phase.</w:t>
        <w:br/>
        <w:t>In support of the choice to award the framework agreement to all eligible participants who submit offers meeting the minimum requirements set out in the tender, Consip has highlighted that the tender procedure, through the proposed catalog structure, allows for wide flexibility and customization of the offered models, and is therefore able to enhance the differentiation of products even in relation to qualitative elements, which may be considered by Public Administrations in the second phase (both through the configurator and in the context of competitive relaunch). The creation of a catalog of goods and services is therefore aimed at ensuring a differentiation of the offer, even in terms of technology. However, in order for the breadth of choice to be compatible with effective competition, there is a need to impose a greater level of transparency and detail on the objective conditions governing recourse to competitive relaunch. The latter, in fact, while being linked to commendable needs for "improvement" of the performance required by Public Administrations, appear anchored to generic criteria, thus lending themselves to making particularly widespread recourse to the direct order of goods and services that, as noted above, are included in the catalog based on mere satisfaction of minimum requirements, without incisive competitive selection.</w:t>
        <w:br/>
        <w:t>Finally, still with reference to the procedure, in light of the limitations provided regarding the distribution capacity of participants in the case of recourse to direct orders, Consip is invited to treat with the utmost confidentiality the information of companies regarding the limitation of distribution capacity, in order not to pre-establish an element likely to facilitate collusion among operators.</w:t>
        <w:br/>
        <w:t>The Authority trusts that the considerations expressed above may be useful in the definition of the tender for the supply of the products in question.</w:t>
        <w:br/>
        <w:t>In any case, the Authority reserves the right to evaluate the published tender as well as the outcomes of the tender, should elements emerge during its conduct that could configure anti-competitive illicit behavior.</w:t>
      </w:r>
    </w:p>
    <w:p>
      <w:r>
        <w:rPr>
          <w:b/>
        </w:rPr>
        <w:t>[Pages 22–24]</w:t>
      </w:r>
    </w:p>
    <w:p>
      <w:r>
        <w:t xml:space="preserve">24 BULLETIN NO. 13 OF APRIL 11, 2022  </w:t>
        <w:br/>
        <w:t xml:space="preserve">This opinion will be published in the bulletin referred to in Article 26 of Law No. 287/90 following the publication of the tender notice.  </w:t>
        <w:br/>
        <w:t xml:space="preserve">THE PRESIDENT  </w:t>
        <w:br/>
        <w:t>Roberto Rustichelli</w:t>
      </w:r>
    </w:p>
    <w:p>
      <w:r>
        <w:t xml:space="preserve">BULLETIN NO. 13 OF APRIL 11, 2022 25  </w:t>
        <w:br/>
        <w:t xml:space="preserve">AS1824 - COMPETITION REFORM PROPOSALS RELATING TO THE ELECTRICITY AND INTEGRATED WATER SERVICE SECTORS FOR THE ANNUAL LAW ON THE MARKET AND COMPETITION FOR THE YEAR 2022  </w:t>
        <w:br/>
        <w:t xml:space="preserve">Rome, March 31, 2022  </w:t>
        <w:br/>
        <w:t xml:space="preserve">President of the Council of Ministers  </w:t>
        <w:br/>
        <w:t xml:space="preserve">I. INTRODUCTION  </w:t>
        <w:br/>
        <w:t xml:space="preserve">The Competition and Market Authority, in compliance with the provisions of Article 47, paragraph 2, of Law No. 99 of July 23, 2009, sends this report to the Government for the preparation of the annual bill for the market and competition.  </w:t>
        <w:br/>
        <w:t xml:space="preserve">This report takes into account the objectives of the National Recovery and Resilience Plan (PNRR) and the invitation addressed to the Authority to indicate further measures necessary to overcome regulatory, administrative, and legislative obstacles to market opening to be included in a new competition law for 20221.  </w:t>
        <w:br/>
        <w:t xml:space="preserve">In this perspective, the report first addresses the issues of the development plan for the electricity network and the promotion of the dissemination of second-generation smart meters, which have already been the subject of report AS1730 "Competition reform proposals for the annual law on the market and competition for the year 2021" dated March 22, 20212. Secondly, the Authority intends to focus on certain competition-related issues closely connected to achieving the objectives and targets identified by the PNRR: i) the completion of the process of exiting the greater protection regime for the retail supply of electricity, particularly with attention to domestic consumers and the relationships with the recent establishment of the category of so-called "vulnerable customers" to whom regulated conditions must be guaranteed even after the end of greater protection; ii) the process of defining the governance of the integrated water service in some regions of Southern Italy and the concrete risks, in those areas, of not being able to access the funds provided by the PNRR for investments in the water sector in case of its incomplete fulfillment in the short term.  </w:t>
        <w:br/>
        <w:t xml:space="preserve">When, in March 2021, the Authority made its last proposals for an annual competition law3, the country was in the midst of a pandemic emergency and the inflationary recovery on energy prices and raw materials was not yet on the horizon; the PNRR had not yet been approved by the European Commission and there was no international attention to the geopolitical tensions at the eastern borders of Europe. The debate focused on economic measures aimed at overcoming the pandemic shock and, in this perspective, the Authority's proposals were directed at enhancing pro-competitive measures. A year later, the situation has completely changed. Since June 2021, there has been a significant increase in natural gas prices and, consequently, in electricity prices (as well as in fuels for transportation); the Government has had to intervene numerous times to mitigate the effect of this price tension on the bills of businesses and families. Furthermore, since the end of February 2022, Europe has been facing an unprecedented political-military crisis, with effects that amplify the pre-existing inflationary tensions on energy and raw material costs; moreover, the PNRR is fully operational, the first European funds have been disbursed, and the public administrations involved are proceeding with the publication of notices and tenders for the selection of projects and works to which to grant contributions.  </w:t>
        <w:br/>
        <w:t xml:space="preserve">All of this, in addition to characterizing the exceptional nature of the moment, leads the Authority, with particular reference to the proposals that will be formulated regarding the electricity sector, to address issues that concern different phases of the electricity supply chain (transmission, distribution, retail sale) in a unified perspective aimed at allowing a long-term reduction of the tension on wholesale and retail energy prices. This approach is entirely consistent with that of the latest communication from the European Commission COM (2022) 108 final of March 8, 20224, which precisely on the basis of the exceptional nature of the moment, and anticipating a series of initiatives that will soon be taken at the European level, sets out a series of measures to: i) reduce Europe's dependence on fossil sources, and in particular on natural gas purchased from countries with higher geopolitical risk; ii) develop new energy generation capacity from renewable sources and use biogas and green hydrogen instead of fossil gas; iii) adapt network and energy storage infrastructures to the growth of generation capacity from renewable sources; iv) promote energy efficiency and savings, demand aggregation, and distributed generation.  </w:t>
        <w:br/>
        <w:t xml:space="preserve">All these initiatives impact the three issues related to the electricity sector addressed in this report: i) the development and enhancement of networks, both of national importance (energy transmission) and at the local level (energy distribution), are a fundamental precondition for the development of renewable energies and for the development of active demand management and microgeneration methods for network balancing, which represent further ways to make the national electricity system more independent and reduce dependence on foreign gas; ii) the development of second-generation smart meters, in this perspective,  </w:t>
        <w:br/>
        <w:t xml:space="preserve">3 See AS1730 cited.  </w:t>
        <w:br/>
        <w:t>4 See Communication from the Commission to the European Parliament, the European Council, the Council, the European Economic and Social Committee, and the Committee of the Regions "REPowerEU: a common European action for safer, more sustainable, and more affordable energy."</w:t>
      </w:r>
    </w:p>
    <w:p>
      <w:r>
        <w:rPr>
          <w:b/>
        </w:rPr>
        <w:t>[Pages 25–27]</w:t>
      </w:r>
    </w:p>
    <w:p>
      <w:r>
        <w:t>BULLETIN NO. 13 OF APRIL 11, 2022 27</w:t>
        <w:br/>
        <w:t>will allow sellers to make dynamic pricing offers (differentiated by time slots), making virtuous demand behaviors easier, in favor of the rationalization and reduction of consumption (so-called demand response); iii) the definitive transition to the free market for domestic consumers, leaving the option of regulated pricing solely to so-called vulnerable customers, could contribute to the proliferation of differentiated offers to the end consumer based on consumption profiles, stimulating both energy savings and efficiency objectives as well as a more competitive structure in the retail market.</w:t>
      </w:r>
    </w:p>
    <w:p>
      <w:r>
        <w:t>From a different perspective, the report draws the Government's attention to the issue of accessibility to PNRR funds for the adaptation of water networks in some southern regions where the process of defining the governance structure of the so-called integrated water service has not yet been completed. The failure to identify a fully operational single manager could prevent many Water Management Authorities present in the territory from submitting projects to compete for the allocation of European funds. This outcome risks nullifying the opportunity offered by the PNRR to reduce (and potentially eliminate) what is referred to as the Water Service Divide between the Central-Northern areas and those of Southern Italy.</w:t>
      </w:r>
    </w:p>
    <w:p>
      <w:r>
        <w:t>More generally, it is hoped that the interventions proposed in this Report will strengthen the conviction that, especially in times of severe crisis like the current one, the choices to open energy markets are considered irrevocable. To this end, it must be believed that the two major objectives set before European countries for the next ten years – decarbonization (also through the development of forms of distributed generation and the active role of demand) and reduction of dependence on foreign fossil sources – in addition to being closely linked to each other, are much more easily achievable in a market context and with price signals that guide the choices of operators and consumers, rather than through the persistence (or even reintroduction) of pervasive price regulation mechanisms.</w:t>
      </w:r>
    </w:p>
    <w:p>
      <w:r>
        <w:t>II. THE DEVELOPMENT OF ELECTRICITY NETWORK INFRASTRUCTURES</w:t>
        <w:br/>
        <w:t>a. Network infrastructures, market power, and decarbonization objectives</w:t>
        <w:br/>
        <w:t>The deficiencies in electricity transmission network infrastructures can lead to situations of local market power, where congestion occurs at transmission nodes that limit the capacity of a specific geographical area to accommodate energy from nearby areas and hinder access to the market for more efficient producers than those present in the area, complicating the management of plants powered by renewable energy sources that are inherently non-programmable. The potential persistence of such deficiencies thus represents an obstacle to the full unfolding of competition in electricity markets and the services demanded by the transmission system operator (or Transmission System Operator, TSO), as already represented by the Authority in its Report on the annual law for the year 2021 (AS1730)5. The need to stimulate investments for the adaptation of transmission network infrastructures is particularly relevant, especially considering both the current situation of severe energy price crisis and the stringent European decarbonization objectives, diversification of supply sources, and pursuit of energy independence (see 5 Cfr. note 2.</w:t>
      </w:r>
    </w:p>
    <w:p>
      <w:r>
        <w:t>28 BULLETIN NO. 13 OF APRIL 11, 2022</w:t>
        <w:br/>
        <w:t>in this regard, the aforementioned EU communication on energy security of March 8, 20226). Network enhancements make Terna S.p.A.'s interventions in dispatching service markets less necessary and thus tend to lower the related component in the transmission tariff7. The need for enhancement of the transmission network is also strongly posed to increase the share of electricity produced using renewable sources. The transition towards a predominant use of renewable sources will indeed tend to create new production configurations along the national transmission network8, which will require significant interventions on it.</w:t>
      </w:r>
    </w:p>
    <w:p>
      <w:r>
        <w:t>Therefore, network adjustments represent one of the qualifying points of the PNRR9 and the PNIEC10. A first response to the need to proceed swiftly with network adjustment works is found in the expedited authorization procedures applicable to works included in the PNRR and the PNIEC, which include the establishment of a Technical Commission dedicated full-time and exclusively to carrying out the necessary investigative activity for the issuance of the Environmental Impact Assessment of state competence (so-called VIA)11, the declaration of public utility, non-deferrability, and urgency for the works, plants, and infrastructures necessary for their implementation (i.e., a prerequisite for any expropriation procedures), as well as the provision for an accelerated VIA12.</w:t>
      </w:r>
    </w:p>
    <w:p>
      <w:r>
        <w:t>Furthermore, the possibility of authorizing these works has also been established during the approval of the first Development Plan in which they have been included13. However, it must be considered that transmission network adjustments can sometimes be complex and large-scale works, as they often involve the enhancement or even the new construction of entire high-voltage lines, even of considerable length14. These are costly interventions that affect large portions of territory and for which not only high investments are necessary but also complex authorization paths. Therefore, in order to achieve as soon as possible the significant results that follow from such interventions, both from a competitive perspective and from those of decarbonization and diversification of sources, it is necessary to further accelerate and simplify all required authorization procedures.</w:t>
      </w:r>
    </w:p>
    <w:p>
      <w:r>
        <w:t>b. The transmission network development plan</w:t>
        <w:br/>
        <w:t>As already highlighted by the Authority in the AS1730 report of 2021, an element currently susceptible to delaying the adaptation of the electricity network infrastructure to needs is represented by the approval process and actual implementation of the Ten-Year Development Plan for the Network15, which, according to law, must be compiled biennially by Terna S.p.A. and approved by the MITE, following verification of the costs and benefits of the proposed works by the regulator ARERA and acquisition of the opinion of the territorially interested Regions. Terna's Plan also falls within the scope of Legislative Decree no. 152/2006 (so-called TUA or consolidated environmental text), which prescribes the Strategic Environmental Assessment (so-called VAS) prior to the approval of plans or programs16. The National Transmission Network Development Plan is crucial for the interventions that the TSO intends to implement in order to pursue the national energy strategy. In a situation, like the current one, where the European and Italian strategy is subject to revision and adaptation to contingent political events, it is essential to ensure that Terna has adequate planning tools for the infrastructural investments necessary to enable as flexible an approach as possible that also allows for changes in strategy. With the aforementioned Communication of March 8, 2022, the EU Commission has also invited Member States to ensure that the planning, construction, and operation of renewable energy production plants, their connection to the grid, and the grid itself are considered of predominant public interest and that, in the interest of public safety, they can benefit from the most favorable planning and authorization procedures available.</w:t>
      </w:r>
    </w:p>
    <w:p>
      <w:r>
        <w:t>As of today (end of March 2022), although the regulator ARERA has already given its opinion for the plans relating to 2019 and 2020, and Terna has already submitted the 2021 plan to ARERA and initiated the VAS procedure for the latter, the last Plan definitively approved by the MITE, in February 2021, is that of 2018. ARERA, in a document of 202017, stated that Directive 2001/42/EC (which established the VAS) would not require such environmental assessment for transmission network development plans, as they are plans of private law companies (Terna is a S.p.A.) and not of state or local authorities18. Among other things, the regulator noted that the application</w:t>
      </w:r>
    </w:p>
    <w:p>
      <w:r>
        <w:t xml:space="preserve">15 See art. 36, co.12-14, Legislative Decree no. 93/2011. The Plan, which was previously presented annually, has taken on a biennial cadence since 2021, following the amendment introduced by art. 60, co. 3, Legislative Decree no. 76/2020 (converted, with modifications, by Law no. 120/2020). </w:t>
        <w:br/>
        <w:t xml:space="preserve">16 The VAS was introduced by Directive 2001/42/EC and incorporated into the TUA, with the aim of "contributing to the integration of environmental aspects in the preparation of plans and programs." The VAS is part of the planning procedure for the locational options of projects, while the VIA pertains to a subsequent phase, concerning the concrete detection of intolerable negative effects based on alternative locational solutions. </w:t>
        <w:br/>
        <w:t xml:space="preserve">17 ARERA, 300/2020/I/COM "Memory of the Regulatory Authority for Energy Networks and Environment regarding the draft law containing 'conversion into law of the decree-law of July 16, 2020, no. 76, containing urgent measures for simplification and digital innovation' (SENATE ACT NO. 1883). </w:t>
        <w:br/>
        <w:t>18 The VAS under the TUA applies to "plans and programs," understood as "the acts and provisions of planning and programming however named... prepared and/or adopted by an authority at the national, regional, or local level...". A proceeding authority under the VAS is considered "the public administration that prepares the plan, program subject to the provisions of this decree, or in the case where the entity preparing the plan, program is a different public or private entity, the public administration that receives, adopts, or approves the plan, program" (see art. 5, co. 1, TUA).</w:t>
      </w:r>
    </w:p>
    <w:p>
      <w:r>
        <w:rPr>
          <w:b/>
        </w:rPr>
        <w:t>[Pages 28–30]</w:t>
      </w:r>
    </w:p>
    <w:p>
      <w:r>
        <w:t>30 BULLETIN NO. 13 OF APRIL 11, 2022</w:t>
        <w:br/>
        <w:t>of the VAS involves a double level of environmental assessment, as each main project of the Plan (that exceeds the defined thresholds) is also subject to the VIA pursuant to EU Directive 2011/92. Ultimately, according to the regulator, the positive effects of the VAS applied to the Network Development Plan could already be achieved with equal effectiveness through the VIA procedures on specific projects19. In this regard, the TSO Terna, heard by the Authority in preparation for this Report, suggested a simplification of the administrative process for the realization of the infrastructure works under its responsibility, emphasizing that the VAS, for the purposes of approving the Network Development Plan, entails an additional lengthening of the timeframes necessary for the realization of individual works, for each of which an average of about eleven years is required20. Terna, in this regard, based on concrete experience, pointed out that the VAS does not seem to bring significant benefits in the process that follows its issuance and includes the approval procedures for individual works. In fact, the administrations responsible for issuing authorizations, or other acts of consent however named, tend to disregard the evaluation already carried out in the VAS (even if such administrations coincide in the two VAS and VIA procedures). Given the above, the Authority reiterates here the considerations of the regulator and the TSO Terna and invites the Government, particularly in light of the energy transition context of the coming decade, to verify the possibility of simplifying the approval process for Terna's Network Development Plans, also through a significant reduction of the related timelines, as well as to assess the actual necessity of the VAS procedure, in the presence of the obligation of VIA on individual projects, if necessary borrowing the procedure currently followed for the development of the gas network (which does not foresee the VAS)21.</w:t>
        <w:br/>
        <w:t>c. The authorization processes for individual projects</w:t>
        <w:br/>
        <w:t xml:space="preserve">Since each individual infrastructure intervention of the network requires a specific and additional authorization process compared to that of the Plan, characterized by the layering of administrative, environmental, landscape, and archaeological procedures (Single Authorization and Environmental Impact Assessment, or Declaration of Commencement of Activity in less invasive cases), it seems necessary to intervene at this level as well in order to streamline and expedite the obtaining of the required authorizations. The measures for simplification could primarily concern the infrastructure works strictly necessary to achieve the objectives imposed on the energy system by art. 35, paragraph 1, letter d), of Legislative Decree no. 199/2021. This provision requires Terna to carry out specific planning of urgent network works, taking into account the ongoing authorization processes for renewable plants and aiming to achieve the objectives of the PNRR by 2025 and those set by the PNIEC for 2030. Consistent with these premises, the Authority therefore invites consideration of whether, with reference to a limited critical core of works considered of "predominant public interest," proposed by the TSO and reviewed or, if necessary, modified or supplemented by the sector regulator (ARERA) and the MITE, it may be appropriate to adopt further measures to simplify authorization procedures. The possibility of using simplified procedures could be conditioned on compliance with predefined criteria for the implementation and location of works22, also for the purpose of reducing environmental impact, and it could in any case be foreseen a predetermined time window within which to allow recourse to the aforementioned emergency procedures. In this regard, it seems desirable to expand the cases to which the Declaration of Commencement of Activity (DIA)23 applies and a general reduction of procedural timelines, as well as the provision of non-binding nature of mandatory landscape opinions24 and the extension of the possibility to resort to the so-called pre-screening VIA25. This involves, compared to what has already been done regarding the simplification of authorization procedures, increasing the complementarity between multiple public interests involved, particularly the development of renewable energy production plants as a tool for environmental protection26. </w:t>
        <w:br/>
        <w:t>In addition to defining a fast track authorization for strategic works, it is believed that the public interest in the development of renewable sources could also greatly benefit from a structural streamlining of the authorization procedures for network works. In particular, accepting what has been proposed in this regard by the TSO, there is a need to facilitate the activities of upgrading existing assets of the national transmission network, as these interventions have the undeniable advantage of not affecting new portions of territory. It is therefore recommended to extend the use of the aforementioned ministerial DIA institution27 also to operations for improving technical performance, modernization, and renewal of existing power lines, which do not result in significant changes in location, clarifying that such interventions should not be subordinated to prior inclusion in the TSO's development plan. It would also be appropriate to exclude modernization and renewal interventions from a new VIA, as well as to limit such evaluation to the new environmental effects introduced in case of development of technical characteristics. Lastly, the opportunity to promote the transition from overhead lines to underground cable technology, through an exemption from the VIA28, similarly to what has already been provided regarding landscape authorization29, is noted.</w:t>
        <w:br/>
        <w:t>d. New services for network balancing</w:t>
        <w:br/>
        <w:t xml:space="preserve">In the AS1730 report of March 2021, the Authority had hoped that the competitive context of energy markets and dispatching services would be enriched by the development of new entities authorized to provide such services. Based on new technologies and the spread of more efficient methods of storing electricity (so-called "storage"), it is now possible to aggregate entities that inject or withdraw energy from the grid (producers from non-programmable renewable sources as well as end consumers), who individually would not be able to make their offer in the market but, if appropriately aggregated in so-called Virtual Enabled Units, possibly with the coordination of specific service companies (so-called Balancing Service Providers), can compete with more traditional plants in offering resources for network balancing. The development of these phenomena will increasingly involve local distribution networks and their operators (Distributor System Operator or DSO) in new tasks, more similar to those currently performed by the transmission network operator, the TSO. Precisely in the perspective of the widespread diffusion of "active" users, who in addition to consuming energy can also produce and participate in energy and service markets, Legislative Decree no. 120/2021 intervenes (art. 23) on the article of Legislative Decree no. 93/2011 that defines the functions and responsibilities of the DSO (art. 38), redesigning the role of both the network and the operator. </w:t>
        <w:br/>
        <w:t xml:space="preserve">The Authority views these developments very positively and hopes for a rapid evolution, as forms of distributed and aggregated generation, demand response, and storage can identify new participants in the energy and service market, capable of increasing, diversifying, and enhancing the offer (as well as contributing to a structural reduction in prices related to the cost of imported raw materials). At the same time, it should be noted that these same developments confer new tasks on the DSOs, whereby they will act as obligated counterparties for competing businesses (aggregators, energy efficiency companies, micro-producers from renewable sources), which add to the tasks already performed today by distributors towards retail electricity sales companies. This raises even more strongly, at least in perspective, the already current issue of ensuring the neutrality of the DSO, which risks inevitably being compromised where it is part of, as is currently the case, vertically integrated groups in competing activities for which the use of the distribution network is essential. </w:t>
        <w:br/>
        <w:t xml:space="preserve">The Authority therefore shares the reflection already initiated by the sector regulator ARERA, which, in outlining its strategic framework for the year 202230, has included among its strategic objectives the review of the functional separation discipline of distribution network management activities (unbundling), to strengthen the independence of the DSO from the vertically integrated group to which it belongs. In the Authority's view, this reflection should lead to an intervention </w:t>
        <w:br/>
        <w:t>28 To date, in fact, "underground alternating current power lines, with a route longer than 40 kilometers" are subject to state VIA (cfr. Annex II, Part 2, TUA).</w:t>
        <w:br/>
        <w:t>29 See Annex A, D.P.R. no. 31/2017.</w:t>
        <w:br/>
        <w:t>30 ARERA Resolution no. 2/2022, Annex A, Strategic Framework 2022-2025 of the Regulatory Authority for Energy Networks and Environment, OS21, letter d).</w:t>
      </w:r>
    </w:p>
    <w:p>
      <w:r>
        <w:rPr>
          <w:b/>
        </w:rPr>
        <w:t>[Pages 31–33]</w:t>
      </w:r>
    </w:p>
    <w:p>
      <w:r>
        <w:t>BULLETIN NO. 13 OF APRIL 11, 2022 33</w:t>
        <w:br/>
        <w:t>regulatory framework that replicates, also for DSOs, the ownership separation obligations already in place for the transmission network operator, whose tasks will increasingly be reproduced by distribution network operators.</w:t>
        <w:br/>
        <w:t>In order to make the process of adapting the electricity transmission network to the development of new renewable capacity easier, faster, and more flexible, it is deemed necessary to proceed with:</w:t>
        <w:br/>
        <w:t>- the simplification of the administrative process aimed at the approval of the electricity transmission network development plan, eliminating the obligation of Strategic Environmental Assessment (VAS), with appropriate amendments to Legislative Decree no. 152/2006;</w:t>
        <w:br/>
        <w:t>- the simplification of authorization procedures for the construction of infrastructure works necessary to achieve the objectives imposed on the energy system by art. 35, paragraph 1, letter d), of Legislative Decree no. 199/2021, also through a predetermined time window within which to allow recourse to emergency procedures that provide for: (i) compliance with predefined criteria for the implementation and location of works; (ii) the expansion of the cases to which the Declaration of Commencement of Activity (DIA) applies; (iii) the provision for the non-binding nature of mandatory landscape opinions; (iv) the extension of the possibility to resort to the so-called pre-screening Environmental Impact Assessment (VIA);</w:t>
        <w:br/>
        <w:t>- a structural streamlining of authorization procedures for network works that provides for: (i) recourse to ministerial DIA for operations aimed at improving technical performance, modernization, and renewal of existing power lines (not to be included in the development plan of the network operator); (ii) the exclusion of modernization and renewal interventions from the obligation of VIA; (iii) the facilitation of the transition from overhead lines to underground cable technology, through an exemption from VIA;</w:t>
        <w:br/>
        <w:t>- a regulatory intervention that replicates, also for distributors, the ownership separation obligations already in place for the transmission network operator.</w:t>
        <w:br/>
        <w:t>III. SMART METERING</w:t>
        <w:br/>
        <w:t>The spread of advanced solutions for monitoring the electricity consumption of end customers (so-called smart metering) is of fundamental importance for the development of innovative, efficient, and competitive energy markets, as already emphasized by the Authority in the previous Report for the annual competition law for the year 2021. Currently, the process of replacing existing meters (first generation or "1G") with second generation models ("2G"), which are better able to support new functionalities, is underway. More specifically, 2G meters allow for improved remote reading and remote management processes by the distribution company, enabling the collection of actual consumption data from users more frequently (every 15 minutes or quarterly), encouraging user behaviors aimed at energy efficiency goals, allowing the development of innovative services intermediated by the energy seller or other entrepreneurial subjects appointed by the customer; they can, finally, determine greater involvement of the user themselves and, especially in the long term, ensure greater participation of demand in energy markets, even downstream of consumer aggregation phenomena, with benefits for the entire system31. The spread of 2G meters, starting from the provisions of the recent ARERA Resolution no. 106/2021, also concerns smaller electricity distributors (those connecting fewer than 100,000 users to their networks). The recent Legislative Decree of November 8, 2021, no. 210, so-called "electric market" (implementing EU Directive no. 2019/944) has also established specific rules regarding electric smart metering (art. 9), providing that ARERA ensures, by 2024, the spread of intelligent measurement systems to at least 80% of customers nationwide and that it publishes a schedule of installation interventions, considering a time frame of ten years from the entry into force of the decree.</w:t>
        <w:br/>
        <w:t>The Authority believes that the set of regulatory and legislative provisions adopted so far is capable of ensuring adequate and rapid dissemination of next-generation smart measurement systems throughout the national territory. At the same time, it should be noted that the ongoing installation process of 2G meters – which started in 2017, at least by the main national electricity distributor – does not yet seem to be accompanied by sufficient awareness among end customers regarding the functionalities achievable through the new meters, nor does it seem to have fully expressed its potential in relation to the development of competition in the retail electricity sales market and the dissemination of innovative services. This is, in the Authority's opinion, a different aspect of the same lack of awareness among end consumers regarding the opportunities provided by the full liberalization of the retail market (see subsequent Part IV).</w:t>
        <w:br/>
        <w:t>In this regard, ARERA Resolution no. 105/2021 has established some regulatory provisions regarding the information to be provided to customers within the plans for the commissioning of 2G meters by DSOs, which, however, appear to be more closely related to the execution of the replacement intervention. Therefore, it is necessary to further strengthen the regulations aimed at ensuring that the customer is informed about the innovations and the concrete functionalities guaranteed by the new meter, so that the investment (which will still be repaid in the distribution tariff to the user) expresses its full potential. In this sense, it is believed that the provision of informational burdens on the DSO, as per art. 9, paragraph 1, letter g), of Legislative Decree no. 210/202132, should be quickly translated into more specific guidance acts, of a regulatory and/or legislative nature, also modifying or supplementing the already approved replacement plans of the main DSOs.</w:t>
        <w:br/>
        <w:t xml:space="preserve">As for the contribution offered by the spread of 2G smart meters to the development of competition in the retail electricity sales market, this element appears even more important in the current phase that will see, over the next two years, the completion of the liberalization process of the sector also concerning micro-enterprises and domestic users (see infra). The development of the related functionalities and the consequent beneficial effects for competition in the sales market also depends on the knowledge of customer data by sellers and subjects who will offer new integrated solutions, and thus also by subjects other than the energy seller holding the supply contract. This element, </w:t>
        <w:br/>
        <w:t>31 These are profiles consistent with the desired developments regarding distributed generation and active demand discussed in Section II of this Report.</w:t>
        <w:br/>
        <w:t>32 In particular, according to the regulatory provision, "the operator, before or, at the latest, at the time of installation of the smart meter, provides the customer with adequate advice and information, particularly regarding the full potential of the device in terms of reading management and monitoring of electricity consumption and the processing of their personal data."</w:t>
      </w:r>
    </w:p>
    <w:p>
      <w:r>
        <w:t>BULLETIN NO. 13 OF APRIL 11, 2022 35</w:t>
        <w:br/>
        <w:t>which must be balanced with the needs expressed by the regulations for the protection of privacy, should allow for the offering of more personalized conditions by subjects other than the operating holder and encourage competition among operators on particular user profiles.</w:t>
        <w:br/>
        <w:t>Finally, regarding the development of innovative services starting from the functionalities expressible by the new meters, they could not only integrate the offer of pure commodity by sellers but also allow for the development of new markets and the evolution of existing ones. In this regard, it is essential that clear, transparent, and non-discriminatory rules are defined regarding the subjects authorized to acquire the data and the methods of sharing the information derivable from the latest generation meters, subject to obtaining consent from the end user. In this regard, art. 9, paragraph 1, letter f), of Legislative Decree no. 210/2021 provides that: "if the end customer requests it, the data on the electricity fed into the grid and on consumption are made available [..], through a standardized communication interface or via remote access, or are communicated to a third party representing the customer. The data are made available in an easily understandable format, so as to allow comparison between comparable offers. The end customer has the right to the portability of their personal data, extracting them from the meter and transmitting them to third parties without additional costs" (emphasis added)33. The method and extent of making available the consumption data of consenting electricity users (for example, through a digital platform like that of the Integrated Information System) appear to be an essential condition for the functionalities of smart meters and the competitive advantages associated with them to be realized.</w:t>
        <w:br/>
        <w:t>In order to fully exploit the potential of the new 2G meters being installed across the national territory, it is proposed to:</w:t>
        <w:br/>
        <w:t>- provide more specific guidance acts, of a regulatory and/or legislative nature, also modifying or supplementing the already approved replacement plans of the main distributors, to ensure the full effectiveness of the provisions of art. 9, paragraph 1, letter g), of Legislative Decree no. 210/2021, regarding information and advice to customers about the full potential of the 2G device in terms of reading management and monitoring of electricity consumption;</w:t>
        <w:br/>
        <w:t>- define, in application of art. 9, paragraph 1, letter f), of Legislative Decree no. 210/2021, the set of rules regarding the subjects authorized to acquire the data and the methods of sharing the information derivable from the latest generation meters, subject to obtaining consent from the end user, in order to allow the full development of innovative services also by third-party operators and promote competition in the electricity sales market through the dissemination of innovative offers.</w:t>
        <w:br/>
        <w:t>IV. DEFINITIVE EXIT FROM THE PROTECTION REGIME</w:t>
        <w:br/>
        <w:t>a. The advantages of the free market</w:t>
        <w:br/>
        <w:t xml:space="preserve">Currently, numerous options are available in the free market that allow for savings compared to the cost of supply in greater protection ("MT"), as demonstrated by the observation </w:t>
        <w:br/>
        <w:t>33 The European Commission has also just concluded (January 2022) a public consultation on access to data on measurement and consumption of electricity and plans to adopt the relevant implementing acts in the third quarter of this year, in implementation of the provisions of EU Directive 2019/944 (https://ec.europa.eu/info/law/better-regulation/have-your-say/initiatives/13200-Accesso-ai-dati-su-misurazione-e-consumo-di-energia-elettrica-requisiti_it).</w:t>
      </w:r>
    </w:p>
    <w:p>
      <w:r>
        <w:rPr>
          <w:b/>
        </w:rPr>
        <w:t>[Pages 34–36]</w:t>
      </w:r>
    </w:p>
    <w:p>
      <w:r>
        <w:t>36 BULLETIN NO. 13 OF APRIL 11, 2022</w:t>
        <w:br/>
        <w:t>of the offers published on the relevant portal managed by the sector regulator ARERA. This is an important element in the current phase of significant growth in the weight of energy costs, particularly on the budgets of families and small businesses. The latest monitoring on the evolution of the retail market conducted by ARERA and updated to January 2022 (that is, before the recent critical developments triggered by the military events in Eastern Europe) highlighted the existence of a significant number of savings opportunities compared to the greater protection that can be detected from the Offers Portal34. By repeating a similar exercise in mid-March 202235, these trends appear to be accentuated, although with a prevalence of variable price offers compared to fixed price offers36. The transition to the free market thus allows small users to have a range of advantageous opportunities from which to choose the most convenient, even in terms of price. Therefore, there is a need to direct consumers as much as possible to the advantages currently obtainable in the free market through targeted and effective information. It should also be added that the comparison with regulated supply should not necessarily be limited to price. In fact, the evolution of the electricity market is moving towards the offer, alongside the pure commodity energy, of additional ancillary services that cannot instead be accompanied by supply under the greater protection regime, the development of which, made possible by the spread of second-generation meters, will increase the competitive variables of the retail electricity market and contribute to a better overall system balance thanks to greater demand participation in market mechanisms (cf. Part III).</w:t>
        <w:br/>
        <w:t>b. The last steps for complete liberalization</w:t>
        <w:br/>
        <w:t>Overcoming the current model, based on the existence of the MT regime, is essential to eliminate the discrimination due to the fact that such a regime can only be offered by vertically integrated operators in electricity distribution37. This arrangement has created the conditions for the high level of market concentration in sales that is still recorded in Italy38, given that the distribution activity is largely carried out (85% of domestic users) by a single operator (Enel) and the first four together account for 94.8% of the domestic users served39. Conversely, the benefits of liberalization for end consumers, even in terms of price reduction, can only be fully realized in a market context of effective competition among operators and characterized by a more contained level of concentration. In this sense, the Authority has previously noted the critical issues related to the adoption of continuous extensions of the deadline for the cessation of the protected regime, as well as due to the ongoing uncertainty that these extensions generate for consumers and operators in the sector, as they determine the extension of the period during which that process of "emptying" the pool of protected customers by the MT operators occurs, who can strategically exploit the advantage conferred by being suppliers of protection to induce their users to switch to the free market as customers of their group’s company active in that market, which has indeed been observed to occur up to now40. Over the next two years, according to current forecasts, the final acts necessary for the overcoming of the MT regime for domestic customers (according to the latest data made available by the sector regulator, relating to September 2021, about 12 million users) and microenterprises41 (at the same date, about 1.8 million users) must be completed. Article 16-ter of Decree Law no. 152/2021, as amended by conversion law no. 233/2021, has again amended the framework of law no. 124/2017 (so-called "Competition Law"), postponing by another year (to January 10, 2024) the deadline by which the MT service for domestic customers can continue to be provided (although it should be formally considered ceased as of January 1, 2023), pending the competitive procedures for the identification of suppliers of the so-called "Gradual Protection Service" (STG)42. The same provision, however, has left unchanged the actual cessation date of the protected regime for microenterprises at January 1, 2023. By the aforementioned dates, the new suppliers of the STG regulated by ARERA must therefore be identified through competitive procedures, analogous to what already occurred in 2021 for small enterprises. It should also be noted that Legislative Decree no. 210/2021, implementing EU Directive 2019/944, has introduced into national law the category of so-called "vulnerable" domestic electricity customers who, at the date of cessation of the MT regime, will be entitled to a specific electricity supply under regulated conditions that must be defined by ARERA43.</w:t>
        <w:br/>
        <w:t>39 Cf. ARERA, Annual Report, State of Services 2020, p. 104.</w:t>
        <w:br/>
        <w:t>40 According to the data from the aforementioned ARERA Monitoring produced at the beginning of 2022 and referring to 2021, the share of customers exiting the greater protection who choose a free market contract with the same seller or with a related one is very high and continues to remain above 50%, slightly increasing compared to 2020. The regulator concludes that "The competitive advantage in acquiring customers in the free market for groups that also operate in the greater protection service is therefore not diminished."</w:t>
        <w:br/>
        <w:t>41 Pursuant to Article 2 of EU Directive 2019/944 on the electricity market, a microenterprise is a business that employs fewer than 10 employees and has an annual turnover or total annual balance not exceeding 2 million euros.</w:t>
        <w:br/>
        <w:t>42 The STG must guarantee the supply of customers who, at the date of cessation of the MT service, have not yet independently chosen a free market supplier. This service represents an additional mechanism for regulating the conditions of supply by the operators, although with some important differences compared to the previous MT service, primarily related to the method of selecting the same, chosen through competitive procedures, and not identified by law in the territorially competent distributors (or companies controlled by them).</w:t>
        <w:br/>
        <w:t>43 EU Directive 2019/944, in Article 28, provided for the notion of vulnerable customers, leaving, however, to the application of the Member States the concrete definition of the users to be included in this category, as well as the determination of the methods of electricity supply to them. In the event that the measures provided by the Member States, in derogation from the general provision of supply prices based on the free market, include price-setting measures, they must meet certain conditions specified in the same Directive (Article 5, paragraphs 4 and 5: proportionality, response to general interest, temporariness, non-discrimination, etc.) and must be notified to the Commission (Article 5, paragraph 8).</w:t>
        <w:br/>
        <w:t>c. The exit from the MT service for microenterprises</w:t>
        <w:br/>
        <w:t>In light of this complex framework, the Authority considers it necessary, first of all, that the path already being defined for microenterprises44 be completed quickly, without further delays. The Authority therefore hopes for the swift definition of the necessary acts45 for the conduct of competitive procedures for the identification of STG suppliers by the third quarter of 2022, according to principles that ensure the broadest competitive comparison among operators, and the consequent effective entry into service of the new operators from January 1, 2023.</w:t>
        <w:br/>
        <w:t>d. Exit from the MT service for domestic consumers and vulnerable customers</w:t>
        <w:br/>
        <w:t>As for the exit from the greater protection service for domestic customers, for whom the need to respect the deadline of January 10, 2024 is reiterated, the recent introduction into national law of the notion of vulnerable clientele and the provision of a related ad hoc regulated supply regime creates, in addition to some interpretative doubts, an additional level of complication of the current framework and a potential overlap between regimes of electricity supply at retail - in addition to the free market, the STG, and the supply under regulated conditions for vulnerable customers, characterized by at least partially overlapping purposes - with further operational difficulties and understanding of the market by customers, as well as by the operators active in it. The Authority believes that this scenario must contemplate some essential points, which must be observed regardless of the specific details that will be adopted and which should be translated into interventions to clarify the current regulatory text.</w:t>
        <w:br/>
        <w:t>First of all, it should be clarified that the new supply regime under specific conditions for vulnerable domestic customers qualifies as an obligation to prepare an offer under such conditions by sellers and not as an obligation of actual supply to them. It must therefore be guaranteed the opportunity to adhere to a regulated supply as a vulnerable user, clarifying, however, that the latter represents an additional alternative for the user, who would always remain free not to prefer it (for example, if they have already signed a free market offer of which they are satisfied).</w:t>
        <w:br/>
        <w:t>Secondly, the methods of selecting the suppliers called to prepare the ad hoc regulated offer must necessarily respect a principle of non-discrimination among the operators active in the electricity sales market, so as not to replicate the discriminatory nature of the greater protection regime, also in line with the relevant European legislation. In this sense, therefore, any solution that involves entrusting this supply to the current MT operators appears to be an unfeasible path. The primary legislation should therefore be clarified in this regard, as the current wording appears to leave open the possibility, in the event that ARERA defines the reference conditions for vulnerable customers before the designation of the new STG operators for domestic customers, that the suppliers holding the sales contract at that time, or, in most cases, the MT operators46, supply these users. Furthermore, in the event that the</w:t>
      </w:r>
    </w:p>
    <w:p>
      <w:r>
        <w:rPr>
          <w:b/>
        </w:rPr>
        <w:t>[Pages 37–39]</w:t>
      </w:r>
    </w:p>
    <w:p>
      <w:r>
        <w:t>BULLETIN NO. 13 OF APRIL 11, 2022 39</w:t>
        <w:br/>
        <w:t xml:space="preserve">if the regulator does not define the conditions for vulnerable customers, it is necessary to avoid that the discriminatory system currently in place for the MT remains active for vulnerable customers even beyond January 10, 2024. </w:t>
        <w:br/>
        <w:t xml:space="preserve">In the Authority's opinion, it is therefore absolutely necessary that the current legislation (combined provisions of art. 11, paragraph 2, of Legislative Decree no. 210/2021 and art. 1, paragraph 60, of Law no. 124/2017) be amended in order to prevent by any means possible that vulnerable users remain customers of the MT service providers; this also includes identifying ad hoc methods for the designation of suppliers for vulnerable customers or including vulnerable users in the tenders to be held for the STG by January 10, 2024. </w:t>
        <w:br/>
        <w:t xml:space="preserve">Finally, the Authority considers it crucial that a massive institutional information campaign be launched immediately on the main mass media and during peak viewing times, aimed at making the general public aware of the ongoing liberalization process, the related deadlines, and the corresponding consequences for their electricity supply. In particular, the information campaign should focus on the nature of the STG as a tool for transitioning to the free market and, therefore, the invitation to seek advantageous offers in the free market as soon as possible. It is believed, in fact, that the ongoing climate of uncertainty and the lack of awareness among users regarding the ongoing changes may not only undermine the overall success of the process but also encourage (as it has already encouraged in recent years) improper conduct by operators, aimed at exploiting such uncertainty to their advantage, for example by using the message regarding the end of the protected market as a strongly negative element for the user, who could, contrary to the truth, remain "in a protected context" only by transitioning to the free market with their historical supplier. In this sense, the moment of strong energy price crisis with consequent increases in costs for families could be exploited positively, benefiting from the increased attention of consumers to such issues and the savings that the liberalization process, if properly managed, can bring. </w:t>
        <w:br/>
        <w:t xml:space="preserve">In order to facilitate the exit from the greater protection regime for domestic customers and coordinate this process with the identification of a regulated regime for so-called "vulnerable" electricity customers, the need to: </w:t>
        <w:br/>
        <w:t xml:space="preserve">- amend art. 11, paragraph 2, of Legislative Decree no. 210/2021 clarifying that the obligation of suppliers to offer energy to vulnerable customers at a regulated price is an obligation to inform them of the existence of the relevant tariff, specifying whom to contact to obtain it and unequivocally clarifying that the vulnerable customer who does not wish to access it is free to choose any other solution; </w:t>
        <w:br/>
        <w:t xml:space="preserve">- provide competitive identification methods for suppliers of vulnerable customers, for example by establishing that, for each lot of the gradual protection service auctions, the winner is also the supplier for vulnerable customers; </w:t>
        <w:br/>
        <w:t>- immediately launch a massive institutional information campaign on the main mass media and during peak viewing times, aimed at making the general public aware of the opportunity of the ongoing liberalization process and the nature of the gradual protection service as a tool for transitioning to the free market.</w:t>
      </w:r>
    </w:p>
    <w:p>
      <w:r>
        <w:t>40 BULLETIN NO. 13 OF APRIL 11, 2022</w:t>
        <w:br/>
        <w:t>V. COMPLETION OF GOVERNANCE OF INTEGRATED WATER MANAGEMENT AND PNRR</w:t>
        <w:br/>
        <w:t xml:space="preserve">The phase of establishing the Water Governance Authorities (EGA)47 appears to be substantially completed, albeit with delays. There are 62 EGAs across the national territory, of which 12 are regional and 50 are sub-regional. Almost all EGAs have entrusted the Integrated Water Service (SII) to a single manager. The ARERA monitoring of February 2022 indicates critical situations in 4 regional areas (Campania, Calabria, Molise, and Aosta Valley) and in 6 sub-regional ATOs in Sicily (Palermo, Catania, Messina, Ragusa, Siracusa, Trapani)48. In numerous ATOs that have seen the entrustment to the single manager, situations of coexistence with smaller entities managing the SII without a legal title compliant with current regulations or with municipal management in-house persist. In both cases, these activities are characterized by significant inefficiencies, particularly concerning the relationship with the end user. The failure to complete the preparatory activities for the entrustment of the SII has serious consequences both from an environmental and territorial cohesion perspective and with regard to the quality and efficiency of the public water service supply. </w:t>
        <w:br/>
        <w:t xml:space="preserve">ARERA, in the aforementioned monitoring49, emphasizes that a Water Service Divide persists between the Central-Northern area of the country (where the decision-making mechanisms of the EGAs and the managerial and industrial capabilities of the operators appear to be in line with achieving the sector's objectives) and many areas in the South, where structural deficiencies remain. This division affects all relevant profiles of the SII: the actual enjoyment of services by citizens; the realization of necessary investments; regional legislative activity. As a result of this situation, serious inefficiencies in terms of network losses, poor services to users, uncollected bills, and non-compliant purification and sewage services with European regulations perpetuate in some important areas of the country. </w:t>
        <w:br/>
        <w:t xml:space="preserve">Recently, Law no. 233/2021 (converting Decree-Law no. 152/2021) intervened on this point, introducing paragraph 2-ter to article 147 of Legislative Decree no. 152/06. The provision states that, in cases where fragmented management still exists alongside the single area manager50, these are required to merge into the single management by July 1, 2022; instead, in cases where there are no single managers, the EGAs must proceed with the entrustment by September 30, 2022. Given that this is not the first time deadlines have been set by which the EGAs and/or non-compliant regions must complete the governance process of the SII, it is reasonable to assume that in this case, too, the deadline of September 30, 2022, may not be met51. </w:t>
        <w:br/>
        <w:t xml:space="preserve">47 See the Thirteenth Report of ARERA pursuant to article 172, paragraph 3-bis, of Legislative Decree no. 152/2006 of February 1, 2022; Report 39/2022/I/IDR. </w:t>
        <w:br/>
        <w:t xml:space="preserve">48 With reference to the Calabria Region, the Regional Water Authority has informed ARERA that, by decree of the General Director AIC no. 82 of December 23, 2021, the provisional entrustment of the integrated water service for the ATO "Calabria" has been ordered to the Special Consortium Company "Public Waters of Calabria," which currently has characteristics of poor operability. </w:t>
        <w:br/>
        <w:t xml:space="preserve">49 The same orientation has already been expressed by the Authority in the "Memory of the Regulatory Authority for Energy Networks and Environment regarding the bill entitled 'Annual Law for the Market and Competition 2021' (AS 2469)" Memory for the 10th Industry, Trade, Tourism Commission of the Senate of the Republic of March 4, 2022. </w:t>
        <w:br/>
        <w:t xml:space="preserve">50 To which the "safeguard" of autonomous management under art. 147, paragraph 2 bis, letter b) of the TUA has not been recognized. </w:t>
        <w:br/>
        <w:t>51 The current legislation already provides for specific substitute powers in case of inertia of the EGAs and Regions through the appointment of a commissioner ad acta, but it appears that this power has been exercised very restrictively to date. See art. 172, paragraph 4, of the TUA.</w:t>
      </w:r>
    </w:p>
    <w:p>
      <w:r>
        <w:t>BULLETIN NO. 13 OF APRIL 11, 2022 41</w:t>
        <w:br/>
        <w:t xml:space="preserve">The Authority believes that this deficiency in the process of completing the governance framework of the SII at the national level, already serious in itself for the reasons stated above, is unsustainable for the country in the current situation. The recent REACT-EU and PNRR initiatives have made a significant amount of resources available that can be drawn upon to remedy the infrastructural gap that prevents, in some areas of Italy, an efficient water service and adequate protection for end users52. However, the enjoyment of these funds is conditioned on the presence of a fully operational EGA and the completion of the entrustment procedures of the SII to a manager capable of designing and implementing the infrastructure improvement interventions to be financed. The deadline set by Law no. 233/2021 does not help in this regard; in fact, even if the service provider were identified for the still non-compliant areas by September 30, 2022, it would still be too late. The REACT-EU funds have already been allocated, and on March 9, 2022, the MIMS published in the Official Gazette the call for the allocation of 900 million euros of PNRR funds for the reduction of water losses, including the digitalization and monitoring of networks53. Funding requests are submitted by EGAs that have entrusted the service to a single area manager, and the implementing entities are the integrated water service managers or the so-called "protected subjects" under art. 147, paragraph 2-bis, of the TUA. These entities must meet a series of requirements, including compliance with the obligations set for the adoption and approval of the specific regulatory scheme (composed of the intervention program, the economic-financial plan, and the management agreement); they must possess operational and administrative capacity to guarantee the realization of the project in the manner and within the terms provided and must have adopted adequate measures to ensure compliance with the principle of sound financial management. </w:t>
        <w:br/>
        <w:t xml:space="preserve">There is, therefore, a very high risk that the EGAs that have not yet completed the process of defining the governance of the SII in the identified ATOs - or that have recently arrived but in a provisional context, still not fully operational and in a situation of great fragmentation of managements - may lose the opportunity to obtain PNRR funds (or at least use only a part of them) as they lack the requirements to participate in their allocation (lack of implementing entities or unsuitable implementing entities). In the event that the funds are fully utilized by the EGAs in the Central-North, it would lead to the paradoxical outcome that the European plans result in an expansion, rather than a overcoming, of the Water Service Divide. Despite the tight timeline associated with the disbursement of funds, the Authority believes that every effort must be made to avoid the non-utilization of PNRR funds in some southern regions. </w:t>
        <w:br/>
        <w:t xml:space="preserve">52 By way of mere example, investment item 4.2 of the PNRR provides for 1.231 billion euros allocated for interventions to reduce network losses, of which 313 million euros are additional funds dedicated to Southern Italy. Moreover, the general objective M2C4 of the PNRR, "Protection and enhancement of the territory and water resource," specifically addresses the peculiar situation characterizing Southern Italy and the need for intervention by the central State aimed at "strengthening the industrialization process of the sector (favoring the establishment of integrated operators, public or private, with the aim of achieving economies of scale and ensuring efficient management of investments and operations)." </w:t>
        <w:br/>
        <w:t>53 The call stipulates that 40% of the resources are to be prioritized for the Regions of Southern Italy (Abruzzo, Basilicata, Calabria, Campania, Molise, Puglia, Sardinia, and Sicily) and that funding proposals can be submitted in two time windows, one of which expires on May 19, 2022, for 630 million euros and the other on October 31, 2022, for 270 million euros (it is also expected that the resources not allocated in the first window will be made available in the second).</w:t>
      </w:r>
    </w:p>
    <w:p>
      <w:r>
        <w:rPr>
          <w:b/>
        </w:rPr>
        <w:t>[Pages 40–42]</w:t>
      </w:r>
    </w:p>
    <w:p>
      <w:r>
        <w:t>42 BULLETIN NO. 13 OF APRIL 11, 2022</w:t>
        <w:br/>
        <w:t xml:space="preserve">that would need it the most, as also highlighted by ARERA in July 2021, with a report to Parliament (See. Resolution ARERA no. 331/2021)54. </w:t>
        <w:br/>
        <w:t xml:space="preserve">It therefore appears necessary to take urgent action that sets a final deadline for the completion of assignments consistent with the deadlines for submitting projects to obtain PNRR funds. In the event of an unsuccessful expiration of the assigned deadline or, in any case, in the presence of managers who do not meet the requirements for the allocation of PNRR funds, in derogation of the provisions of the TUA that identify substitute commissioner powers for cases of non-compliance with the obligations therein, the use of substitute powers should be foreseen and the substitution of a state public entity that, in place of the designated entities, carries out all the legal requirements to identify the single manager in each optimal territorial area, with the operational characteristics required for the management of the SII or with the requirements requested by the PNRR calls55. Pending the assignment of the SII to a single manager identified or established ad hoc or who is otherwise able to effectively carry out the activity, and in order not to lose the opportunity to obtain European funds, the public entity should also submit the projects contained in the Area Plans (where already existing) or of immediate urgency in other cases and entrust, in compliance with the current regulations on public contracts, to industrial entities with adequate operational and financial capabilities, the execution of the interventions to be carried out with PNRR funds and the subsequent management of the related infrastructures and the integrated water service for a reasonable period. To this end, it may be useful to apply the model provided, in terms of simplifying the assignment procedures, by art. 48 of Decree Law no. 77/2021, containing "Simplification regarding the assignment of public contracts PNRR and PNC"56. </w:t>
        <w:br/>
        <w:t xml:space="preserve">In any case, and regardless of obtaining PNRR funds, the public entity should facilitate the realization of all the identified priority interventions that are functional to achieving or improving the quality objectives of the SII, or aimed at the restoration, modernization, or expansion of networks and plants. The duration of the transitional management should depend on the activities that the transitional manager will be called upon to perform in order to reduce the structural deficiencies of the service and on the time necessary to allow for the identification and operation of a fully operational, financially solid integrated water service manager with specific competencies. </w:t>
        <w:br/>
        <w:t xml:space="preserve">54 On that occasion, the sector regulator made some suggestions consisting of supporting newly established integrated managers with a publicly controlled corporate entity (with experience in assisting public administrations and SPL), with technical support tasks in terms of organization and specific know-how; in cases of non-assignment of the integrated water service, it also suggested the provision for a transitional management of the service for a period of four years (2022-2026, therefore potentially overlapping with the implementation of the PNRR) to be entrusted to a publicly controlled corporate entity that, based on public contract regulations, could resort to entities with adequate industrial and financial capabilities for the provision of the service. The proposal was reiterated by ARERA in the aforementioned Memorandum for the 10th Industry, Commerce, Tourism Commission of the Senate of the Republic on March 4, 2022. </w:t>
        <w:br/>
        <w:t xml:space="preserve">55 For example, a publicly controlled corporate entity that has prior experience in consulting local authorities regarding the provision of local public services. </w:t>
        <w:br/>
        <w:t>56 Converted into Law no. 108/2021: "Governance of the National Recovery and Resilience Plan and initial measures to strengthen administrative structures and accelerate and streamline procedures." Decree Law no. 77/2021 intervened with significant measures for the simplification, acceleration, and streamlining of public contracting procedures, derogatory or modifying Decree Legislative no. 50/2016, for the assignment and execution of public contracts for the realization of works financed with PNRR and PNC resources (i.e., the National Plan for Complementary Investments to the PNRR), including the possibility of using within predetermined limits the negotiated procedure without prior publication of a call for tenders pursuant to arts. 63 and 125, Legislative Decree no. 50/2016 (see art. 43, Decree Law no. 77/2021).</w:t>
      </w:r>
    </w:p>
    <w:p>
      <w:r>
        <w:t>BULLETIN NO. 13 OF APRIL 11, 2022 43</w:t>
        <w:br/>
        <w:t>In order to prevent the Management Entities of the Area that have not yet completed the process of defining the governance of the integrated water service in the identified territorial areas - or that have recently reached it but in a provisional context, still not fully operational and in a situation of great fragmentation of managements - from losing the opportunity to obtain PNRR funds, it is deemed necessary to:</w:t>
        <w:br/>
        <w:t>- set an unextendable and very close deadline for the identification of the single area manager by the Management Entities of the Area that have not yet proceeded to do so;</w:t>
        <w:br/>
        <w:t>- provide for a mechanism of substitute powers different from that provided for in art. 172, paragraph 4, of the Environmental Consolidated Law allowing, in case of non-compliance within the aforementioned deadline, state public entities to participate (in place of the non-compliant Management Entities of the Area) in the allocation of PNRR funds by utilizing industrial entities with operational capabilities and financial solidity, possessing the requirements requested by the calls for tenders, selected through simplified competitive procedures;</w:t>
        <w:br/>
        <w:t xml:space="preserve">- entrust the aforementioned industrial entities with the realization of the interventions referred to in the Area Plan or otherwise urgent and to temporarily manage the integrated water service until the identification and operation of a local single manager with the competencies and economic-financial solidity capable of taking over the regular activity. </w:t>
        <w:br/>
        <w:t xml:space="preserve">THE PRESIDENT </w:t>
        <w:br/>
        <w:t>Roberto Rustichelli</w:t>
      </w:r>
    </w:p>
    <w:p>
      <w:r>
        <w:t xml:space="preserve">44 BULLETIN NO. 13 OF APRIL 11, 2022 </w:t>
        <w:br/>
        <w:t xml:space="preserve">AS1825 – LAZIO REGION – CALL FOR TENDERS FOR THE ASSIGNMENT OF SERVICES </w:t>
        <w:br/>
        <w:t xml:space="preserve">FOR NOTIFICATION OF JUDICIAL ACTS AND ADMINISTRATIVE SANCTIONS </w:t>
        <w:br/>
        <w:t xml:space="preserve">Rome, February 18, 2022 </w:t>
        <w:br/>
        <w:t xml:space="preserve">Lazio Region </w:t>
        <w:br/>
        <w:t xml:space="preserve">Central Regional Purchasing Directorate </w:t>
        <w:br/>
        <w:t xml:space="preserve">The Competition and Market Authority, in its meeting of February 15, 2022, resolved to express an opinion, pursuant to article 21-bis of Law October 10, 1990, no. 287, regarding the call for tenders, published in the Official Journal of the European Union on December 21, 2021, relating to the tender, announced by the Lazio Region - Central Regional Purchasing Directorate -, aimed at the stipulation of Framework Agreements for the assignment of services for the notification of judicial acts and administrative sanctions intended for the administrations of the Lazio Region. </w:t>
        <w:br/>
        <w:t xml:space="preserve">In particular, the act in question, with which the Lazio Region, Central Regional Purchasing Directorate, has defined the methods and conditions for participation in the tender procedure in question, as well as the applicable evaluation criteria, presents some aspects that may potentially conflict with the principles of free competition, equal treatment, and non-discrimination among economic operators. </w:t>
        <w:br/>
        <w:t xml:space="preserve">The Authority notes, in fact, that, regarding lots no. 1 and 2, the provision of a minimum territorial coverage on a national basis equal to 80% and the request, among the eligibility requirements, of only holding a special individual license of type A, are detrimental to competition and the favor participationis and are in contrast with the principles of non-discrimination and equal treatment, as well as with the principle of proportionality1, based on the following arguments. </w:t>
        <w:br/>
        <w:t xml:space="preserve">In particular, the provision of a minimum territorial coverage on a national basis equal to 80%, contained in art. 4.1.2 of the Technical Specifications, appears likely to prejudice the proper unfolding of competitive dynamics in the conduct of the tender procedure, considering that such territorial coverage is excessively high and likely to favor only postal operators who can guarantee such extensive coverage of the territory, or as </w:t>
        <w:br/>
        <w:t>1 See also the opinion AS1757 “ANAC-AGCOM - GUIDELINES FOR THE ASSIGNMENT OF PUBLIC PROCUREMENT OF POSTAL SERVICES,” issued by the Authority on May 18, 2021, pursuant to art. 22 of Law no. 287/1990, regarding the draft of the updated Guidelines of determination no. 3 of 9/12/2014 entitled “Guidelines for the assignment of public procurement of postal services,” published in Bulletin no. 24/2021 of June 14, 2021.</w:t>
      </w:r>
    </w:p>
    <w:p>
      <w:r>
        <w:rPr>
          <w:b/>
        </w:rPr>
        <w:t>[Pages 43–45]</w:t>
      </w:r>
    </w:p>
    <w:p>
      <w:r>
        <w:t>BULLETIN NO. 13 OF APRIL 11, 2022 45</w:t>
        <w:br/>
        <w:t>particularly structured, such as the Universal Postal Service Provider, Poste Italiane S.p.A., or because they are rooted in the territory. In this latter respect, it is important to highlight that the context in which this provision is placed is characterized by the absolutely predominant position of the Universal Postal Service Provider itself and the presence of a small number of private operators holding individual special licenses and of incomparably smaller dimensions, given, moreover, the necessity for this type of postal dispatches to provide the service without postalization. Moreover, the fact that this provision does not constitute a participation requirement, but a condition for the execution of the service, which assumes relevance only in the execution phase of the contract, does not mitigate this detrimental effect. This is in consideration of the possible obstacles that operators lacking the condition in question at the time of participation may encounter in the implementation and subsequent expansion of their postal network2. In other words, such a high minimum territorial coverage coefficient is not only not commonly possessed, but is also not easily achievable during execution.</w:t>
      </w:r>
    </w:p>
    <w:p>
      <w:r>
        <w:t>Also in relation to the aspect of territorial coverage, it should be noted that in the attribution of scores related to the percentage of territorial coverage, a reward criterion is also used for the operator with the highest coverage - guaranteeing them a priori a greater possibility of achieving the highest overall score - which further contributes to expanding the non-replicable advantages of the Universal Postal Service Provider, to the further detriment of the principle of equal conditions for participation.</w:t>
      </w:r>
    </w:p>
    <w:p>
      <w:r>
        <w:t>In fact, considering the characteristics of the tender, for which the value of the lots in question is particularly significant and the share of notifications in the regional territory is predominant (90% for lot no. 1 and 85% for lot no. 2), different and alternative forms of the tender design, more favorable to competitive play than what is provided in the current notice, appear implementable, without compromising the efficiency needs of the contracting authority, such as, for example, the provision for a division into lots also on a geographical basis, with at least one of the lots for notifications destined solely for the regional territory.</w:t>
      </w:r>
    </w:p>
    <w:p>
      <w:r>
        <w:t>Furthermore, with reference to lots no. 1 and 2, the Authority believes that the possession of an individual special license of type A required within the eligibility requirements necessary to participate in the tender, as provided for by art. 7.1, lett. d) and e), of the Tender Regulations, is excessive and constitutes a breach of the favor participationis due to the fact that the acts subject to notification by mail, provided for in lots no. 1 and 2, do not constitute judicial acts in the strict sense or acts that can actually be traced/assimilated to them, as they are acts pertaining to administrative procedures, which can be classified in some cases as imposing administrative acts, which do not come from civil, criminal, and administrative Judicial Authorities. From a competition protection perspective, it would therefore be preferable for the requirement of possessing the individual special license of type A to be requested exclusively by the contracting authorities only for those acts that are expressly classifiable as judicial acts in the strict sense or acts traceable/assimilable to judicial acts. It follows that with reference to the acts subject to this tender, both types of individual special licenses (type A and B) should be provided as necessary eligibility requirements for participation in the tender, in order to guarantee the maximum possible favor participationis.</w:t>
      </w:r>
    </w:p>
    <w:p>
      <w:r>
        <w:t>In conclusion, the Authority believes that, in relation to the profiles highlighted above, the provisions of the lex specialis of the tender, called by the Lazio Region - Central Regional Procurement Directorate -, aimed at the stipulation of Framework Agreements for the assignment of notification services of judicial acts and administrative sanctions intended for the administrations of the territory of the Lazio Region, are likely to be in potential conflict with the norms and principles protecting competition and the market, in particular with Article 41 of the Constitution and with Articles 49 and 56 of the Treaty on the Functioning of the European Union, as well as with the principles established by Article 30 of Legislative Decree no. 50/2016 (Public Contracts Code) and with Article 51 of the same Legislative Decree no. 50/2016 regarding the division into lots of contracts.</w:t>
      </w:r>
    </w:p>
    <w:p>
      <w:r>
        <w:t>Therefore, the Authority invites this Region to implement the necessary corrective measures to restore the correct competitive dynamics regarding the assignment of notification services of judicial acts and administrative sanctions intended for the administrations of the territory of the Lazio Region.</w:t>
      </w:r>
    </w:p>
    <w:p>
      <w:r>
        <w:t>Pursuant to Article 21-bis, paragraph 2, of Law no. 287/90, this Region must communicate to the Authority, within sixty days from the receipt of this opinion, the determinations taken to remove the aforementioned competition violations. If within the aforementioned term such initiatives do not prove to be compliant with the competitive principles expressed above, the Authority may file an appeal within the subsequent thirty days.</w:t>
      </w:r>
    </w:p>
    <w:p>
      <w:r>
        <w:t>This opinion will be published in the Authority's Bulletin pursuant to art. 26 of Law no. 287/90.</w:t>
      </w:r>
    </w:p>
    <w:p>
      <w:r>
        <w:t xml:space="preserve">THE PRESIDENT </w:t>
        <w:br/>
        <w:t xml:space="preserve">Roberto Rustichelli </w:t>
        <w:br/>
        <w:t xml:space="preserve">___________________________________________________________________________ </w:t>
        <w:br/>
        <w:t>Announcement regarding the Authority's decision not to appeal against the tender of the procurement procedure, called by the Lazio Region, aimed at the stipulation of Framework Agreements for the assignment of notification services of judicial acts and administrative sanctions intended for the administrations of the territory of the Lazio Region.</w:t>
      </w:r>
    </w:p>
    <w:p>
      <w:r>
        <w:t>In its meeting of February 15, 2022, the Competition and Market Authority decided to send a reasoned opinion pursuant to Article 21-bis of Law 10 October 1990, no. 287 regarding the tender of the procurement procedure, called by the Lazio Region, aimed at the stipulation of Framework Agreements for the assignment of notification services of judicial acts and administrative sanctions intended for the administrations of the territory of the Lazio Region and any other presupposed and consequent act.</w:t>
      </w:r>
    </w:p>
    <w:p>
      <w:r>
        <w:t xml:space="preserve">BULLETIN NO. 13 OF APRIL 11, 2022 47 </w:t>
        <w:br/>
        <w:t>In particular, the Competition and Market Authority noted, with reference to lots no. 1 and 2 of the tender in question, that the provision of a minimum territorial coverage on a national basis of 80% and the request, among the eligibility requirements, for the sole possession of an individual special license of type A, were detrimental to competition and the favor participationis and were in contrast with the principles of non-discrimination and equal treatment, as well as with the principle of proportionality. In particular, the provision of a minimum territorial coverage on a national basis of 80%, contained in art. 4.1.2 of the Technical Specifications, appeared likely to prejudice the correct unfolding of competitive dynamics in the conduct of the tender procedure, considering that this territorial coverage was excessively high and such as to advantage only those postal operators who could guarantee such a widespread coverage of the territory, either because they are particularly structured, such as the Universal Postal Service Provider, Poste Italiane S.p.A., or because they are rooted in the territory. Furthermore, the possession of an individual special license of type A required within the eligibility requirements necessary to participate in the tender, as provided for by art. 7.1, lett. d) and e), of the Tender Regulations, was found to be excessive and constituted a breach of the favor participationis due to the fact that the acts subject to notification by mail provided for in lots no. 1 and 2 did not constitute judicial acts in the strict sense or acts that can actually be traced/assimilated to them, as they were acts pertaining to administrative procedures, which can be classified in some cases as imposing administrative acts, which do not come from civil, criminal, and administrative Judicial Authorities.</w:t>
      </w:r>
    </w:p>
    <w:p>
      <w:r>
        <w:t>Following the receipt of this reasoned opinion, the Lazio Region, with communication received on March 10, 2022, informed the Competition and Market Authority that it intends to comply with the aforementioned opinion pursuant to art. 21-bis and that it has annulled, with Determination no. G02525 of 07/03/2022, lots no. 1 and 2 of the tender in question.</w:t>
      </w:r>
    </w:p>
    <w:p>
      <w:r>
        <w:t>Acknowledging the regional administration's compliance with the aforementioned reasoned opinion, the Competition and Market Authority, in its meeting of April 5, 2022, deemed that the prerequisites for any appeal before the administrative judge against the contested acts had been absent from the outset.</w:t>
      </w:r>
    </w:p>
    <w:p>
      <w:r>
        <w:rPr>
          <w:b/>
        </w:rPr>
        <w:t>[Pages 46–48]</w:t>
      </w:r>
    </w:p>
    <w:p>
      <w:r>
        <w:t>48 BULLETIN NO. 13 OF APRIL 11, 2022</w:t>
        <w:br/>
        <w:t>UNFAIR COMMERCIAL PRACTICES</w:t>
        <w:br/>
        <w:t>IP349 - VOLOTEA-POST-COVID FLIGHT CANCELLATION</w:t>
        <w:br/>
        <w:t>Measure no. 30077</w:t>
        <w:br/>
        <w:t>THE COMPETITION AND MARKET AUTHORITY</w:t>
        <w:br/>
        <w:t>IN ITS MEETING of 22 March 2022;</w:t>
        <w:br/>
        <w:t>HEARD the Rapporteur, Professor Michele Ainis;</w:t>
        <w:br/>
        <w:t>HAVING REGARD TO Part II, Title III of Legislative Decree 6 September 2005, no. 206, and subsequent amendments (hereinafter, Consumer Code);</w:t>
        <w:br/>
        <w:t>HAVING REGARD, in particular, to art. 27, paragraph 12, of the Consumer Code, according to which in case of non-compliance with urgent measures or prohibitory or remedial measures, the Authority applies an administrative monetary penalty from 10,000 to 5,000,000 euros and in cases of repeated non-compliance, the Authority may order the suspension of business activity for a period not exceeding thirty days;</w:t>
        <w:br/>
        <w:t>HAVING REGARD TO Law 24 November 1981, no. 689;</w:t>
        <w:br/>
        <w:t>HAVING REGARD TO its resolution of 27 April 2021, no. 29650, by which the Authority established the violation by Volotea S.L. of the provisions of arts. 20, 21, paragraph 1, letters a) and b), 22, 23, paragraph 1, letter e), 24 and 25 of the Consumer Code;</w:t>
        <w:br/>
        <w:t>HAVING REGARD TO its resolution of 16 November 2021, no. 29896, by which the Authority decided to initiate the investigation procedure IP349, contesting the professional for the violation of art. 27, paragraph 12, of the Consumer Code, for failing to comply with the warning referred to in letter a) of the device of resolution no. 29650 of 27 April 2021;</w:t>
        <w:br/>
        <w:t>HAVING REGARD TO the documents of the procedure;</w:t>
        <w:br/>
        <w:t>CONSIDERING the following:</w:t>
        <w:br/>
        <w:t>I. THE PARTIES</w:t>
        <w:br/>
        <w:t>1. VOLOTEA S.L. (hereinafter, "VOLOTEA" or also the Company or the "Professional") is a company under Spanish law that operates as a low-cost airline in Italy and Europe on major national and international routes. The company reports, based on the latest available accounting document for the financial year 2020, a turnover of 192.800 million euros1.</w:t>
        <w:br/>
        <w:t>2. The consumer association C.O.DI.C.I., as an intervenor.</w:t>
        <w:br/>
        <w:t>II. CLOSURE MEASURE OF PROCEDURE PS11821</w:t>
        <w:br/>
        <w:t>3. With the closure measure of procedure PS11821 of 27 April 2021, no. 29650, (hereinafter also, "Measure"), the Authority established that Volotea engaged in unfair and aggressive commercial practices consisting of providing, following flight cancellations, after 3 June 2020, overall ambiguous and insufficient information regarding the real causes of flight cancellations and the methods of post-sale assistance, as well as adopting improper methods for the issuance of compensations and refunds due for the return of the ticket price for the canceled flight, which induced the consumer to accept the voucher instead of the monetary refund.</w:t>
        <w:br/>
        <w:t>4. The Authority, in particular, determined that the overall information provided by Volotea regarding the methods of post-sale assistance and, above all, the methods for the issuance of compensations and refunds due for the price of the canceled ticket were found to be severely incorrect and omissive. In fact, the professional failed to adequately highlight to customers all the alternative compensations due, in accordance with the current community regulations protecting consumer rights, in case of cancellation of transport services; nor was the possibility of choice, which must be left to the consumer, regarding the method of refund for the canceled flight ticket clearly represented. In fact, Volotea proposed the voucher to the consumer as the first and most immediate form of compensation for the flight it canceled, deferring the possibility of requesting the monetary refund to a subsequent and specific request by the consumer.</w:t>
        <w:br/>
        <w:t>5. Furthermore, the Authority, with the aforementioned measure, deemed particularly relevant the compression of the freedom of choice, which, on the contrary, must be fully recognized to consumers, regarding the type of compensation/refund for the ticket canceled by the Carrier, also due to the objective asymmetry of the consumer relationship and the structurally unequal position of the individual consumer compared to the business. In fact, the post-sale assistance methods adopted by Volotea took on aggressive characteristics, as they were suitable for implementing an undue conditioning of consumer choices, by imposing the aforementioned obstacles to the exercise of contractual rights related to obtaining the monetary refund due in case of unilateral cancellation of the trip by the Carrier, resulting, for the majority of consumers, in the substantial imposition of a specific method of compensation, despite the necessary presentation and provision of the alternatives provided by community regulations.</w:t>
        <w:br/>
        <w:t>6. Moreover, as evidence of the aggressiveness of the case in question, the Authority found relevant the existence of the structural element of undue conditioning (i.e., non-contractual obstacles to the exercise of rights arising from the contract), as well as the functional element, constituted, in this case, by the distorting effect on the consumer's freedom of choice regarding the preferred refund option.</w:t>
        <w:br/>
        <w:t>7. In light of these considerations, the Authority prohibited the further dissemination of the aforementioned commercial practice imposing a monetary penalty of one million four hundred thousand euros.</w:t>
        <w:br/>
        <w:t>III. THE REITERATION OF THE PRACTICE</w:t>
        <w:br/>
        <w:t>8. With intervention requests received during the period August - December 2021, several consumers and the association Movimento Consumatori reported that the carrier continues to adopt those behaviors that the Authority sanctioned with the measure of 27 April 2021, no. 29650.</w:t>
        <w:br/>
        <w:t>9. In particular, the reporters highlighted that Volotea would have adopted the following behaviors:</w:t>
        <w:br/>
        <w:t>- cancellation of flights – even until September 2021 – using the motivation of the pandemic and issuing the voucher instead of the monetary refund, not following up on the monetary refund requests made by consumers, and in cases where vouchers were used, would have transformed the related value into "Volotea credit," as after the 12-month period from issuance it would not recognize the monetary refund of the same to consumers, nor the extension of the validity period to 24 months2;</w:t>
        <w:br/>
        <w:t>- obstacles and difficulties in using the voucher pursuant to art. 88-bis and obtaining its monetary refund, received following the cancellation of flights during the pandemic period3 (March - May 2020), more than a year after issuance, as the professional claims that the credit is expired or states that the voucher is non-refundable;</w:t>
        <w:br/>
        <w:t>- the loss of remaining credit in case of partial use of the voucher (even in the case of vouchers pursuant to art. 88-bis)4. Specifically, as represented and documented by a consumer who, in December 2020, received a voucher pursuant to art. 88-bis in which the carrier expressly stated that "in case of non-use by the expiration, a refund may be obtained," upon the consumer's request for a monetary refund of the voucher made in July 2021, the carrier responded that the refund was not possible because the voucher had been partially used;</w:t>
        <w:br/>
        <w:t>- failure to credit the refunded amount to the payment methods as reported by other consumers. In fact, although they received the email from Volotea confirming the recognition of the monetary refund of the voucher, they never had the credit of the related sums on the credit card used for the ticket payment or on the bank account indicated at the time of the refund5;</w:t>
        <w:br/>
        <w:t>- failure to refund the amount paid for the purchase of an airline ticket for a flight canceled by Volotea, even months after the request for monetary refund and related reminders6, without feedback from the company;</w:t>
        <w:br/>
        <w:t>- paid call center7: in this regard, a consumer reports that having purchased the flexi fare to be able to freely change the time and day of the purchased flight, he was unable to use this option as Volotea's paid call center dropped the line at the final stage of the flight change operation, forcing him to call back multiple times with consequent significant monetary expenditure.</w:t>
        <w:br/>
        <w:t>10. Based on this information, therefore, the reiteration of the commercial practice subject to the aforementioned measure has emerged, and in particular that the professional continues to provide</w:t>
      </w:r>
    </w:p>
    <w:p>
      <w:r>
        <w:rPr>
          <w:b/>
        </w:rPr>
        <w:t>[Pages 49–51]</w:t>
      </w:r>
    </w:p>
    <w:p>
      <w:r>
        <w:t>BULLETIN NO. 13 OF APRIL 11, 2022 51</w:t>
        <w:br/>
        <w:t>incorrect information regarding the issuance of vouchers and the possibility of obtaining a cash refund for the cost of the airline ticket, as well as creating obstacles for consumers in exercising their rights aimed at the full use of the voucher or obtaining a cash refund for it.</w:t>
        <w:br/>
        <w:t>IV. THE NON-COMPLIANCE PROCEDURE</w:t>
        <w:br/>
        <w:t>11. By resolution of November 16, 2021, no. 29896, the Authority initiated the investigative procedure IP349, pursuant to art. 27, paragraph 12, of the Consumer Code.</w:t>
        <w:br/>
        <w:t>12. Volotea accessed the documents of the procedure on December 1, 2021, and February 15, 2022.</w:t>
        <w:br/>
        <w:t>13. On December 20, 2021, the hearing of the company's representatives took place.</w:t>
        <w:br/>
        <w:t>14. The Professional submitted defensive observations on January 14, 2022, and March 8, 2022.</w:t>
        <w:br/>
        <w:t>15. On February 10, 2022, the parties to the procedure were notified of the deadline for submitting any concluding memoranda, set for March 3, 2022.</w:t>
        <w:br/>
        <w:t>V. THE OUTCOMES OF THE PROCEDURE</w:t>
        <w:br/>
        <w:t>16. The elements acquired during the procedure allowed for the ascertainment of the continuation of the unlawful conduct carried out by Volotea, already the subject of the closure measure of procedure PS11821, decided on April 27, 2021, no. 29650.</w:t>
        <w:br/>
        <w:t>a) The Covid justification for flight cancellations</w:t>
        <w:br/>
        <w:t>17. Based on the reports in the documents, it appears that Volotea continued to cancel flights – until September 2021 – using the justification of the pandemic8 and, in some cases, issuing vouchers instead of cash refunds. Furthermore, the company continued to issue vouchers, instead of cash refunds, even in response to specific requests in this regard from consumers.</w:t>
        <w:br/>
        <w:t>18. As demonstrated by the image above, consisting of the information sent to a consumer upon the cancellation of a flight, the justification provided is that of the Covid-19 pandemic. Upon closer inspection, the cancellation of flights justified in relation to the health emergency constituted a corporate policy, or a strategy of the company, as there was no longer any restriction on movement that justified such cancellations and such justification. As evidenced by the complaints received by the consumer association9 and, in particular, the case of a consumer who, having purchased an airline ticket in April 2021 for a flight in September 2021, received notification from the airline a few days later about the cancellation of the flight due to Covid, this justification was used even after the injunction referred to in measure no. 29650 mentioned.</w:t>
        <w:br/>
        <w:t>The refund for the canceled flight</w:t>
        <w:br/>
        <w:t>19. From consumer reports, it appears that Volotea, in the event of flight cancellations, continued to issue vouchers instead of recognizing cash refunds, even in the face of explicit requests in this regard made by consumers.</w:t>
        <w:br/>
        <w:t>20. Notably, there is the case of a consumer who, having obtained a voucher for the amount of €162.56 due to a flight cancellation that occurred in May 2020, on April 30, 2021, booked a new flight departing on September 23, 2021, and returning on September 25, 2021, using the aforementioned voucher. Subsequently, he requested and obtained a change of departure and arrival dates (departure September 16, 2021 – return September 19, 2021) and paid, to supplement the higher cost, the sum of €28.33. By email dated August 5, 2021, the airline communicated the cancellation of the return flight on September 19, 2021. The consumer requested, through an operator, a refund of the cost of the return ticket, but the operator communicated the impossibility of obtaining a cash refund and proposed a change of flight date and/or the issuance of a new voucher10.</w:t>
        <w:br/>
        <w:t>21. Another consumer11 reported Volotea's continuous refusal to requests for conversion of the voucher into cash despite multiple reminders sent to the carrier. In fact, the consumer, having received a voucher on June 10, 2020, amounting to €270 (120% of €225 spent) following the cancellation of the flight on June 17, 2020, and having only partially used that voucher, due to a new cancellation, was unable to obtain a cash refund as Volotea stated it would only refund using the same payment method.</w:t>
        <w:br/>
        <w:t>22. From the elements acquired by the professional, it appears that in the case of a ticket purchased via voucher, in the event of cancellation, Volotea only recognizes a new voucher to the consumer, even if the original voucher was expressly refundable after 12 months from issuance. For example, there is the case of a consumer who, having purchased an airline ticket partially paid for with a voucher and partially with a credit card, requested a cash refund of the entire amount, while Volotea wants to refund in vouchers the part paid with the voucher and with a credit card credit the part paid with the card12.</w:t>
        <w:br/>
        <w:t>23. Volotea stated that, in the process of refunding the amount related to the ticket for the canceled flight, it limited itself to using the same payment method used by the consumer to pay for the ticket. Therefore, in the event that the consumer paid with a voucher, the company refunded the consumer with a voucher.</w:t>
        <w:br/>
        <w:t>9 Cf. documents attached to the report of the Consumer Movement prot. no. 72646 of September 21, 2021.</w:t>
        <w:br/>
        <w:t>10 Cf. report prot. no. 66033 of August 16, 2021.</w:t>
        <w:br/>
        <w:t>11 Cf. report prot. no. 76554 of August 30, 2021.</w:t>
        <w:br/>
        <w:t>12 Cf. report prot. no. 70773 of September 13, 2021.</w:t>
      </w:r>
    </w:p>
    <w:p>
      <w:r>
        <w:t>BULLETIN NO. 13 OF APRIL 11, 2022 53</w:t>
        <w:br/>
        <w:t>24. In the defensive memorandum13, it was then specified that since January 19, 2022, a new IT implementation has been introduced in the Self-Management System, which also allows consumers who have used a voucher/credit to book a flight that has been canceled to once again choose between a cash refund and a voucher independently. Prior to that date, according to what was stated by the professional, Volotea's customer care managed customer requests for cash refunds on a case-by-case basis, although this option was not contemplated in the Self-Management System for consumers who had used a different payment method.</w:t>
        <w:br/>
        <w:t>b) Failure to refund vouchers</w:t>
        <w:br/>
        <w:t>25. Numerous reports highlight difficulties in obtaining refunds for vouchers issued at their natural expiration, as the professional claims that the credit is expired14, or states that the voucher is non-refundable.</w:t>
        <w:br/>
        <w:t>26. This is the case, for example, of a consumer who, having received in April 2020 two vouchers issued pursuant to art. 88-bis of law no. 27 of April 24, 2020, and having requested in August 2021 multiple times the refund of the vouchers, always received a refusal from Volotea to refund, asserting that the vouchers are non-refundable15.</w:t>
        <w:br/>
        <w:t>27. Another consumer then reports that on June 19, 2020, he had his flight canceled by Volotea, which immediately offered a voucher. The consumer, believing he had received a voucher,</w:t>
      </w:r>
    </w:p>
    <w:p>
      <w:r>
        <w:rPr>
          <w:b/>
        </w:rPr>
        <w:t>[Pages 52–54]</w:t>
      </w:r>
    </w:p>
    <w:p>
      <w:r>
        <w:t>54 BULLETIN NO. 13 OF APRIL 11, 2022</w:t>
        <w:br/>
        <w:t>pursuant to art. 88-bis, accepts the voucher but, subsequently, every time he requested a refund, he received a refusal from the company on the grounds that it was a non-refundable voucher16.</w:t>
        <w:br/>
        <w:t>28. Another consumer reported that, having had their flight canceled due to Covid-19 on April 27, 2020, they received a refund for the ticket only in flight credits. Subsequently, they attempted to use these credits to purchase additional tickets to be used first in June 2021 and then in September 2021, but both bookings were canceled by Volotea. Following this, the company offered the possibility of a refund by restoring the voucher or issuing a new voucher with a new validity of 12 months. The consumer instead requested a full refund to be credited back to their credit card, but Volotea did not follow through with this refund17.</w:t>
        <w:br/>
        <w:t>29. Other consumers have indeed reported the impossibility of using vouchers after 12 months from issuance18. Specifically, these consumers, who requested the possibility of purchasing airline tickets using vouchers, were informed by the operators that the vouchers had expired as the 12-month validity period had elapsed.</w:t>
        <w:br/>
        <w:t>30. It is noteworthy, moreover, the circumstance detailed by the professional in the defense memorandum, regarding the handling of consumer reports only after the reports and/or the initiation of this non-compliance procedure19. In particular, also with reference to the vouchers issued pursuant to art. 88-bis, even in August 2021, Volotea refused the full refund of such vouchers20 or in December 2021, claimed that they had expired and did not process the monetary refund of the same21. In this regard, Volotea admitted to having encountered some issues in managing them that effectively resulted in the denial of the monetary refund.</w:t>
        <w:br/>
        <w:t>31. In this regard, Volotea specified that it would distinguish the vouchers into two different types: commercial vouchers and vouchers pursuant to art. 88-bis, with different regimes and validity terms:</w:t>
        <w:br/>
        <w:t>- the so-called commercial vouchers or vouchers that were offered as an additional option and in lieu of a monetary refund and rebooking of the flight (when available) in accordance with Regulation (EC) No. 261/2004. Such vouchers required (and require) acceptance by the passenger (with a click) and are subject to specific terms and conditions, of which the customer is fully informed prior to acceptance. After June 11, 2020, Volotea would have issued only commercial vouchers.</w:t>
        <w:br/>
        <w:t>- the vouchers issued pursuant to art. 88-bis: these vouchers had very limited use (only for flights canceled scheduled until June 11, 2021) and were issued in accordance with the terms and conditions provided by art. 88-bis of the Cura Italia Decree.</w:t>
        <w:br/>
        <w:t>16 See report prot. n. 79620 of 19/10/21.</w:t>
        <w:br/>
        <w:t>17 See report prot. n. 80880 of 25/10/2021.</w:t>
        <w:br/>
        <w:t>18 See report prot. n. 76770 of 7/10/21, report prot. n. 74938 of 30/9/21 as well as report from the Consumers' Movement prot. n. 72646 of 21/9/21.</w:t>
        <w:br/>
        <w:t>19 Memorandum prot. n.12639 of January 14, 2022 cited text. “Volotea proceeded to contact customers to request their credit card details to process the refund, which was processed on December 23, 2021.” It also appears from the same memorandum that other consumer requests were only addressed in December 2021.</w:t>
        <w:br/>
        <w:t>20 See report prot. n. 11130 of 12/01/2022.</w:t>
        <w:br/>
        <w:t>21 See report prot. n. 95782 of 28/12/2021.</w:t>
      </w:r>
    </w:p>
    <w:p>
      <w:r>
        <w:t>BULLETIN NO. 13 OF APRIL 11, 2022 55</w:t>
        <w:br/>
        <w:t>Only for these last ones, according to what was stated by the professional, the validity extension to 24 months would have been applied and the monetary refund would have been recognized, upon expiration or at the request of the consumer.</w:t>
        <w:br/>
        <w:t>32. Nevertheless, numerous reports concern the failure to refund vouchers pursuant to art. 88-bis (which the professional justifies here as mere issues that he would resolve following reports), thus confirming that such obstacles affected all vouchers. Furthermore, the difference regarding the different nature of the voucher and the conditions and times of its use was not adequately highlighted by the professional in communications directed to customers, as the same professional engaged in misleading conduct regarding cancellations due to Covid and the issuance of vouchers instead of monetary refunds, as established in the provision.</w:t>
        <w:br/>
        <w:t>33. The same professional admits this circumstance in the aforementioned defense memorandum when he states that “As an example, reference is made to report prot. 0066242 in which the same reporting consumer who complained about the lack of extension of the credit to 18 months acknowledged having accepted the credit granted by Volotea instead of the monetary refund. As is evident, since it is not a voucher pursuant to Art. 88-bis, the reporting party's claim was unfounded even if, precisely in order to accommodate the requests of consumers affected by cancellations as much as possible, the credit was nonetheless extended until December 31, 2021, with the possibility of booking trips for future dates without any limitations (see also prot. 0069765, 0072189, 0073505 and 0081669).”</w:t>
        <w:br/>
        <w:t>c) Loss of residual credit of the voucher</w:t>
        <w:br/>
        <w:t>34. With regard to the loss of residual credit in the case of partial use of the voucher, as represented and documented by a consumer, it appears that, in December 2020, the latter received a voucher in which the carrier expressly stated that “in case of non-use by the expiration, a refund may be obtained,” but when the consumer submitted a request for a monetary refund of the voucher in July 2021, the carrier responded that “the refund is not possible because the voucher has been partially used”22.</w:t>
        <w:br/>
        <w:t>22 See report prot. n. 74938 of 30/9/21 and lastly supplementary information prot. n. 77951 of 13/10/21 as well as report prot. n. 71954 of 15/9/21 in which the consumer reports the loss of credit.</w:t>
      </w:r>
    </w:p>
    <w:p>
      <w:r>
        <w:t>56 BULLETIN NO. 13 OF APRIL 11, 2022</w:t>
        <w:br/>
        <w:t>35. Another consumer then reported the loss of residual credit of a voucher used only partially, and this without any explanation regarding it from the airline23.</w:t>
        <w:br/>
        <w:t>36. Of the same nature is the case of a consumer who, having partially used a voucher and having suffered another flight cancellation, received another voucher for the amount used for the purchase of the new ticket, but lost the residual value of the initially used voucher that was only partially used24.</w:t>
        <w:br/>
        <w:t>37. All these behaviors appear to be repetitive of those previously carried out and subject to verification in the investigative procedure PS11821. Such conduct, therefore, is contrary to the warning issued by the Authority with the resolution of April 27, 2021, no. 29650, as it consists of the same behaviors sanctioned, consisting of the dissemination of ambiguous information regarding the possibilities of compensation in the event of flight cancellations and in application methods aimed at hindering</w:t>
        <w:br/>
        <w:t>23 See report from the Consumers' Movement prot. n. 72646 of 21/9/21.</w:t>
        <w:br/>
        <w:t>24 See report prot. n. 67554 of 30/8/21.</w:t>
      </w:r>
    </w:p>
    <w:p>
      <w:r>
        <w:rPr>
          <w:b/>
        </w:rPr>
        <w:t>[Pages 55–57]</w:t>
      </w:r>
    </w:p>
    <w:p>
      <w:r>
        <w:t>BULLETIN NO. 13 OF APRIL 11, 2022 57</w:t>
        <w:br/>
        <w:t>the rights of consumers in the use of vouchers and the possibility of converting them into cash.</w:t>
        <w:br/>
        <w:t>VI. THE ARGUMENTS OF THE PARTY</w:t>
        <w:br/>
        <w:t>38. According to the Company, there is no case of non-compliance, as it has adopted the measures proposed during the PS11821 procedure to overcome the issues encountered in issuing vouchers. The company also believes that the number of consumer reports received after resolution no. 29650/2021 does not appear significant considering the number of passengers transported during 2021.</w:t>
        <w:br/>
        <w:t>39. Regarding the behaviors adopted, Volotea first noted that the mere reference to the state of uncertainty arising from the evolution of the pandemic does not constitute a form of non-compliance with measure no. 29650/2021, since the new cancellations, even if not attributable to specific restrictions on passenger movement, are nonetheless due to the operational impacts that the pandemic is having on air transport services at the national and international levels.</w:t>
        <w:br/>
        <w:t>40. According to the company, the assessment regarding informational ambiguities would duplicate the scrutiny already conducted on the clarity of information related to the acceptance and issuance procedure of the voucher during the PS11821 Procedure, violating the prohibition of bis in idem.</w:t>
        <w:br/>
        <w:t>41. The company also observes that the issuance of the voucher instead of a refund occurred solely in the case, which is entirely negligible from a quantitative point of view, of passengers who used a voucher to book a flight that was subsequently canceled: when the consumer chooses to receive a refund in the same payment method used for the booking, the latter is indeed reimbursed in whole or in part in the form of a commercial voucher where they used that payment method to make the canceled booking. According to the company, therefore, most of the reports in which Volotea's "refusal" to issue a cash refund is complained of are attributable to consumers who used a voucher/credit issued by Volotea following the cancellation of a previous booking whose flight was again canceled. Even in this case, according to the company, it would be an exceptional case that cannot be classified as non-compliance with the Measure.</w:t>
        <w:br/>
        <w:t>42. The company then notes that some complainants have reported Volotea's "refusal" to extend or refund unused vouchers after 12 months from their issuance. In this regard, the company points out that not all vouchers issued by Volotea during the Covid-19 pandemic have a validity of more than 12 months. In fact, Volotea issued two distinct types of vouchers during the Covid-19 pandemic: i) vouchers pursuant to art. 88-bis and ii) commercial vouchers. The vouchers under art. 88-bis were initially issued for flights canceled up to May 2020, with a departure date up to June 11, 20201. After that date, only commercial vouchers were issued, for which, through the self-management system, consumers were offered the possibility to choose independently between a cash refund of the booking value or in the form of increased credit/commercial voucher (120% of the booking value) valid for 12 months and non-refundable in cash. According to the company, therefore, the reports regarding the alleged impossibility of using the vouchers or converting them into cash after 12 months from their issuance are unfounded concerning the commercial vouchers.</w:t>
      </w:r>
    </w:p>
    <w:p>
      <w:r>
        <w:t>58 BULLETIN NO. 13 OF APRIL 11, 2022</w:t>
        <w:br/>
        <w:t>43. With reference to the reports of some consumers who complained about the loss of remaining credit due to partial use of the voucher, the company observes that Regulation (EC) 261/2004 does not prescribe that vouchers must be "multi-use," moreover, in compliance with the Measure, Volotea already in July 2021 modified the conditions for using commercial vouchers in a more favorable manner for consumers. In particular, starting from July 15, 2021, the new commercial vouchers issued by the Company were multi-use, while the commercial vouchers already in the possession of customers, if used from July 15, 2021, became multi-use. Furthermore, for the unused portion of vouchers redeemed during the period between the notification date of the final measure (May 17, 2021) and July 15, 2021, new multi-use vouchers were issued, with which it was possible to make bookings until December 31, 2021, even for flights scheduled after the expiration date of the voucher without any limitation.</w:t>
        <w:br/>
        <w:t>44. Volotea finally noted that some cases of non-refunds of vouchers were due to the failure of customers' banks to comply with the security systems required by Directive PSD2 and that in any case the company has engaged with consumers to process refunds via bank transfer or other updated payment methods.</w:t>
        <w:br/>
        <w:t>45. The company stated that it has implemented further measures consisting of sending a personalized email reminding each customer of the remaining amount of the voucher and that they can use it, until the relevant expiration date, to book any Volotea flight, even at a later date, without any restrictions. The email was sent on March 11, 2022. Starting from May 2022 and until January 2023, at the end of each month, an email will be sent to users whose voucher has expired during the month, informing them that Volotea is implementing a commercial action consisting of proactive cash refunds of the unused balance as of the expiration date of the voucher. The communication will contain a link where they can provide their bank details for the purpose of receiving the refund.</w:t>
        <w:br/>
        <w:t>46. Finally, Volotea requests that, in the denied hypothesis that a different conclusion should be reached, the Authority take into account, in the assessment of any penalty, two important criteria identified by article 11 of Law no. 689/81: i) the actions taken by the agent to eliminate or mitigate the consequences of the violation and ii) the absence of severity of the contested conduct.</w:t>
        <w:br/>
        <w:t>VII. EVALUATIONS</w:t>
        <w:br/>
        <w:t>47. In light of the findings emerged in the procedure, it is believed that the behavior exhibited by the professional constitutes non-compliance with letter a) of the device of resolution of April 27, 2021, no. 29650, as, based on the evidence acquired in the records, Volotea appears to have repeated conduct already deemed unlawful by the Authority pursuant to articles 20, 21, paragraph 1, letters a) and b), 22, 23, paragraph 1, letter e), 24 and 25 of the Consumer Code.</w:t>
        <w:br/>
        <w:t>48. The behaviors found in the reports of consumers demonstrate that the conduct adopted by the professional after the warning referred to in the aforementioned measure is likely to continue to significantly hinder the recognition of cash refunds and prevent the exercise of the related rights of consumers.</w:t>
        <w:br/>
        <w:t>49. In particular, these include: the justification provided for the cancellation of flights; the difficulties encountered by consumers in requesting and obtaining a refund for the ticket related to a canceled flight; the difficulties in using the voucher and the lack of refunds for these, as well as the loss of remaining credit in the case of partial use of the voucher.</w:t>
        <w:br/>
        <w:t>50. The reports in the records demonstrate how Volotea continued to cancel flights – even until September 2021 – using the justification of the pandemic even in the absence of restrictions on movement and that the use of this justification was not an episodic case25.</w:t>
        <w:br/>
        <w:t>51. From the reports, another important element emerges regarding the difficulties encountered by consumers in obtaining a cash refund for the voucher upon expiration of its validity period, as well as, similarly, there are still difficulties for consumers in obtaining cash refunds in the case of partial use of the voucher26.</w:t>
        <w:br/>
        <w:t>52. In this regard, preliminarily, the professional's assertion regarding an alleged violation of the ne bis in idem principle in the event that the Authority conducts a new assessment of the informational methods used by Volotea regarding the choices that the consumer is called to make in the voucher or cash refund options is without merit.</w:t>
        <w:br/>
        <w:t>53. The possible continuation of conduct aimed at denying the refund due to the consumer in the face of misleading conduct regarding cancellations, the right to a refund, and the choice of the voucher constitutes a violation of the injunction against the continuation of such conduct imposed by the aforementioned measure.</w:t>
        <w:br/>
        <w:t>54. Essentially, the professional, after the notification of the injunction measure in question, continued to adopt behaviors aimed at denying the recognition of cash refunds for vouchers issued as compensation for cancellations made both during the health emergency and after its cessation; this also in those cases where it had issued a voucher or credit from Volotea without adequately placing the consumer in a position to make an informed choice and clarifying the exact methods of use of these vouchers and in particular the condition of non-refundability that characterized them27.</w:t>
        <w:br/>
        <w:t>55. Such behaviors, effectively creating obstacles to consumers' rights, are characterized by the compression of the freedom of choice recognized to consumers regarding the type of compensation/refund for the ticket purchased for a flight subsequently canceled by the Carrier and have been, for the same reasons, censured and sanctioned with measure no. 29650 closing the PS11821 procedure.</w:t>
        <w:br/>
        <w:t>56. Furthermore, no decisive value can be attributed to the objections raised by the Professional regarding the insignificance of the reports or the circumstance that they were merely simple and occasional mishaps, even with reference to the vouchers under art. 88-bis. Some of these alleged mishaps, moreover resulting from official communications from the carrier and therefore likely attributable to a generally adopted procedure, were remedied by the professional only after the initiation of the non-compliance procedure, as is also evident from the party's own memorandum in which it is emphasized that "Volotea's customer service has managed requests as quickly as possible, as demonstrated by the handling of report prot. 0067742 in which a voucher under Art. 88-bis was mistakenly managed as a commercial voucher. Following further investigation by Volotea's customer service, on December 2, 2021, the consumer was refunded."</w:t>
        <w:br/>
        <w:t>25 See documentation attached to the report of the Consumers' Movement cited in footnote 9</w:t>
        <w:br/>
        <w:t>26 See reports cited in paragraphs III and V of this measure.</w:t>
        <w:br/>
        <w:t>27 See, for example, report prot. n. 80880 of October 25, 2021 already cited in footnote 5.</w:t>
      </w:r>
    </w:p>
    <w:p>
      <w:r>
        <w:rPr>
          <w:b/>
        </w:rPr>
        <w:t>[Pages 58–60]</w:t>
      </w:r>
    </w:p>
    <w:p>
      <w:r>
        <w:t>60 BULLETIN NO. 13 OF APRIL 11, 2022</w:t>
        <w:br/>
        <w:t>57. From the perspective of the alleged irrelevance of the reports considered by the Authority, it is worth reiterating that they serve as evidence of the factual circumstances, which are documented by official responses from the professional, leading to non-compliance with resolution no. 29650, and this, precisely in consideration of the very nature of the non-compliance procedure. On the other hand, account must be taken of the circumstances reported by consumers regarding the failure to refund vouchers or the difficulties they encountered in using the voucher, as well as all those behaviors exhibited by the professional that demonstrate the recurrence of actions already criticized and sanctioned by the Authority.</w:t>
        <w:br/>
        <w:t>58. Volotea has stated that it has adopted, since July 2021, concrete measures aimed at ensuring full customer satisfaction regarding the issuance of vouchers or their full use. This is contradicted by the ongoing perpetuation of delaying and obstructive behaviors reported by consumers concerning the actual provision of monetary refunds - which consumers are instead awaiting - or the possibility of fully utilizing the voucher. It is noted that only after the initiation of the non-compliance procedure did the flow of consumer reports against Volotea's behaviors significantly decrease.</w:t>
        <w:br/>
        <w:t>59. The various commercial behaviors exhibited by the professional as a whole regarding flight cancellations and the reasons given, the methods of issuing the voucher and/or monetary refunds, as well as the obstacles placed in the way of consumers in making their choices and the difficulties in using the vouchers, implemented by the professional even after the notification of the aforementioned Provision, therefore present the same profiles of unfairness already established with the closure measure of procedure PS11821, resolved on April 27, 2021, no. 29650.</w:t>
        <w:br/>
        <w:t>60. In light of the above, it is believed that the behavior exhibited by the Professional constitutes non-compliance with the Authority's resolution of April 27, 2021, no. 29650, as it constitutes the recurrence of conduct referred to in letter a) of the device of the aforementioned resolution, in violation of art. 27, paragraph 12, of the Consumer Code.</w:t>
        <w:br/>
        <w:t>VIII. QUANTIFICATION OF THE SANCTION</w:t>
        <w:br/>
        <w:t>61. Pursuant to art. 27, paragraph 12, of the Consumer Code, the Authority orders the application of an administrative monetary penalty from 10,000 to 5,000,000 euros, taking into account the severity and duration of the violation.</w:t>
        <w:br/>
        <w:t>62. Regarding the quantification of the sanction, account must be taken, as applicable, of the criteria identified by art. 11 of law no. 689/81, by virtue of the reference provided in art. 27, paragraph 13, of the Consumer Code: in particular, the severity of the violation, the actions taken by the company to eliminate or mitigate the infringement, as well as the economic conditions of the company itself.</w:t>
        <w:br/>
        <w:t>63. In relation to the economic size of the Professional, it appears that Volotea achieved a turnover of approximately 190 million euros in 2020, based on the latest available accounting document related to the financial year 2020.</w:t>
        <w:br/>
        <w:t>64. With regard to the severity of the violation, account is taken of the ways in which non-compliance with the resolution of April 27, 2021, no. 29650 occurred: i) the type of infringements, characterized by a multiplicity of behaviors each marked by a significant degree of offensiveness to consumer rights; ii) the extent of the economic harm caused to consumers, concerning the failure to provide monetary refunds for the voucher and the obstacles placed to its use.</w:t>
        <w:br/>
        <w:t>65. As for the duration of the violation, from the elements on record, the unlawful behaviors described above, constituting non-compliance with the resolution of April 27, 2021, no. 29650, as mentioned above, appear to have been carried out after May 17, 2021, the date of notification of the Provision, and are still ongoing concerning the failure to provide monetary refunds in response to specific requests in this regard from consumers28.</w:t>
        <w:br/>
        <w:t>66. Based on these elements, it is deemed appropriate to set the base amount of the sanction at 1,500,000 € (one million five hundred thousand euros).</w:t>
        <w:br/>
        <w:t>67. However, taking into account the lesser severity of the professional's conduct compared to those in the main provision, relating to specific and more limited behaviors primarily aimed at reducing the usability of the issued vouchers, as well as the crisis situation in the airline sector due to the ongoing pandemic situation, it is deemed appropriate to apply to Volotea S.L. an administrative monetary penalty of 500,000 € (five hundred thousand euros).</w:t>
        <w:br/>
        <w:t>All of the above having been stated and considered;</w:t>
        <w:br/>
        <w:t>RESOLVES</w:t>
        <w:br/>
        <w:t>a) that the behavior of Volotea S.L. consisting of violating the resolution of April 27, 2021, no. 29650, constitutes non-compliance with the latter;</w:t>
        <w:br/>
        <w:t>b) to impose on Volotea S.L. an administrative monetary penalty of 500,000 € (five hundred thousand euros).</w:t>
        <w:br/>
        <w:t>The imposed administrative penalty must be paid within thirty days from the notification of this provision, via bank transfer (in euros) to the Treasury, using the IBAN code IT04A0100003245348018359214 (BIC code: BITAITRRENT), which corresponds to the accounting number 18/3592/14.</w:t>
        <w:br/>
        <w:t>After the aforementioned deadline, for a delay period of less than six months, late interest must be paid at the legal rate starting from the day following the expiration of the payment deadline until the date of payment. In case of further delay in compliance, pursuant to art. 27, paragraph 6, of law no. 689/81, the amount due for the imposed sanction is increased by one-tenth for each semester starting from the day following the expiration of the payment deadline until the role is transmitted to the collection agent; in this case, the increase absorbs the late interest accrued during the same period.</w:t>
        <w:br/>
        <w:t>Immediate communication of the payment must be given to the Authority by sending the documentation certifying the payment made.</w:t>
        <w:br/>
        <w:t>28 See, lastly, reports prot. no. 11130 of 10/1/2022 and prot. no. 19523 of 11/2/2022</w:t>
      </w:r>
    </w:p>
    <w:p>
      <w:r>
        <w:t>62 BULLETIN NO. 13 OF APRIL 11, 2022</w:t>
        <w:br/>
        <w:t>This provision will be notified to the interested parties and published in the Bulletin of the Competition and Market Authority.</w:t>
        <w:br/>
        <w:t>Against this provision, an appeal may be submitted to the TAR of Lazio, pursuant to art. 135, paragraph 1, letter b), of the Code of Administrative Procedure (Legislative Decree of July 2, 2010, no. 104), within sixty days from the date of notification of the provision itself, without prejudice to the longer terms referred to in art. 41, paragraph 5, of the Code of Administrative Procedure, or an extraordinary appeal may be proposed to the President of the Republic, pursuant to art. 8 of the Decree of the President of the Republic of November 24, 1971, no. 1199, within one hundred and twenty days from the date of notification of the provision itself.</w:t>
        <w:br/>
        <w:t>THE SECRETARY GENERAL THE PRESIDENT</w:t>
        <w:br/>
        <w:t>Guido Stazi Roberto Rustichelli</w:t>
      </w:r>
    </w:p>
    <w:p>
      <w:r>
        <w:rPr>
          <w:b/>
        </w:rPr>
        <w:t>[Pages 61–63]</w:t>
      </w:r>
    </w:p>
    <w:p>
      <w:r>
        <w:t>BULLETIN NO. 13 OF APRIL 11, 2022 63</w:t>
        <w:br/>
        <w:t>IP350 - BLUE PANORAMA-POST-COVID FLIGHT CANCELLATION</w:t>
        <w:br/>
        <w:t>Measure no. 30078</w:t>
        <w:br/>
        <w:t>THE COMPETITION AND MARKET AUTHORITY</w:t>
        <w:br/>
        <w:t>IN ITS MEETING of 22 March 2022;</w:t>
        <w:br/>
        <w:t>HEARD the Rapporteur, Professor Michele Ainis;</w:t>
        <w:br/>
        <w:t>HAVING REGARD TO Part II, Title III of Legislative Decree 6 September 2005, no. 206, and subsequent amendments (hereinafter, Consumer Code);</w:t>
        <w:br/>
        <w:t>HAVING REGARD, in particular, to art. 27, paragraph 12, of the Consumer Code, according to which in case of non-compliance with urgent measures or prohibitory or remedial measures, the Authority applies an administrative monetary penalty from 10,000 to 5,000,000 euros and in cases of repeated non-compliance, the Authority may order the suspension of business activity for a period not exceeding thirty days;</w:t>
        <w:br/>
        <w:t>HAVING REGARD TO Law 24 November 1981, no. 689;</w:t>
        <w:br/>
        <w:t>HAVING REGARD TO its resolution of 16 February 2021, no. 28583, by which the Authority made binding the measures proposed by Blue Panorama S.p.A. as commitments under art. 27, paragraph 7 of the Consumer Code;</w:t>
        <w:br/>
        <w:t>HAVING REGARD TO its resolution of 16 November 2021, no. 29897, by which the Authority decided to initiate the investigative procedure IP350, contesting the professional for the violation of art. 27, paragraph 12, of the Consumer Code, for failing to comply with the commitments made binding by the aforementioned resolution;</w:t>
        <w:br/>
        <w:t>HAVING REGARD TO the documents of the procedure;</w:t>
        <w:br/>
        <w:t>CONSIDERING the following:</w:t>
        <w:br/>
        <w:t>I. THE PARTIES</w:t>
        <w:br/>
        <w:t>1. Blue Panorama S.p.A. (hereinafter, "Blue Panorama" or also the Company or the "Professional") operates as a low-cost airline in Italy and Europe on major national and international routes. The company reports, based on the latest available accounting document relating to the financial year 2019, a turnover of approximately 300 million euros. The company has been under the preventive arrangement procedure since 3 November 2021.</w:t>
        <w:br/>
        <w:t>2. The consumer association C.O.DI.C.I., as intervenor</w:t>
        <w:br/>
        <w:t>II. CLOSURE MEASURE OF THE PROCEDURE PS11843</w:t>
        <w:br/>
        <w:t>3. By measure of 16 February 2021, no. 28583, the Authority decided to accept and make binding the measures proposed by Blue Panorama S.p.A., as commitments under art. 27, paragraph 7 of the Consumer Code, as suitable to resolve the issues arising from flight cancellations after 3 June 2020, during a period when the legal impediments to the movement of people due to the health emergency had been lifted.</w:t>
        <w:br/>
        <w:t>4. In particular, with the cited measure, the Authority made the following measures mandatory:</w:t>
      </w:r>
    </w:p>
    <w:p>
      <w:r>
        <w:t>64 BULLETIN NO. 13 OF APRIL 11, 2022</w:t>
        <w:br/>
        <w:t>a) sending individual communications to all passengers who had purchased tickets, in Italy or through the Italian website of Blue Panorama, related to flights canceled after 3 June and who had not yet exercised any option in this regard. The communication was also to indicate all the free channels available to the passenger for exercising the option of ticket refund, as well as the link to the page of the Blue Panorama website https://www.blue-panorama.com/it/static-page/cancel-refund, titled "Changes, cancellations, and refunds";</w:t>
        <w:br/>
        <w:t>b) sending individual communications to all passengers who had purchased tickets, in Italy or through the Italian website of Blue Panorama, related to flights canceled after 3 June, who had accepted a voucher as compensation, which they had not yet used, to offer them the opportunity to receive a monetary refund instead;</w:t>
        <w:br/>
        <w:t>c) dissemination of a specific press release, to be published in the main national media and on the Company's website;</w:t>
        <w:br/>
        <w:t>d) refund requests from passengers receiving the individual communications mentioned above were to be automatically handled by the carrier and resolved as quickly as possible in accordance with the provisions of Regulation (EC) no. 261/2004 (seven days).</w:t>
        <w:br/>
        <w:t>5. Furthermore, the Authority ordered that the company communicate, within sixty days from the notification of the measure, which took place on 26 February 2021, the actual implementation of the measures made binding by the aforementioned resolution.</w:t>
        <w:br/>
        <w:t>6. On 28 April 2021, Blue Panorama sent the compliance report, required by letter c) of the measure of 16 February 2021, no. 28583, in which it communicated the actual implementation of the measures adopted by the company as per the cited measure.</w:t>
        <w:br/>
        <w:t>III. THE RECURRENCE OF THE PRACTICE</w:t>
        <w:br/>
        <w:t>7. With intervention requests received subsequently, from July to October 2021, some consumer associations and several consumers reported that, months after their request for monetary refund of the voucher submitted to the carrier and following the acceptance of that request, they had not yet received the refund credit1.</w:t>
        <w:br/>
        <w:t>8. For example, many consumers highlighted that, after receiving an email from the airline in March 2021 communicating the possibility of obtaining a refund for the voucher received due to flight cancellations caused by Covid, and after proceeding to send a refund request, they had not received any further news from the airline, nor the monetary refund of the voucher as promised by the same2.</w:t>
        <w:br/>
        <w:t>9. One consumer, for example, reported that, still in September 2021, he was waiting for the monetary refund despite numerous reminders sent3.</w:t>
        <w:br/>
        <w:t>1 cf. report from Federconsumatori prot. no. 58558 of 13/7/21, prot. no. 69115 of 3/9/21 and prot. no. 7733 of 11/10/21.</w:t>
        <w:br/>
        <w:t>2 cf. attachments to the report from Movimento consumatori prot. no. 77869 of 12/10/21.</w:t>
        <w:br/>
        <w:t>3 cf. report prot. 86638 of 18/11/2021.</w:t>
      </w:r>
    </w:p>
    <w:p>
      <w:r>
        <w:t>BULLETIN NO. 13 OF APRIL 11, 2022 65</w:t>
        <w:br/>
        <w:t>IV. THE NON-COMPLIANCE PROCEDURE</w:t>
        <w:br/>
        <w:t>10. By resolution 16 November 2021, no. 29897, the Authority initiated the investigative procedure IP350, pursuant to art. 27, paragraph 12, of the Consumer Code.</w:t>
        <w:br/>
        <w:t>11. The Professional submitted defensive observations on 22 December 2021 and on 9 March 2022.</w:t>
        <w:br/>
        <w:t>12. On 16 February 2022, the parties to the procedure were informed of the deadline for the submission of any final briefs, set for 9 March 2022.</w:t>
        <w:br/>
        <w:t>V. THE OUTCOMES OF THE PROCEDURE</w:t>
        <w:br/>
        <w:t>13. The elements acquired in the procedure have allowed to ascertain that Blue Panorama has not fully executed the measures, already subject of measure no. 28583 for the closure of procedure PS11843, decided on 16 February 2021.</w:t>
        <w:br/>
        <w:t>14. In particular, the factual circumstance highlighted by the reporters regarding the failure to provide monetary refunds for the vouchers issued following flight cancellations due to Covid, at least since July 2021, is noteworthy. In this regard, reports from consumer associations attest that the failure to refund vouchers has been a widespread and repeated phenomenon by the professional since that date.</w:t>
        <w:br/>
        <w:t>15. This circumstance has also been acknowledged by the company itself, which stated that since it was admitted to the preventive arrangement procedure, pending the homologation decree of the arrangement, it has suspended all monetary refunds.</w:t>
        <w:br/>
        <w:t>16. Therefore, in light of what has been stated by the professional itself and the reports from consumers, it appears that Blue Panorama has initially executed the informative measures but, at least since July 2021, has not fully and accurately executed the restitution measures proposed by it and made binding by the cited measure.</w:t>
        <w:br/>
        <w:t>VI. THE ARGUMENTS OF THE PARTY</w:t>
        <w:br/>
        <w:t>17. Blue Panorama has stated, in particular, that it has implemented the proposed measures as commitments, as documented by the response note of 28 April 2021. It also resolved and refunded all pending situations of which it became aware following access to the documents of the PS11843 file4. On 29 October 2021, the company filed a petition for admission to the preventive arrangement procedure. By decree of 4 November 2021, the Court set the deadline of 28 February 2022 for the submission of a definitive arrangement proposal and, therefore, pursuant to art. 168 of the bankruptcy law, from the date of publication of the petition, which took place on 3 November 2021, the company has been unable to make refunds as debts prior to the date of 3 November 2021 cannot be paid except in the time and manner defined by the preventive arrangement that will be filed in Court. According to the Company, therefore, this is not a case of non-compliance, as it is a behavior mandated by bankruptcy law.</w:t>
        <w:br/>
        <w:t>4 The company accessed the documents of the file with the transmission of the documentation on 19 April 2021 prot. no. 38271 and, following the request of 18 October, on 21 October 2021 prot. no. 80335.</w:t>
      </w:r>
    </w:p>
    <w:p>
      <w:r>
        <w:rPr>
          <w:b/>
        </w:rPr>
        <w:t>[Pages 64–66]</w:t>
      </w:r>
    </w:p>
    <w:p>
      <w:r>
        <w:t>66 BULLETIN NO. 13 OF APRIL 11, 2022</w:t>
        <w:br/>
        <w:t>18. Furthermore, with the final memorandum submitted on March 9, 2022, the company stated that the cases of consumers who have not received monetary refunds are related to very few positions compared to the thousands of requests received and processed by the company. The company reiterated that as of November 3, 2021, it has been unable to make refunds as debts incurred prior to November 3, 2021, cannot be paid except in the time and manner defined by the composition with creditors that will be filed in court. Finally, the company highlighted that as of October 31, 2021 – the date of the last updated economic situation – it recorded a loss of approximately 45 million euros, which adds to the loss of approximately 60 million recorded in 2020.</w:t>
        <w:br/>
        <w:t>VII. EVALUATIONS</w:t>
        <w:br/>
        <w:t>19. In light of the findings that emerged in the proceedings, it is believed that the behavior exhibited by the Professional constitutes non-compliance with letter a) of the resolution of February 16, 2021, no. 28583, as, based on the evidence acquired in the records, Blue Panorama has only partially implemented the measures proposed as commitments and made binding by the aforementioned provision.</w:t>
        <w:br/>
        <w:t>20. In this regard, it is noted that the company has fully complied with the informative measures, as also demonstrated by the consumer reports in which it is stated that they received an email from the carrier to request the refund of the voucher, while it has only partially executed the restitution measure. In fact, as stated by the reporters, following the submission of requests for monetary refunds of the vouchers and their subsequent acceptance by the professional, the actual payment of the monetary amount did not follow. This conduct has been in place, at least since July 2021, thus well before the request and the admission of the company to the composition with creditors procedure.</w:t>
        <w:br/>
        <w:t>21. Therefore, the reasons put forward by the Professional regarding the objective impossibility of making monetary refunds do not appear relevant, as it would have constituted a violation of the provisions of the bankruptcy law, given that he was obliged to proceed with the refunds previously requested by consumers, in some cases several months before the admission to the composition procedure, precisely by virtue of the commitments made during the investigative procedure with the Authority and as a consequence of the informative measure that he implemented during the first months of 2021.</w:t>
        <w:br/>
        <w:t>22. The conduct carried out by the Professional after provision no. 28583, in fact, in the absence of specific communications updating the situation that led the Authority to accept the proposed measures, is in violation of an authoritative provision that made the measures therein binding and mandatory.</w:t>
        <w:br/>
        <w:t>23. In light of the above, it is believed that the behavior exhibited by the Professional constitutes non-compliance with the Authority's resolution of February 16, 2021, no. 28583, as the failure to execute the measures contained therein constitutes a violation of art. 27, paragraph 12, of the Consumer Code.</w:t>
      </w:r>
    </w:p>
    <w:p>
      <w:r>
        <w:t>BULLETIN NO. 13 OF APRIL 11, 2022 67</w:t>
        <w:br/>
        <w:t>VIII. QUANTIFICATION OF THE SANCTION</w:t>
        <w:br/>
        <w:t>24. Pursuant to article 27, paragraph 12, of the Consumer Code, the Authority orders the application of an administrative monetary penalty from 10,000 to 5,000,000 euros, taking into account the severity and duration of the violation.</w:t>
        <w:br/>
        <w:t>25. Regarding the quantification of the sanction, account must be taken, as applicable, of the criteria identified by article 11 of law no. 689/81, by virtue of the reference provided in article 27, paragraph 13, of the Consumer Code: in particular, the severity of the violation, the actions taken by the company to eliminate or mitigate the infringement, as well as the economic conditions of the company itself.</w:t>
        <w:br/>
        <w:t>26. With regard to the severity of the violation, account is taken of the manner in which the non-compliance with the resolution of February 16, 2021, no. 28583, was realized, and in particular of the circumstance that the behavior of the Professional is non-compliant with the commitments he undertook, based on art. 27, paragraph 7, of the Consumer Code, in light of the recognition of the resolution of the procedure without the ascertainment of the infringement. Furthermore, for the purpose of determining the base amount of the sanction, account is also taken of the number of consumers involved5 and the economic damage resulting from the failure to refund the monetary value of the vouchers.</w:t>
        <w:br/>
        <w:t>27. As for the duration of the violation, from the elements in the records, the failure to comply with the resolution of February 16, 2021, no. 28583, in the terms mentioned above, appears to have been in place at least since July 2021 and until November 2021.</w:t>
        <w:br/>
        <w:t>28. Based on these elements, it is deemed appropriate to determine the base amount of the sanction at 100,000 € (one hundred thousand euros).</w:t>
        <w:br/>
        <w:t>29. However, considering the economic situation in which the entire airline sector finds itself due to the pandemic, as well as the economic situation of the Professional who has been admitted to the composition with creditors procedure, it is deemed appropriate to apply to Blue Panorama S.p.A. an administrative monetary penalty of 10,000 € (ten thousand euros).</w:t>
        <w:br/>
        <w:t>All of the above having been stated and considered;</w:t>
        <w:br/>
        <w:t>RESOLVES</w:t>
        <w:br/>
        <w:t>a) that the behavior of Blue Panorama S.p.A., consisting of violating the resolution of February 16, 2021, no. 28583, constitutes non-compliance with the latter in violation of art. 27, paragraph 12, of the Consumer Code;</w:t>
        <w:br/>
        <w:t>b) to impose on Blue Panorama S.p.A. an administrative monetary penalty of 10,000 € (ten thousand euros).</w:t>
        <w:br/>
        <w:t>The imposed administrative penalty must be paid within thirty days from the notification of this provision, using the tax codes indicated in the attached F24 model with identifying elements, pursuant to Legislative Decree no. 241/1997.</w:t>
        <w:br/>
        <w:t>5 See reports from consumer associations in the records of file no. 52344 of June 15, 2021, no. 58558 of July 13, 2021, and no. 77689 of October 12, 2021.</w:t>
      </w:r>
    </w:p>
    <w:p>
      <w:r>
        <w:t>68 BULLETIN NO. 13 OF APRIL 11, 2022</w:t>
        <w:br/>
        <w:t>Payment must be made electronically by debiting the bank or postal current account, through the home banking and CBI services provided by banks or by Poste Italiane S.p.A., or by using the telematic services of the Revenue Agency, available on the website www.agenziaentrate.gov.it.</w:t>
        <w:br/>
        <w:t>After the aforementioned deadline, for the period of delay of less than six months, late payment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collection agent; in this case, the increase absorbs the late payment interest accrued in the same period.</w:t>
        <w:br/>
        <w:t>Immediate communication of the payment must be given to the Authority by sending the documentation certifying the payment made.</w:t>
        <w:br/>
        <w:t>This provision will be notified to the interested parties and published in the Bulletin of the Competition and Market Authority.</w:t>
        <w:b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referred to in art.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provision itself.</w:t>
        <w:br/>
        <w:t>THE SECRETARY GENERAL THE PRESIDENT</w:t>
        <w:br/>
        <w:t>Guido Stazi Roberto Rustichelli</w:t>
      </w:r>
    </w:p>
    <w:p>
      <w:r>
        <w:rPr>
          <w:b/>
        </w:rPr>
        <w:t>[Pages 67–69]</w:t>
      </w:r>
    </w:p>
    <w:p>
      <w:r>
        <w:t>BULLETIN NO. 13 OF APRIL 11, 2022 69</w:t>
        <w:br/>
        <w:t>UNFAIR CLAUSES</w:t>
        <w:br/>
        <w:t>IP348 - GOOGLE DRIVE - UNFAIR CLAUSES</w:t>
        <w:br/>
        <w:t>Measure no. 30076</w:t>
        <w:br/>
        <w:t>THE COMPETITION AND MARKET AUTHORITY</w:t>
        <w:br/>
        <w:t>IN ITS MEETING of 22 March 2022;</w:t>
        <w:br/>
        <w:t>HEARD the Rapporteur Professor Michele Ainis;</w:t>
        <w:br/>
        <w:t>HAVING REGARD TO Part III, Title I of Legislative Decree 6 September 2005, no. 206, containing the "Consumer Code" and subsequent amendments (hereinafter, Consumer Code or CdC);</w:t>
        <w:br/>
        <w:t>HAVING REGARD TO art. 37-bis, paragraph 2, of the Consumer Code according to which, in case of non-compliance with the provisions of the same paragraph 2, the Authority applies an administrative monetary penalty from 5,000 to 50,000 euros;</w:t>
        <w:br/>
        <w:t>HAVING REGARD TO Law 24 November 1981, no. 689;</w:t>
        <w:br/>
        <w:t>HAVING REGARD TO art. 23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1 April 2015;</w:t>
        <w:br/>
        <w:t>HAVING REGARD TO its resolution no. 29817 of 7 September 2021, with which the Authority, at the conclusion of procedure CV194, established the unfairness of certain clauses in the contractual model of the Terms of Service of Google, adopted by Google Ireland Ltd. and submitted for acceptance by consumers wishing to use Google Drive, and ordered the publication, at the company's own expense, of an excerpt of the measure on the homepage of its website, Italian version, within twenty days from the communication of the adoption of the aforementioned measure no. 29817;</w:t>
        <w:br/>
        <w:t>HAVING REGARD TO its resolution no. 29863 of 19 October 2021, with which the Authority initiated proceedings against Google Ireland Ltd. in procedure IP348, contesting the violation of art. 37-bis, paragraph 2, of the Consumer Code for failing to comply with the Authority's resolution no. 29817 of 7 September 2021 and, in particular, the order to publish on its website the excerpt of the aforementioned resolution according to the times and methods prescribed therein;</w:t>
        <w:br/>
        <w:t>HAVING REGARD TO the documents of the procedure;</w:t>
        <w:br/>
        <w:t>CONSIDERING the following:</w:t>
        <w:br/>
        <w:t>I. PREMISE</w:t>
        <w:br/>
        <w:t>1. With measure no. 29817 of 7 September 2021, the Authority declared the unfairness, pursuant to art. 33, paragraphs 1 and 2, of the Consumer Code, of certain clauses present in the contractual model of the Terms of Service of Google, adopted by Google Ireland Ltd. (hereinafter, "Google" or "Company"), which consumers were forced to accept in order to use the Google Drive service.</w:t>
        <w:br/>
        <w:t>2. In summary, the Authority found that:</w:t>
      </w:r>
    </w:p>
    <w:p>
      <w:r>
        <w:t>70 BULLETIN NO. 13 OF APRIL 11, 2022</w:t>
        <w:br/>
        <w:t>a) The clause regarding "Contractual Liability" which provides for forms of exclusion and/or limitation of liability on the part of Google, was unfair pursuant to art. 33, paragraphs 1 and 2, letter b), of the Consumer Code;</w:t>
        <w:br/>
        <w:t>b) The clause relating to the "Suspension or interruption of access to Google services," which provided the Company with the right to unilaterally decide the suspension or interruption of Google services, without indicating the methods and timing of communication to the user of the relevant notice and the possibility of opposing the Company's decision, was unfair pursuant to art. 33, paragraphs 1 and 2, letter d), of the Consumer Code;</w:t>
        <w:br/>
        <w:t>c) The clause relating to "Changes to the terms," in the part in which it established the right of the Professional to modify the Terms of Service in the absence of certain methods of communication to users regarding the changes, was unfair in violation of art. 33, paragraphs 1 and 2, letter m), of the Consumer Code.</w:t>
        <w:br/>
        <w:t>3. With the same measure, the Authority ordered Google to publish, at its own expense, pursuant to art. 37-bis of the Consumer Code and art. 23, paragraph 8, of the Regulation, an excerpt of the measure (the text of which is attached to the same measure), for twenty consecutive days on the homepage of the website www.google.com, Italian version, with adequate graphic prominence.</w:t>
        <w:br/>
        <w:t>4. The Authority assigned the Company a period of twenty days to comply with the publication order, also providing for Google's obligation to notify the Authority in advance of the date of publication of the excerpt.</w:t>
        <w:br/>
        <w:t>5. With communication received on 11 October 2021, Google communicated the methods and timing followed for the publication, starting from 12 October 2021, of the excerpt of the measure. In light of what was communicated, on 13 October 2021, a letter was sent to Google in which the Authority requested the necessary information to verify the methods of publication of the excerpt.</w:t>
        <w:br/>
        <w:t>6. On 15 October 2021, Google submitted the compliance report regarding the order to publish the excerpt of measure no. 29817 of 7 September 2021 and, at the same time, provided clarifications in response to the request for information made.</w:t>
        <w:br/>
        <w:t>7. From the compliance report and the information acquired, it emerged that "in order to ensure immediate prominence to the excerpt of the measure, Google published it by displaying an informational box on the Italian version of the website www.google.com and on the corresponding pages with other national top-level domains containing the search engine string and accessible from Italy. The informational box reads: 'Competition and Market Authority - Excerpt of measure CV194 Google Drive Unfair Clauses' and allows users to access the excerpt prepared by the AGCM (by clicking on 'Read here') or to confirm the receipt of the notification by interacting with the message (by clicking on 'Close')."</w:t>
      </w:r>
    </w:p>
    <w:p>
      <w:r>
        <w:t>BULLETIN NO. 13 OF APRIL 11, 2022 71</w:t>
        <w:br/>
        <w:t>8. Google also specified that "Users who do not have a Google account, users who are not logged into their Google account, and users who delete their cookies will see the informational box both on first access and on all subsequent accesses until 31 October 2021. This is also the case even if they previously clicked on 'Read here' or 'Close.' Since it cannot track their interactions on Google Sites, the Company is unable to determine whether such users have already read the information and will therefore continue to show it for the entire indicated period, even at the cost of having it read multiple times by the same users. As for users who are logged into their Google account and access Google Sites, the following applies: (i) if they do not click on either 'Read here' or 'Close,' they will continue to see the box on each new access to Google Sites until 31 October 2021, just as happens to the users referred to in the previous paragraph; (ii) if they click on 'Read here' or 'Close,' the notice will not reappear unless they access Google Sites again from a different device, after logging out of their account or after deleting their cookies. Thanks to the 'Close' and 'Read here' buttons, Google is indeed able to determine with certainty whether the user (logged in) has interacted with the informational message and has therefore become aware of the existence of the measure, and will therefore stop showing the information to users who provide proof of having received it by clicking on one of the two indicated buttons."</w:t>
        <w:br/>
        <w:t>Therefore, Google would have adopted a publication method whereby, for users accessing the page in question through their Google account, the informational box regarding the existence of the excerpt of the Authority's measure appeared only on first access, under certain circumstances, rather than remaining visible for twenty days as ordered by the measure.</w:t>
        <w:br/>
        <w:t>9. The Authority, believing that the company had complied with the publication order in a manner not corresponding to what was requested in the measure, initiated, on 19 October 2021, procedure IP348 for the possible imposition of the monetary penalty provided for by art. 37-bis, paragraph 2, of the Consumer Code, contesting to Google the failure to comply with measure no. 29817 of 7 September 2021.</w:t>
      </w:r>
    </w:p>
    <w:p>
      <w:r>
        <w:rPr>
          <w:b/>
        </w:rPr>
        <w:t>[Pages 70–72]</w:t>
      </w:r>
    </w:p>
    <w:p>
      <w:r>
        <w:t>72 BULLETIN NO. 13 OF APRIL 11, 2022</w:t>
        <w:br/>
        <w:t>10. The notice of non-compliance with the aforementioned resolution of September 7, 2021, was communicated to the Company on October 25, 2021.</w:t>
        <w:br/>
        <w:t>11. On November 16, 2021, a hearing took place at the request of Google.</w:t>
        <w:br/>
        <w:t>12. On January 27, 2022, the Party was informed of the deadline for the conclusion of the investigative phase.</w:t>
        <w:br/>
        <w:t>13. On February 16, 2022, Google submitted its defense memorandum.</w:t>
        <w:br/>
        <w:t>14. On February 22, 2022, the Authority decided to extend the deadline for the conclusion of the procedure.</w:t>
        <w:br/>
        <w:t>II. THE ARGUMENTS OF THE PROFESSIONAL</w:t>
        <w:br/>
        <w:t>15. Google, in the statements made during the hearing1, argued "that the choices made by the Company aimed to give the maximum possible visibility to the excerpt of the Authority's provision and fully achieved the goal of informing consumers of its existence and content. To ensure full and clear visibility of the notice, Google indeed placed it in a position where consumers could see it with absolute certainty, namely above the search engine bar and with particularly significant dimensions. The particular effectiveness of the solution adopted by the Company, and therefore its adherence to the rationale of the law, emerges particularly in comparison with the methods adopted by other operators who, while adhering to a merely formal compliance with the letter, typically place such notice in less visible sections of their respective sites."</w:t>
        <w:br/>
        <w:t>16. Furthermore, the Company, in support of its thesis, stated that "in compliance with the rationale of the publication order […] Google chose to repeat the informational box containing the reference to the excerpt of provision CV194 whenever it was not possible to establish with absolute certainty whether visitors had seen the notice. Therefore, for anyone who did not have a Google account or for those who, despite having one, did not click on 'Read here' or 'Close', the notice remained visible for 20 days. For individuals who have a Google account and clicked on 'Read here' or 'Close', and for whom it was therefore possible to establish with absolute certainty that they had read the notice, the box was not presented again (except by accessing the search engine from another device, another browser, from a different account, or deleting cookies)" and argued "that it adopted the publication method in question to avoid that the notices related to the publication of the excerpt of the provision generated distraction and annoyance in the consumer, unnecessarily diverting their attention" 2.</w:t>
        <w:br/>
        <w:t>17. The Company, in the memorandum received on February 16, 2022, reiterated that it had correctly complied with the publication order stating that, on October 12, 2021, Google published on its homepage a Notice containing the following text: "Competition and Market Authority – Excerpt of provision CV194 Google Drive Unfair Clauses." With the aim of giving effective visibility to the Authority's provision, the Company placed the Notice at the top of the webpage and with dimensions such as to make it necessarily visible to all users who accessed the Google search engine daily. The obligation of publication, according to the Company, is not to repeatedly bring the same message to the attention of consumers but to "inform them" of the existence of a provision that ascertains the unfairness of the clauses adopted by the professional, and this goal has undeniably been achieved since the Notice remained visible for twenty days to all consumers whose online activity could not be tracked by the Company and, moreover, was removed before the twenty days only with respect to all consumers holding a Google account who, interacting with the information and thus clicking on 'Read here' or 'Close', had acknowledged the existence of the provision, and subsequently demonstrated that they had opened the excerpt of the provision itself or were not interested in further reading of that document.</w:t>
        <w:br/>
        <w:t>18. In conclusion, for the purposes of the decision regarding this procedure, Google argues that there are no grounds for imposing a sanction, considering the actions taken by Google to comply with the imposed obligation.</w:t>
        <w:br/>
        <w:t>III. EVALUATIONS</w:t>
        <w:br/>
        <w:t>19. In light of the elements acquired in the course of the procedure and fully described above, it is believed that the behavior exhibited by Google constitutes non-compliance with resolution no. 29817 of September 7, 2021, as, although the company followed the order to publish the excerpt of the provision on its website www.google.com from October 12, 2021, and thus within the established deadlines, the Company's choice regarding the methods of publication does not appear to have been fully compliant with what was ordered in the provision and does not seem entirely suitable to meet the need to fully inform users about the clauses deemed unfair by the Authority.</w:t>
        <w:br/>
        <w:t>20. In fact, as already stated in the compliance report summarized above, also from the official checks carried out on the Google website on October 12 and 13, 2021, the following emerged.</w:t>
        <w:br/>
        <w:t>21. In the case of the first access by an Italian user to the site www.google.it, made from October 12, 2021, it was found that on the homepage an informational box appeared containing the following text: "Competition and Market Authority – Excerpt of provision CV194 Google Drive Unfair Clauses" which allowed users to view the excerpt prepared by the Authority (by clicking on 'Read here'), or to proceed by clicking on 'Close', or even to make no choice and proceed directly with a search on the Google engine. In certain circumstances, the box, even during the twenty days provided for publication, did not appear again during subsequent accesses.</w:t>
        <w:br/>
        <w:t>22. The above is confirmed in the Company's own memorandum which specifies that users who do not have a Google account, users not logged into their Google account, and users who had deleted their cookies would have seen the informational box both at the time of first access and in all subsequent accesses until October 31, 2021; conversely, users logged into their Google account would have found themselves in one of these situations: (i) if they had not clicked on either 'Read here' or 'Close', they would continue to see the box at each new access to Google Sites until October 31, 2021; (ii) if they had clicked on 'Read here' or 'Close', the notice would not reappear, unless they accessed Google Sites from a different device, after logging out of the account, or after deleting their cookies.</w:t>
        <w:br/>
        <w:t>23. In light of the above, it is believed that Google did not adopt measures for publication corresponding to what was requested and, consequently, its initiatives are unsuitable to fully implement the Authority's provision regarding the publication of the excerpt of the same provision.</w:t>
        <w:br/>
        <w:t>24. In detail, it is noted, in fact, that the order regarding the publication of the excerpt provides that for twenty days it must be "published" and therefore visible to consumers.</w:t>
        <w:br/>
        <w:t>25. In the case at hand, however, Google provided that users who logged into their account would continue to see the excerpt only if they had not clicked on either 'Read here' or 'Close', while they would cease to see it if they clicked on 'Read here' or 'Close'.</w:t>
        <w:br/>
        <w:t>26. The user logged in with the account had the option to click on the box 'Read here', to click on the box 'Close', or to make no choice and proceed directly with a search on the Google engine. Therefore, users who accessed the page in question for the first time found themselves in a situation where, following the choice of one of the two options regarding reading the excerpt (Read or Close), in subsequent and further accesses the informational box did not appear again on the homepage. In summary, the methods adopted by Google did not provide for the dissemination of the excerpt for the entire period of twenty days and for all consumers.</w:t>
        <w:br/>
        <w:t>27. On this point, Google's thesis that it is sufficient for the consumer to have interacted with the informational message to demonstrate that they have become aware of the existence of the provision and/or have expressed an interest in reading the excerpt is not in any way shareable.</w:t>
        <w:br/>
        <w:t>28. The "publication" referred to in the provision does not imply, in fact, for the purposes of Google's compliance, that it is exhausted when the consumer has become aware of the existence of the excerpt, but that it must be "published" for the required period, that is, made public and disseminated, so that anyone is always in a position to read it, an event that did not occur in this case. Even if one were to grant relevance to Google's argument, it is noted that it was not guaranteed that all consumers could view the excerpt for the required period of twenty days. In particular, the consumer who accessed Google through their account and clicked on 'Close' in the informational box, without reading the excerpt and reserving, for example, to read it later, would no longer be able to read it – unless entering Google Sites from a different device or after logging out of the account or after deleting cookies, conditions that, however, were not represented to the user. The choice of the 'Close' option was considered by Google as acknowledgment of the excerpt or disinterest in it, but this is an equivalence that has no basis in fact.</w:t>
        <w:br/>
        <w:t>29. In conclusion, Google did not adopt measures for the publication of the excerpt corresponding to what was requested and, therefore, its initiatives were not suitable to fully implement the Authority's provision regarding the publication of the excerpt of the same provision declaring unfairness, thus nullifying the objective of fully informing consumers of the ascertained unfairness of certain clauses of the Terms of Service adopted by the Company. Google's conduct therefore constitutes a violation of article 37-bis, paragraph 2, of the Consumer Code.</w:t>
      </w:r>
    </w:p>
    <w:p>
      <w:r>
        <w:rPr>
          <w:b/>
        </w:rPr>
        <w:t>[Pages 73–75]</w:t>
      </w:r>
    </w:p>
    <w:p>
      <w:r>
        <w:t>BULLETIN NO. 13 OF APRIL 11, 2022 75</w:t>
        <w:br/>
        <w:t>IV. QUANTIFICATION OF THE SANCTION</w:t>
        <w:br/>
        <w:t>30. Pursuant to art. 37-bis, paragraph 2, of the Consumer Code, the Authority imposes an administrative monetary penalty from 5,000 to 50,000 euros, taking into account the severity and duration of the violation.</w:t>
        <w:br/>
        <w:t>31. In determining the amount of the sanction, the criteria identified by article 11 of law no. 689/81 must be considered, as applicable, by virtue of the reference provided by art. 27, paragraph 13, of the Consumer Code: in particular, the severity of the violation, the actions taken by the company to eliminate or mitigate the infringement, as well as the economic conditions of the company itself.</w:t>
        <w:br/>
        <w:t>32. Regarding the severity of the violation, the circumstance that, pursuant to the provision contained in article 37-bis, paragraph 2, of the Consumer Code, the dissemination of the measure, through publication even in extract form, represented at the time of the adoption of the measure the only tool that assisted the ascertainment of the unfairness, in the absence of the provision of administrative monetary penalties, is of particular relevance. It also constitutes the tool aimed at satisfying the need to fully inform consumers about the established unfairness of the contractual clauses adopted by the Professional, so that the adoption of publication methods that do not allow achieving this objective results in a nullification of the rationale of the provision in question.</w:t>
        <w:br/>
        <w:t>33. The importance and economic size of the Company, which belongs to a highly renowned group, a global leader in the sector by number of users, must also be considered. Furthermore, for the purposes of severity, the high number of Italian users who have subscribed to Google's Terms of Service is relevant.</w:t>
        <w:br/>
        <w:t>34. As for the duration of the violation, from the available evidence in the records, it appears that the conduct constituting non-compliance with resolution no. 29817 of September 7, 2021, has been in effect since October 12, 2021, the deadline of twenty days from the communication of the measure declaring unfairness within which the Company should have published the extract of the measure on its website, according to the prescribed methods, and is still ongoing, as Google has not yet proceeded with the publication according to the methods established by measure no. 29817.</w:t>
        <w:br/>
        <w:t>35. Based on these elements, it is deemed appropriate to set the amount of the administrative monetary penalty applicable to Google at 50,000 € (fifty thousand euros).</w:t>
        <w:br/>
        <w:t>All of the above having been stated and considered;</w:t>
        <w:br/>
        <w:t>RESOLVES</w:t>
        <w:br/>
        <w:t>a) that the behavior of Google Ireland Ltd, consisting of having published the extract of measure no. 29817 of September 7, 2021, in unsuitable ways, constitutes non-compliance with the latter;</w:t>
        <w:br/>
        <w:t>b) to impose on Google Ireland Ltd an administrative monetary penalty of 50,000 € (fifty thousand euros).</w:t>
      </w:r>
    </w:p>
    <w:p>
      <w:r>
        <w:t>76 BULLETIN NO. 13 OF APRIL 11, 2022</w:t>
        <w:br/>
        <w:t>The administrative penalty imposed must be paid within thirty days from the notification of this provision, via bank transfer (in euros) to the State Budget, using the IBAN code IT04A0100003245348018359214 (BIC code: BITAITRRENT), which corresponds to the accounting number 18/3592/14.</w:t>
        <w:br/>
        <w:t>After the aforementioned deadline, for a delay period of less than six months, late interest must be paid at the legal rate starting from the day following the expiration of the payment deadline until the date of payment. In case of further delay in compliance, pursuant to art. 27, paragraph 6, of law no. 689/81, the amount due for the imposed penalty is increased by one-tenth for each semester starting from the day following the expiration of the payment deadline until the role is transmitted to the collection agent; in this case, the increase absorbs the late interest accrued during the same period.</w:t>
        <w:br/>
        <w:t>Immediate communication of the payment must be given to the Authority by sending the documentation certifying the payment made.</w:t>
        <w:br/>
        <w:t>This provision will be notified to the interested parties and published in the Bulletin of the Competition and Market Authority.</w:t>
        <w:br/>
        <w:t>Against this provision, an appeal may be submitted to the TAR of Lazio, pursuant to art. 37-bis, paragraph 4, and art. 135, paragraph 1, letter b), of the Administrative Procedure Code (Legislative Decree of July 2, 2010, no. 104), within sixty days from the date of notification thereof, without prejudice to the longer terms provided for in art. 41, paragraph 5, of the Administrative Procedure Code, or an extraordinary appeal may be proposed to the President of the Republic, pursuant to art. 8 of the Decree of the President of the Republic of November 24, 1971, no. 1199, within one hundred and twenty days from the date of notification of the same provision.</w:t>
        <w:br/>
        <w:t>THE SECRETARY GENERAL THE PRESIDENT</w:t>
        <w:br/>
        <w:t>Guido Stazi Roberto Rustichelli</w:t>
      </w:r>
    </w:p>
    <w:p>
      <w:r>
        <w:t>Competition and Market Authority Weekly Bulletin</w:t>
        <w:br/>
        <w:t>Year XXXII - No. 13 - 2022</w:t>
        <w:br/>
        <w:t>Editorial Coordination Giulia Antenucci</w:t>
        <w:br/>
        <w:t>Editorial Staff Valerio Ruocco, Simonetta Schettini, Manuela Villani</w:t>
        <w:br/>
        <w:t>Competition and Market Authority</w:t>
        <w:br/>
        <w:t>Statistics and IT Applications Office</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