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https://www.agcm.it/dotcmsdoc/bollettini/2021/14-21.pdf</w:t>
      </w:r>
    </w:p>
    <w:p>
      <w:r>
        <w:t>Pages translated : 80</w:t>
      </w:r>
    </w:p>
    <w:p/>
    <w:p>
      <w:r>
        <w:rPr>
          <w:b/>
        </w:rPr>
        <w:t>[Pages 1–3]</w:t>
      </w:r>
    </w:p>
    <w:p>
      <w:r>
        <w:t>Bulletin</w:t>
        <w:br/>
        <w:t>Weekly</w:t>
        <w:br/>
        <w:t>Year XXXI - No. 14</w:t>
        <w:br/>
        <w:t>Published on the website www.agcm.it</w:t>
        <w:br/>
        <w:t>April 6, 2021</w:t>
      </w:r>
    </w:p>
    <w:p>
      <w:r>
        <w:t>SUMMARY</w:t>
        <w:br/>
        <w:t>CONCENTRATION OPERATIONS 5</w:t>
        <w:br/>
        <w:t>C12362 - EUROCAR ITALIA/RINALDI 5</w:t>
        <w:br/>
        <w:t>Decision No. 28606 5</w:t>
        <w:br/>
        <w:t>C12363 - MARIGLIANO/EDIF-EDIF HOLDING 11</w:t>
        <w:br/>
        <w:t>Decision No. 28607 11</w:t>
        <w:br/>
        <w:t>REPORTING AND CONSULTATIVE ACTIVITIES 15</w:t>
        <w:br/>
        <w:t>AS1731 - MUNICIPALITY OF MASSA (MS) - EXTENSION OF STATE MARITIME CONCESSIONS FOR TOURIST-RECREATIONAL PURPOSES 15</w:t>
        <w:br/>
        <w:t>UNFAIR COMMERCIAL PRACTICES 19</w:t>
        <w:br/>
        <w:t>PS10666B - ATAC-SUPPRESSION OF RAIL SERVICES-REDUCTION OF ATAC SANCTION 19</w:t>
        <w:br/>
        <w:t>Decision No. 28609 19</w:t>
        <w:br/>
        <w:t>PS11786 - UNICREDIT-MEASURES OF THE CURA ITALIA DECREE AND LIQUIDITY DECREE 29</w:t>
        <w:br/>
        <w:t>Decision No. 28610 29</w:t>
        <w:br/>
        <w:t>PS11787 - INTESA SANPAOLO-MEASURES OF THE CURA ITALIA DECREE AND LIQUIDITY DECREE 40</w:t>
        <w:br/>
        <w:t>Decision No. 28611 40</w:t>
        <w:br/>
        <w:t>PS11794 - BANCA SELLA-MEASURES OF THE CURA ITALIA DECREE AND LIQUIDITY DECREE 50</w:t>
        <w:br/>
        <w:t>Decision No. 28612 50</w:t>
        <w:br/>
        <w:t>PS11543 - SHARAZON-BUY AND SHARE 61</w:t>
        <w:br/>
        <w:t>Notice of adoption of closure of the proceeding 61</w:t>
        <w:br/>
        <w:t>UNFAIR CLAUSES 62</w:t>
        <w:br/>
        <w:t>CV183 - LLOYD'S-OBLIGATION FOR APPRAISAL 62</w:t>
        <w:br/>
        <w:t>Decision No. 28608 62</w:t>
        <w:br/>
        <w:t>CONFLICT OF INTEREST 80</w:t>
        <w:br/>
        <w:t>SI1165B- SANDRA ZAMPA-UNDERSECRETARY OF STATE FOR HEALTH – POST OFFICE OPINION 80</w:t>
      </w:r>
    </w:p>
    <w:p>
      <w:r>
        <w:t>BULLETIN NO. 14 OF APRIL 6, 2021 5</w:t>
        <w:br/>
        <w:t>CONCENTRATION OPERATIONS</w:t>
        <w:br/>
        <w:t>C12362 - EUROCAR ITALIA/RINALDI</w:t>
        <w:br/>
        <w:t>Decision No. 28606</w:t>
        <w:br/>
        <w:t>THE ITALIAN COMPETITION AUTHORITY</w:t>
        <w:br/>
        <w:t>IN ITS MEETING of March 16, 2021;</w:t>
        <w:br/>
        <w:t>HEARD the Rapporteur Dr. Gabriella Muscolo;</w:t>
        <w:br/>
        <w:t>HAVING REGARD TO Law No. 287 of October 10, 1990;</w:t>
        <w:br/>
        <w:t>HAVING REGARD TO the Presidential Decree No. 217 of April 30, 1998;</w:t>
        <w:br/>
        <w:t>HAVING REGARD TO the act of the company Eurocar Italia S.r.l., received on February 23, 2021;</w:t>
        <w:br/>
        <w:t>CONSIDERING the following:</w:t>
        <w:br/>
        <w:t>I. THE PARTIES</w:t>
        <w:br/>
        <w:t>1. Eurocar Italia S.r.l. (hereinafter, Eurocar) is a company active in the retail distribution of</w:t>
        <w:br/>
        <w:t>automobiles (new and used) and light commercial vehicles (new and used) of the Volkswagen group brands, as well as original spare parts of the Volkswagen group brands in Italy, and in the related repair and maintenance activities.</w:t>
        <w:br/>
        <w:t>Eurocar is controlled by Porsche Holding G.m.b.H., which is in turn controlled by Volkswagen AG, a company at the top of the Volkswagen group. Volkswagen AG is a company established under German law whose shares are listed on the Frankfurt Stock Exchange.</w:t>
        <w:br/>
        <w:t>In 2019, the Volkswagen group achieved a consolidated worldwide revenue of approximately 252.6 billion euros, of which approximately [100-200]* billion euros from sales in the European Union and approximately [9-10] billion euros from sales in Italy.</w:t>
        <w:br/>
        <w:t>2. Rinaldi S.p.A. (hereinafter, Rinaldi or the Target) is a company active in the retail distribution of new automobiles and commercial vehicles of the Volkswagen group brands (namely Volkswagen, Audi, and Skoda (automobiles) and Volkswagen Commercial Vehicles) and used automobiles, including those of other brands, in the distribution of spare parts to end customers, to the service partners of the Volkswagen group, to independent dealers/auto repairers, and in the provision of repair and maintenance services. Rinaldi is primarily active in the province of Turin, where it operates three dealerships/repair centers (Turin, Rivoli, and Cirié).</w:t>
        <w:br/>
        <w:t>The share capital of Rinaldi is held by individuals connected to the Rinaldi family.</w:t>
        <w:br/>
        <w:t>In 2019, Rinaldi achieved a worldwide revenue of approximately 140.8 million euros, of which approximately [100-504] million euros from sales in the European Union and approximately [100-504] million euros from sales in Italy.</w:t>
        <w:br/>
        <w:t>* In this version, some data are omitted, as there were deemed to be elements of confidentiality or secrecy of the information.</w:t>
      </w:r>
    </w:p>
    <w:p>
      <w:r>
        <w:rPr>
          <w:b/>
        </w:rPr>
        <w:t>[Pages 4–6]</w:t>
      </w:r>
    </w:p>
    <w:p>
      <w:r>
        <w:t>6 BULLETIN NO. 14 OF APRIL 6, 2021</w:t>
      </w:r>
    </w:p>
    <w:p>
      <w:r>
        <w:t>II. DESCRIPTION OF THE TRANSACTION</w:t>
      </w:r>
    </w:p>
    <w:p>
      <w:r>
        <w:t>3. Eurocar and the current shareholders of Rinaldi have signed a sales contract (hereinafter, SPA) pursuant to which Eurocar will acquire the entire share capital of the Target.</w:t>
      </w:r>
    </w:p>
    <w:p>
      <w:r>
        <w:t>4. For completeness, it is noted that, following a shareholders' meeting of Rinaldi held on December 22, 2020, the ownership of the real estate assets of the Target (i.e., the premises where the Target conducts its business) was transferred to Multigestim S.r.l. (hereinafter, Multigestim). Multigestim is a real estate management company wholly controlled by the Rinaldi family. Furthermore, in the time interval between the signing of the SPA and the conclusion of the Transaction, Rinaldi will also transfer to Multigestim the ownership of the photovoltaic panels located at its dealerships in Turin and Rivoli.</w:t>
      </w:r>
    </w:p>
    <w:p>
      <w:r>
        <w:t>5. Multigestim will not be transferred to Eurocar: following the completion of the Transaction, Multigestim will still be subject to the exclusive control of the Rinaldi family. However, Rinaldi will have the right to use the real estate assets transferred to Multigestim and the energy produced by the photovoltaic panels transferred to Multigestim through ad hoc agreements.</w:t>
      </w:r>
    </w:p>
    <w:p>
      <w:r>
        <w:t>6. Pursuant to the SPA, the seller undertakes, for two years after the closing date, not to: (i) hire or solicit, directly or indirectly, the hiring of employees of Rinaldi; (ii) engage, directly or indirectly, including through the acquisition of stakes in other companies or entities, in activities competing with those carried out by Rinaldi at the date of signing or at any time in the last five years in Piedmont, Lombardy, Veneto, Friuli-Venezia Giulia, Trentino-Alto Adige, and Tuscany; (iii) assume the position of director or act as a consultant or engage in similar activities for any entity that engages in activities of the type described in point (ii) in the area described in point (ii).</w:t>
      </w:r>
    </w:p>
    <w:p>
      <w:r>
        <w:t>III. QUALIFICATION OF THE TRANSACTION</w:t>
      </w:r>
    </w:p>
    <w:p>
      <w:r>
        <w:t>7. The notified transaction, as it involves the acquisition of exclusive control of a company, constitutes a concentration pursuant to Article 5, paragraph 1, letter b), of Law No. 287/90.</w:t>
      </w:r>
    </w:p>
    <w:p>
      <w:r>
        <w:t>8. It falls within the scope of application of Law No. 287/90, as the conditions set out in Article 1 of EC Regulation No. 139/04 do not apply, and is subject to the obligation of prior notification provided for by Article 16, paragraph 1, of the same law, as the total turnover achieved in the last financial year at the national level by the group of companies involved was over 504 million euros and the turnover achieved individually at the national level by at least two of the companies involved was over 31 million euros.</w:t>
      </w:r>
    </w:p>
    <w:p>
      <w:r>
        <w:t>9. The non-compete agreement signed by the parties and described in the previous paragraph can be considered directly connected and necessary for the realization of the concentration transaction in question, as it is functional to safeguarding the value of the acquired company, provided that it is geographically limited to the area of activity of the acquired company, and does not prevent the sellers from acquiring or holding shares solely for financial investment purposes.</w:t>
      </w:r>
    </w:p>
    <w:p>
      <w:r>
        <w:t>10. The non-solicitation agreement signed by the parties and described in the previous paragraph can be considered directly connected and necessary for the realization of the concentration transaction in question, as it is functional to safeguarding the value of the acquired company.</w:t>
      </w:r>
    </w:p>
    <w:p>
      <w:r>
        <w:t>IV. ASSESSMENT OF THE CONCENTRATION</w:t>
      </w:r>
    </w:p>
    <w:p>
      <w:r>
        <w:t>The product market</w:t>
      </w:r>
    </w:p>
    <w:p>
      <w:r>
        <w:t>11. From a commodity perspective, the sectors affected by the transaction in question are those in which the target company operates, namely: i) the retail distribution of new and used passenger cars and commercial vehicles, ii) the retail distribution of spare parts for passenger cars and commercial vehicles, and iii) post-sale services for assistance, maintenance, and repair of vehicles.</w:t>
      </w:r>
    </w:p>
    <w:p>
      <w:r>
        <w:t>12. The market under i) concerns the distribution activity of new and used vehicles by dealers to end consumers. Manufacturers market their vehicles through distribution companies (controlled companies or third-party operators) which, in turn, rely on a network of dealers that carry out sales activities to customers.</w:t>
      </w:r>
    </w:p>
    <w:p>
      <w:r>
        <w:t>13. Within this market, different segments can be identified, distinguishing between passenger cars and commercial vehicles, new and used vehicles, based on performance, size, and price of the marketed cars. However, dealers frequently distribute different types of products (city cars, mid-range, upper-range, etc.) and the differences have been decreasing over the years due to manufacturers' tendency to offer more accessories even for small and medium-sized cars. For the purposes of this transaction, however, it does not seem necessary to arrive at an exact commodity delimitation of the market.</w:t>
      </w:r>
    </w:p>
    <w:p>
      <w:r>
        <w:t>14. In the market under ii) related to the retail marketing of spare parts and accessories for passenger cars and commercial vehicles, two product categories can be identified: original spare parts and equivalent ones (i.e., of corresponding quality). Original spare parts are marketed under the manufacturer's brand; equivalent spare parts, on the other hand, are supplied by independent operators in the component sector (who may also supply the same manufacturers). The prices of equivalent spare parts are significantly lower, varying depending on the type of spare part considered. However, there is significant substitutability from the demand side between original and equivalent spare parts of corresponding quality (variable depending on the age and economic class of the vehicle, as well as the type of spare part). From the supply side, moreover, the service centers of manufacturers (generally dealers and authorized workshops) can retail both original and equivalent spare parts.</w:t>
      </w:r>
    </w:p>
    <w:p>
      <w:r>
        <w:t>15. The market under iii) related to post-sale assistance services for vehicles is characterized by extreme fragmentation of supply. The repair and maintenance activity is carried out by a wide range of operators such as: authorized dealers and repair shops; independent workshops; service stations; specialized auto centers; quick service assistance (warranty assistance is instead carried out by the same dealers of the manufacturers or by other entities authorized by them).</w:t>
      </w:r>
    </w:p>
    <w:p>
      <w:r>
        <w:t>The geographic market</w:t>
      </w:r>
    </w:p>
    <w:p>
      <w:r>
        <w:t>16. As for the geographical relevance, the size of the markets under i), ii), and iii) can be considered local. This assumption is based on consumer purchasing behaviors and, in particular, on the importance they attribute to the proximity of sales and assistance points. In various precedents related to the markets in question, the Authority has defined local markets based on administrative boundaries, identifying markets with a tendency towards provincial size. In this case, following this approach, considering the operational scope of the target company, the relevant geographic market could be considered confined to the province of Turin.</w:t>
      </w:r>
    </w:p>
    <w:p>
      <w:r>
        <w:t>17. Alternatively, it is possible to define local areas taking into account the size of the catchment areas of the individual sales points of the companies involved and the propensity to mobility from the demand side. In this regard, the notifying party, based on the sales data of the dealers subject to acquisition and its own experience, believes that it is possible to hypothesize the existence of a catchment area identified by the areas located around the Rinaldi dealerships subject to acquisition reachable within 40 or 60 minutes of driving for the market under i) and within 20 minutes of driving for the markets under ii) and iii) (hereinafter, the isochrones). For the purposes of this transaction, however, it does not seem necessary to arrive at an exact geographical delimitation of the market.</w:t>
      </w:r>
    </w:p>
    <w:p>
      <w:r>
        <w:t>Effects of the transaction</w:t>
      </w:r>
    </w:p>
    <w:p>
      <w:r>
        <w:t>18. The Rinaldi company subject to acquisition is active through three dealerships located in the province of Turin, while the acquirer Eurocar holds various dealerships located in several provinces of Friuli Venezia Giulia (Gorizia, Udine, and Trieste), Tuscany (Florence), Lombardy (Milan, Sondrio, Bergamo, Lecco, and Brescia), Veneto (Verona), Trentino Alto Adige (Trento), Piedmont (Alessandria, Cuneo, Turin, and Novara) and Liguria.</w:t>
      </w:r>
    </w:p>
    <w:p>
      <w:r>
        <w:rPr>
          <w:b/>
        </w:rPr>
        <w:t>[Pages 7–9]</w:t>
      </w:r>
    </w:p>
    <w:p>
      <w:r>
        <w:t>BULLETIN NO. 14 OF APRIL 6, 2021 9</w:t>
        <w:br/>
        <w:t>(Genova11)12, to which two Porsche dealers controlled by Volkswagen AG located respectively in a province of Lombardy (Milan) and in a province of Veneto (Padua) must also be added. At the provincial level, overlaps between the activities of the Parties occur only in the province of Turin.</w:t>
      </w:r>
    </w:p>
    <w:p>
      <w:r>
        <w:t>19. In the markets for the retail distribution of new and used passenger vehicles and commercial vehicles, in the province of Turin, the joint shares of the Parties are below [1-5%], while, regarding the isochrones, for each of the three Rinaldi dealerships subject to acquisition, both in the 40-minute isochrone and in the 60-minute isochrone, the joint shares of the Parties are below 10%.</w:t>
      </w:r>
    </w:p>
    <w:p>
      <w:r>
        <w:t>20. In the markets for the retail distribution of original Volkswagen spare parts for passenger vehicles and commercial vehicles, for the retail distribution of non-original spare parts for passenger vehicles and commercial vehicles13, as well as for after-sales services of assistance, maintenance, and repair of vehicles, in the province of Turin, the joint shares of the Parties are approximately [20-25%], approximately [5-10%], and below 10%, while, regarding the isochrones, in the 20-minute isochrones, overlaps between the activities of the Parties occur only for the two Rinaldi dealerships located in Turin and Rivoli but not for the Rinaldi dealership located in Cirié, and for each of the two Rinaldi dealerships located in Turin and Rivoli in each of the three mentioned product markets, the joint shares of the Parties are below 25%, 10%, and 10% respectively.</w:t>
      </w:r>
    </w:p>
    <w:p>
      <w:r>
        <w:t>21. From a vertical perspective, it is noted that:</w:t>
        <w:br/>
        <w:t>a) the Volkswagen group is also active in the upstream markets of wholesale distribution of new and used passenger vehicles and commercial vehicles, where it holds national shares below [15-20%]; it is worth noting that, in the downstream markets of retail distribution of new and used passenger vehicles and commercial vehicles, both regarding the province of Turin and regarding the isochrones, the joint shares of the Parties will be below 10%;</w:t>
        <w:br/>
        <w:t>b) the Volkswagen group is also active in the upstream market of wholesale distribution of original VW spare parts for passenger vehicles and commercial vehicles, where it holds a monopolistic position at the national level; however, as seen above, in the downstream market of retail distribution of original VW spare parts for passenger vehicles and commercial vehicles, both regarding the province of Turin and regarding the isochrones, the joint shares of the Parties are below 25%.</w:t>
      </w:r>
    </w:p>
    <w:p>
      <w:r>
        <w:t>22. It is observed, in this regard, that the operation does not raise concerns regarding an input foreclosure hypothesis due to the very distribution strategy of the Volkswagen group, which makes original spare parts accessible to independent repairers both through Volkswagen Group Italia S.p.A., active throughout Italy, and through a network of service partners (authorized retail distributors of vehicles and original Volkswagen spare parts) present throughout the national territory14.</w:t>
      </w:r>
    </w:p>
    <w:p>
      <w:r>
        <w:t>BULLETIN NO. 14 OF APRIL 6, 2021</w:t>
        <w:br/>
        <w:t>In light of the above considerations, it is believed that in the relevant markets the operation will not have adverse effects on competition, not resulting in substantial changes in the competitive structure of the same.</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CONSIDERING, furthermore, that the non-compete obligations between the parties are accessory to the present operation only to the limits described above and that the Authority reserves the right to evaluate the aforementioned agreements that occur beyond the indicated limits;</w:t>
      </w:r>
    </w:p>
    <w:p>
      <w:r>
        <w:t>RESOLVES</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PRESIDENT</w:t>
        <w:br/>
        <w:t>Filippo Arena Roberto Rustichelli</w:t>
      </w:r>
    </w:p>
    <w:p>
      <w:r>
        <w:t>BULLETIN NO. 14 OF APRIL 6, 2021 11</w:t>
        <w:br/>
        <w:t>C12363 - MARIGLIANO/EDIF-EDIF HOLDING</w:t>
        <w:br/>
        <w:t>Provision No. 28607</w:t>
        <w:br/>
        <w:t>THE ITALIAN COMPETITION AUTHORITY</w:t>
        <w:br/>
        <w:t>IN ITS MEETING of March 16, 2021;</w:t>
      </w:r>
    </w:p>
    <w:p>
      <w:r>
        <w:t>HEARD the Rapporteur, Dr. Gabriella Muscolo;</w:t>
      </w:r>
    </w:p>
    <w:p>
      <w:r>
        <w:t>HAVING REGARD to Law No. 287 of October 10, 1990;</w:t>
      </w:r>
    </w:p>
    <w:p>
      <w:r>
        <w:t>HAVING REGARD to Presidential Decree No. 217 of April 30, 1998;</w:t>
      </w:r>
    </w:p>
    <w:p>
      <w:r>
        <w:t>HAVING REGARD to the communication from Marigliano S.p.A. received on February 26, 2021;</w:t>
      </w:r>
    </w:p>
    <w:p>
      <w:r>
        <w:t>CONSIDERED the following:</w:t>
      </w:r>
    </w:p>
    <w:p>
      <w:r>
        <w:t>I. THE PARTIES</w:t>
        <w:br/>
        <w:t>1. Marigliano S.p.A. (hereinafter Marigliano) is a company under Italian law, a financial holding of a group of companies active in the wholesale and retail trade of civil and industrial electrical materials, in various Italian regions, including Campania, Lazio, and Puglia1. The share capital of Marigliano and the controlled companies is held by individuals connected to the Marigliano family. In 2019, the consolidated turnover of Marigliano was approximately [100-504]* million euros generated in Italy.</w:t>
      </w:r>
    </w:p>
    <w:p>
      <w:r>
        <w:t>2. Edif S.p.A. (hereinafter Edif) is an Italian company, also active in the wholesale and retail trade of electrical materials in general and of household appliances and consumer electronics in the Marche region. Edif Holding, merged by incorporation into Edif effective from October 1, 2020, exclusively carries out intra-group management activities2. The share capital of Edif is entirely held by an individual. In 2019, the consolidated turnover generated in Italy by Edif and Edif Holding was approximately [100-504] million euros.</w:t>
      </w:r>
    </w:p>
    <w:p>
      <w:r>
        <w:t>II. DESCRIPTION OF THE OPERATION</w:t>
        <w:br/>
        <w:t>3. The operation in question consists of a series of connected and interdependent transactions for the purchase and sale of the entire share capital by Marigliano of Edif. Therefore, as a result of the notified concentration operation, Marigliano will exercise exclusive control over Edif and Edif Holding, already incorporated into Edif.</w:t>
      </w:r>
    </w:p>
    <w:p>
      <w:r>
        <w:t>1 In Campania, this includes Megawatt SpA, Electra Spa, Campania Materiale Elettrico Generale SpA, and Web Market Srl (NA), Elettroforniture SpA (SA), Alfieri SpA, and Elettrocampania SpA (both in the province of Caserta); in Lazio, CET SpA, Assosicurezza SpA, and Elettrolazio SpA (Rome); in Puglia, Acmei Sud SpA and Selime Srl (both in the province of Bari) and Medel Mediterranea Elettrica SpA (LE).</w:t>
        <w:br/>
        <w:t>* In this version, some data are omitted, as elements of confidentiality or secrecy of the information were deemed to exist.</w:t>
        <w:br/>
        <w:t>2 In particular, Igef Srl, which operates in the commercial leasing of owned properties, is under Edif Holding.</w:t>
      </w:r>
    </w:p>
    <w:p>
      <w:r>
        <w:rPr>
          <w:b/>
        </w:rPr>
        <w:t>[Pages 10–12]</w:t>
      </w:r>
    </w:p>
    <w:p>
      <w:r>
        <w:t>12 BULLETIN NO. 14 OF APRIL 6, 2021</w:t>
      </w:r>
    </w:p>
    <w:p>
      <w:r>
        <w:t>III. QUALIFICATION OF THE OPERATION</w:t>
      </w:r>
    </w:p>
    <w:p>
      <w:r>
        <w:t>4. The communicated operation constitutes a concentration pursuant to Article 5, paragraph 1, letter b), of Law No. 287/90, as it involves the acquisition of exclusive control of a company. It falls within the scope of application of Law No. 287/90, as the conditions set out in Article 1 of Regulation (EC) No. 139/2004 do not apply, and it is subject to the obligation of prior notification established by Article 16, paragraph 1, of the same law, as the total turnover achieved, in the last financial year at the national level, by the group of companies involved exceeded 504 million euros and the total turnover achieved individually, in the last financial year at the national level, by at least two of the companies involved exceeded 31 million euros.</w:t>
      </w:r>
    </w:p>
    <w:p>
      <w:r>
        <w:t>IV. ASSESSMENT OF THE OPERATION</w:t>
      </w:r>
    </w:p>
    <w:p>
      <w:r>
        <w:t>Relevant markets</w:t>
      </w:r>
    </w:p>
    <w:p>
      <w:r>
        <w:t>5. Based on the precedents of this Authority, taking into account the activities carried out by the companies subject to acquisition, the operation in question concerns, from a product perspective, the wholesale marketing sector, and to a marginal extent the retail sector, of electrical materials, both civil and industrial, as well as, in a completely secondary manner, the marketing of household appliances and consumer electronics.</w:t>
      </w:r>
    </w:p>
    <w:p>
      <w:r>
        <w:t>6. The first area particularly concerns the wholesale distribution, by operators in the sector, of various types of electrical materials that are intended for both the electromechanical and electronic sectors and that are purchased by customers (comprising industries, public entities, construction companies, panel builders, industrial automation specialists, electrical installers, including specialized and large-scale ones, as well as, to a lesser extent, retail distributors who in turn resell to individuals) to meet their various needs. According to the Parties, the sector would be mature and subject to recent changes with the entry of competitors active even at the international level, due to the absence of significant entry barriers of a technological and legal nature, for example. The Parties also report a significant phenomenon of market share transfer towards new distribution channels, including e-commerce and large-scale retail, as well as the emergence of new market outlets such as building automation and home automation. As for the second area, the acquired company operates in a completely secondary manner in the wholesale distribution of household appliances and consumer electronics primarily for businesses (including, for example, hardware stores).</w:t>
      </w:r>
    </w:p>
    <w:p>
      <w:r>
        <w:t>7. Regarding geographical relevance, it is believed that the wholesale distribution of electrical materials and that of household appliances and consumer electronics have a regional or provincial/multi-provincial dimension, considering the operational scope of wholesalers who, in general, serve a rather extensive territorial area (retail distribution, on the other hand, typically has local relevance). In this specific case, however, it is not necessary to arrive at a precise geographical delimitation of the market, as regardless of the definition adopted, the operation will not have appreciable effects in the markets in question.</w:t>
      </w:r>
    </w:p>
    <w:p>
      <w:r>
        <w:t>Effects of the operation</w:t>
      </w:r>
    </w:p>
    <w:p>
      <w:r>
        <w:t>8. With regard to the market for the marketing of household appliances and consumer electronics, this operation does not produce effects as the acquiring company is not present in it.</w:t>
      </w:r>
    </w:p>
    <w:p>
      <w:r>
        <w:t>9. Concerning the marketing of civil and industrial electrical materials, the effect of the operation can be assessed by considering the total sales of electrical materials, as, given the marginality of retail sales, even if the wholesale and retail channels were considered separately, the shares of the Parties related to wholesale sales alone would not change significantly. The market shares attributable to Edif, at the national level, are below 1%, while those held by Marigliano are around [1-5]%. Furthermore, even where a narrower definition of the geographical market than the national one is adopted, namely of a regional or provincial dimension, the operation is not suitable to produce overlaps between the activities of the Parties, either horizontally or vertically, as in wholesale and retail distribution Edif operates exclusively in the Marche region (province of Macerata), while the acquiring company is active in Campania, Lazio, and Puglia.</w:t>
      </w:r>
    </w:p>
    <w:p>
      <w:r>
        <w:t>10. In light of the above considerations, the concentration does not appear to be likely to harm the competitive structure in the relevant markets where other qualified operators are present.</w:t>
      </w:r>
    </w:p>
    <w:p>
      <w:r>
        <w:t>THEREFORE, it is deemed that the operation in question does not entail, pursuant to Article 6, paragraph 1, of Law No. 287/90, the establishment or strengthening of a dominant position in the relevant market,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w:t>
      </w:r>
    </w:p>
    <w:p>
      <w:r>
        <w:t>In addition to national competitors, including Comet Spa and Comoli&amp;Ferrari Spa, companies belonging to foreign groups such as Sonepar Italia and Sacchi Spa, both part of the Sonepar France Group, and MEF Spa, belonging to the Wurth group, would also be active.</w:t>
      </w:r>
    </w:p>
    <w:p>
      <w:r>
        <w:t>The present provision will be published in the Bulletin of the Italian Competition Authority.</w:t>
      </w:r>
    </w:p>
    <w:p>
      <w:r>
        <w:t>THE SECRETARY GENERAL THE PRESIDENT</w:t>
      </w:r>
    </w:p>
    <w:p>
      <w:r>
        <w:t>Filippo Arena Roberto Rustichelli</w:t>
      </w:r>
    </w:p>
    <w:p>
      <w:r>
        <w:rPr>
          <w:b/>
        </w:rPr>
        <w:t>[Pages 13–15]</w:t>
      </w:r>
    </w:p>
    <w:p>
      <w:r>
        <w:t>BULLETIN NO. 14 OF APRIL 6, 2021 15</w:t>
      </w:r>
    </w:p>
    <w:p>
      <w:r>
        <w:t>REPORTING AND CONSULTATIVE ACTIVITIES</w:t>
      </w:r>
    </w:p>
    <w:p>
      <w:r>
        <w:t>AS1731 - MUNICIPALITY OF MASSA (MS) - EXTENSION OF STATE MARITIME CONCESSIONS FOR TOURIST-RECREATIONAL PURPOSES</w:t>
      </w:r>
    </w:p>
    <w:p>
      <w:r>
        <w:t>Rome, March 19, 2021</w:t>
      </w:r>
    </w:p>
    <w:p>
      <w:r>
        <w:t>Municipality of Massa</w:t>
      </w:r>
    </w:p>
    <w:p>
      <w:r>
        <w:t>The Italian Competition Authority has identified certain competition issues, not justified by general interest needs, arising from the administrative acts of this Municipality (Resolution of the Council No. 99 of June 8, 2020, concerning "Implementation of the provisions of Law 145/2018 art. 1 paragraphs 682, 683, and 684. Directive Act", and Executive Determination No. 346 of July 27, 2020, concerning "Implementation of the provisions of Law 145/2018. Temporal extension of state maritime concessions to the date of 12/31/2033") related to the extension of state maritime concessions for tourist-recreational purposes in place. Therefore, the Authority, in its meeting of March 16, 2021, decided, in the exercise of its powers under Article 21 of Law No. 287 of October 10, 1990, to send this report to this Municipality.</w:t>
      </w:r>
    </w:p>
    <w:p>
      <w:r>
        <w:t>In particular, through the aforementioned administrative acts, the Municipality of Massa has initiated the administrative procedure for the extension of the duration of concessions of state maritime assets for tourist-recreational purposes in favor of existing concessionaires, based on the provisions of Article 1, paragraphs 682, 683, and 684, of Law No. 145/2018 (which established a new expiration date for state maritime concessions for tourist-recreational purposes as of December 31, 2033), as well as Article 182, paragraph 2, of Decree-Law No. 34 of May 19, 2020, as converted by Law No. 77 of July 17, 2020 (insofar as these provisions refer, confirming it, to the mechanism of automatic extension ex lege of state maritime concessions).</w:t>
      </w:r>
    </w:p>
    <w:p>
      <w:r>
        <w:t>In general terms, the Authority reminds that, in matters concerning the assignment of the use of public assets (falling within the state or local authorities' unassignable assets), the identification of the private concessionaire must occur through the Public Administration's execution of public evidence procedures1.</w:t>
      </w:r>
    </w:p>
    <w:p>
      <w:r>
        <w:t>1 See, among others, Council of State, ruling of September 25, 2009, No. 5765; Council of State, Section VI, ruling of November 18, 2019, No. 7874. In this regard, ANAC has also recently expressed itself with the resolution of January 17, 2019, No. 25.</w:t>
      </w:r>
    </w:p>
    <w:p>
      <w:r>
        <w:t>BULLETIN NO. 14 OF APRIL 6, 2021 16</w:t>
      </w:r>
    </w:p>
    <w:p>
      <w: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national legislation that allows for the automatic extension of existing public state concessions for tourist-recreational activities must be considered in violation of these provisions2.</w:t>
      </w:r>
    </w:p>
    <w:p>
      <w:r>
        <w:t>Furthermore, Directive 2006/123/EC (the so-called Services Directive) provides, in Article 12, that "where the number of authorizations available for a given activity is limited due to the scarcity of natural resources or the technical capacities available, Member States apply a selection procedure among potential candidates, which presents guarantees of impartiality and transparency and provides, in particular, adequate publicity for the start of the procedure and its conduct and completion" (paragraph 1), and that, in such cases, "the authorization is granted for a limited duration and cannot provide for an automatic renewal procedure nor grant other advantages to the outgoing provider or to persons who have particular ties with that provider" (paragraph 2).</w:t>
      </w:r>
    </w:p>
    <w:p>
      <w:r>
        <w:t>As is known, Member States are required to comply with the aforementioned EU principles and, where domestic legislation does not respect the provisions of the cited Directive, conflicting in turn with the principles of free movement and freedom of establishment, its disapplication is imposed3.</w:t>
      </w:r>
    </w:p>
    <w:p>
      <w:r>
        <w:t>In this sense, the Authority, in previous advocacy interventions, has repeatedly stated the necessity to proceed with the assignment of concessions – including those concerning state maritime assets for tourist-recreational purposes4 – through the conduct of public evidence procedures.</w:t>
      </w:r>
    </w:p>
    <w:p>
      <w:r>
        <w:t>In particular, it has been observed that in markets where, due to the specific objective characteristics of technical, economic, and financial activities, there is an exclusivity, or a limited number of subjects are allowed to operate, the assignment of concessions must still occur through transparent and competitive tendering procedures, in order to mitigate the distorting effects of competition related to the privileged position attributed to the concessionaire5.</w:t>
      </w:r>
    </w:p>
    <w:p>
      <w:r>
        <w:t>With specific reference to the procedures and measures for the extension of existing concessions6, the Authority has repeatedly emphasized7 that it is in the market's interest to carefully balance the short-term benefits and the possible costs that may manifest over a longer time horizon.</w:t>
      </w:r>
    </w:p>
    <w:p>
      <w:r>
        <w:t>The granting of extensions in favor of previous concessionaires, in fact, further defers competitive comparison for the market, thus preventing the benefits that would arise from periodic competition for the assignment through public evidence procedures. Therefore, any extensions of assignments should not exceed the actual needs of the Administrations, to allow for the efficient allocation of public resources through competitive procedures as soon as possible.</w:t>
      </w:r>
    </w:p>
    <w:p>
      <w:r>
        <w:t>These principles have recently been confirmed by the TAR Toscana which, with ruling No. 363 of March 8, 2021, fully accepted the appeal under Article 21-bis of Law No. 287/90 with which the undersigned Authority challenged a measure similar to the one under examination (issued by another municipal administration), recognizing the full legitimacy of the Authority's intervention, in the exercise of the powers conferred upon it by the aforementioned provision, regarding automatic extensions, without tender, of state maritime concessions for tourist-recreational purposes8.</w:t>
      </w:r>
    </w:p>
    <w:p>
      <w:r>
        <w:t>Consequently, the Authority believes that, for the reasons outlined above, this Municipality should have disapplied the national legislation underlying the aforementioned administrative acts due to its conflict with EU law.</w:t>
      </w:r>
    </w:p>
    <w:p>
      <w:r>
        <w:t>5 Administrative jurisprudence has also noted a misalignment between national legislation that provides for the extension of concessions and EU law,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 In this regard, see, among others, TAR Veneto, ruling No. 218/2020, TAR Puglia, ruling No. 36/2020, Council of State, Section VI, ruling No. 7874/2019 and, lastly, TAR Toscana, ruling No. 363/2021 precisely on the issue of the automatic extension of existing state maritime concessions.</w:t>
      </w:r>
    </w:p>
    <w:p>
      <w:r>
        <w:t>6 It is also recalled that the Court of Justice of the European Union, in establishing that the assignment of state maritime concessions for tourist-recreational use, which concern scarce natural resources, must necessarily take place through a selection procedure among potential candidates in compliance with all guarantees of impartiality and transparency, as well as adequate publicity, has emphasized that national legislation providing for an automatic extension ex lege of the expiration date of such concessions amounts to an automatic renewal in violation of the provisions of Article 12, paragraph 2, of Directive 2006/123/EC. See CJEU, Section V, ruling of July 14, 2016, joined cases C-458/14 and C-67/15, cited.</w:t>
      </w:r>
    </w:p>
    <w:p>
      <w:r>
        <w:t>7 See the report made by the Authority on July 1, 2020, pursuant to Article 21 of Law No. 287/1990, AS1684 – Observations regarding the provisions contained in the Relaunch Decree, in Bulletin No. 28/2020. Also see reports AS135 – Extensions of highway concessions, in Bulletin No. 19/98; AS491 – Provisions on the granting of concessions of state assets and on the direct exercise of administrative functions in the matter of state maritime assets, in Bulletin No. 46/2008; AS1114 – Concession regime present in the port of Livorno, in Bulletin No. 12/2014; AS1137 – Proposals for competitive reform for the annual law for the market and competition year 2014, in Bulletin No. 27/2014.</w:t>
      </w:r>
    </w:p>
    <w:p>
      <w:r>
        <w:t>8 In particular, the TAR Toscana annulled the Executive Determination of the Municipality of Piombino of May 21, 2020, No. 408, subject to a reasoned opinion of the Authority, adopted pursuant to Article 21-bis of Law No. 287 of October 10, 1990 (AS1701 – Municipality of Piombino (LI) - State maritime concessions for tourist-recreational purposes of July 28, 2020, in Bulletin No. 41/2020), with which the local authority initiated the procedure for the extension of state maritime concessions located in the municipal territory without proceeding with the comparative procedure provided for by Article 12 of Directive 2006/123/EC. In this ruling, the administrative judge expressly stated that the Municipality should have disapplied the legal provisions that provide for the automatic extension of state concessions due to their conflict with EU law as per Article 12 of Directive 2006/123/EC and carry out public evidence procedures for the identification of new concessionaires once the existing concessions have expired.</w:t>
      </w:r>
    </w:p>
    <w:p>
      <w:r>
        <w:rPr>
          <w:b/>
        </w:rPr>
        <w:t>[Pages 16–18]</w:t>
      </w:r>
    </w:p>
    <w:p>
      <w:r>
        <w:t>18 BULLETIN NO. 14 OF APRIL 6, 2021</w:t>
        <w:br/>
        <w:t>of the same with the principles and with the above-mentioned EU regulations. The provisions regarding the extension of state maritime concessions for tourist-recreational purposes contained in the aforementioned administrative acts indeed constitute specific violations of competition principles, insofar as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administrative acts in question are in conflict with Articles 49 and 56 of the TFEU, as they are likely to unjustifiably limit the freedom of establishment and the free movement of services within the internal market, as well as with the EU regulatory provisions on public procurement, with particular reference to Article 12 of the so-called Services Directive.</w:t>
      </w:r>
    </w:p>
    <w:p>
      <w:r>
        <w:t>The Authority therefore hopes that this Municipality will amend the indicated provisions, eliminating the highlighted competitive distortions, as specified above.</w:t>
      </w:r>
    </w:p>
    <w:p>
      <w:r>
        <w:t>The Authority also invites this Municipality to communicate, within thirty days from the receipt of this report, the decisions taken regarding the highlighted competition issues.</w:t>
      </w:r>
    </w:p>
    <w:p>
      <w:r>
        <w:t>This report will be published in the Bulletin referred to in Article 26 of Law No. 287/90.</w:t>
      </w:r>
    </w:p>
    <w:p>
      <w:r>
        <w:t xml:space="preserve">THE PRESIDENT </w:t>
        <w:br/>
        <w:t>Roberto Rustichelli</w:t>
      </w:r>
    </w:p>
    <w:p>
      <w:r>
        <w:t xml:space="preserve">BULLETIN NO. 14 OF APRIL 6, 2021 19 </w:t>
        <w:br/>
        <w:t xml:space="preserve">UNFAIR COMMERCIAL PRACTICES </w:t>
        <w:br/>
        <w:t xml:space="preserve">PS10666B - ATAC - CANCELLATION OF RAIL SERVICES - REDETERMINATION OF ATAC SANCTION </w:t>
        <w:br/>
        <w:t xml:space="preserve">Provision No. 28609 </w:t>
        <w:br/>
        <w:t xml:space="preserve">THE ITALIAN COMPETITION AUTHORITY </w:t>
        <w:br/>
        <w:t xml:space="preserve">IN ITS MEETING of March 16, 2021; </w:t>
        <w:br/>
        <w:t xml:space="preserve">HEARD the Rapporteur Professor Michele Ainis; </w:t>
        <w:br/>
        <w:t xml:space="preserve">HAVING REGARD to Part II, Title III, of Legislative Decree No. 206 of September 6, 2005, containing the "Consumer Code" and subsequent amendments (hereinafter, Consumer Code); </w:t>
        <w:br/>
        <w:t xml:space="preserve">HAVING REGARD to its provision No. 26710 of July 25, 2017, adopted at the conclusion of the investigation procedure related to case PS10666 - ATAC - Cancellation of rail services, with which it was resolved: </w:t>
        <w:br/>
        <w:t xml:space="preserve">i) that the company ATAC S.p.A. has engaged in an unfair commercial practice within the scope of its activity in the Local Public Transport (TPL) sector, in violation of Articles 20, paragraph 2, 21, and 22 of the Consumer Code, consisting of the frequent and substantial failure to comply with the schedule disseminated at the stations and through the website www.atac.roma.it, given the systematic and persistent cancellation of scheduled services of the public railway transport along the routes Rome-Lido di Ostia, Rome-Giardinetti-Pantano, and Rome-Civita Castellana Viterbo (so-called "former concession railways"), such as to mislead consumers regarding the actual availability of the service and to distort their economic behavior; </w:t>
        <w:br/>
        <w:t xml:space="preserve">ii) that, due to the seriousness and duration of the established violation, it could be deemed appropriate, against ATAC S.p.A., to impose an administrative pecuniary sanction determined at 3,600,000 euros (three million six hundred thousand); </w:t>
        <w:br/>
        <w:t xml:space="preserve">HAVING REGARD to the ruling of the Council of State, section VI, of May 21, 2020, No. 3575, published on June 5, 2020, with which the appeal of the company ATAC S.p.A. was partially upheld and, as a result, in partial reform of the appealed ruling of the Lazio TAR, section I, published on January 30, 2018, No. 1081, the first-instance appeal was partially upheld "with consequent annulment of the sanctioning provision challenged in the part in which it fails to motivate on the seriousness of the conduct attributed to the appellant"; </w:t>
        <w:br/>
        <w:t xml:space="preserve">HAVING REGARD, in particular, to the reasoning of this ruling of the Council of State which, in partial acceptance of the appeal presented by the company ATAC S.p.A., "limited to the alleged lack of motivation," indicated that "the Authority has not sufficiently highlighted the reasons that led it to consider the unlawful conduct attributed as characterized by 'seriousness', having anchored its conclusions solely to the economic dimension of the company and the number of passengers transported, data that alone are insufficient to support the contested judgment of seriousness, in the absence of further evaluative elements regarding the concrete behavior of the conduct"; </w:t>
        <w:br/>
        <w:t xml:space="preserve">HAVING REGARD also that from the ruling of the Council of State derives "the obligation of the Authority to motivate, in the review phase, regarding the seriousness of the conduct attributed to ATAC" and, in particular, "to re-examine with motivation the seriousness of the conduct, with the consequent possibility of a redefinition of the sanction itself"; </w:t>
        <w:br/>
        <w:t xml:space="preserve">HAVING REGARD to its provision No. 28507 of December 22, 2020, with which the Authority initiated a new procedure in order to proceed with the reasoned assessment of the seriousness of the conduct attributed to ATAC S.p.A. and the possible redefinition of the sanction to be imposed on the same company; </w:t>
        <w:br/>
        <w:t xml:space="preserve">HAVING REGARD to all the acts of the procedure; </w:t>
        <w:br/>
        <w:t xml:space="preserve">CONSIDERED the following: </w:t>
        <w:br/>
        <w:t xml:space="preserve">I. THE PARTY </w:t>
        <w:br/>
        <w:t xml:space="preserve">1. ATAC S.p.A. (hereinafter also referred to as ATAC, Company or professional), as a professional, pursuant to Article 18, paragraph 1, letter b), of the Consumer Code. ATAC is a single-member joint-stock company wholly controlled by the local authority Roma Capitale ("Roma Capitale"), active in the Local Public Transport (TPL) sector. </w:t>
        <w:br/>
        <w:t xml:space="preserve">II. THE INITIATION OF THE PROCEDURE </w:t>
        <w:br/>
        <w:t xml:space="preserve">2. Following the ruling of the Council of State, section VI, of May 21, 2020, No. 3575, published on June 5, 2020 (hereinafter also referred to as the Ruling), the Authority initiated procedure No. PS10666B - ATAC - Cancellation of rail services - Redetermination of ATAC sanction, in order to proceed with the reasoned assessment of the seriousness of the conduct attributed to ATAC and the possible redefinition of the sanction imposed on the same company with provision No. 26710 of July 25, 2017 (hereinafter "Provision"), based on what is indicated in the aforementioned Ruling. </w:t>
        <w:br/>
        <w:t xml:space="preserve">III. THE DEFENSIVE ARGUMENTS OF THE PARTY </w:t>
        <w:br/>
        <w:t xml:space="preserve">3. ATAC, with the memorandum received on February 8, 2021, illustrated further indices of the seriousness of the conduct that it believes should be evaluated in the determination of the sanction as well as the economic crisis situation in which the Company would find itself. </w:t>
        <w:br/>
        <w:t xml:space="preserve">4. With regard to the "concrete behavior of the conduct," it would first note the limited territorial extent of the practice, which would have had a subregional scope, allegedly quantifiable in terms of kilometers at about 100 km (total length of the Rome-Viterbo line, the longest of the three former concession railways). </w:t>
        <w:br/>
        <w:t xml:space="preserve">5. Secondly, the sector in which the practice was carried out – that of transport – would not fall among those characterized by "information asymmetry," in which a higher standard of diligence would be required from the professional, and in any case the Company would not have exploited its position of "dominance" to derive an extra profit at the expense of consumers, rather, it would have attempted to continue providing the service despite objective economic and financial difficulties. </w:t>
        <w:br/>
        <w:t>6. Thirdly, ATAC would have always maintained a collaborative attitude during the investigation procedure, implementing a series of measures (such as the reorganization of work shifts, the retraining of personnel, or the relocation of metro trains on the routes of the</w:t>
      </w:r>
    </w:p>
    <w:p>
      <w:r>
        <w:rPr>
          <w:b/>
        </w:rPr>
        <w:t>[Pages 19–21]</w:t>
      </w:r>
    </w:p>
    <w:p>
      <w:r>
        <w:t>BULLETIN NO. 14 OF APRIL 6, 2021 21</w:t>
        <w:br/>
        <w:t>railways previously granted) in order to reduce user inconvenience; although these elements cannot configure a mitigating circumstance – a situation expressly excluded by the Judgment – such conduct, according to the Company, should be taken into account in assessing the overall severity.</w:t>
      </w:r>
    </w:p>
    <w:p>
      <w:r>
        <w:t>7. Furthermore, the limited offensive potential of the commercial practice would be relevant, arising from the fact that buyers of the transport service would make their commercial choice primarily at the train stations, in front of the posted schedule, and not online; this means of communication, suitable in itself to reach a vast audience of consumers, would indeed have been used to disseminate updates on the actual status of the service.</w:t>
      </w:r>
    </w:p>
    <w:p>
      <w:r>
        <w:t>8. The last index to be considered in order to determine the overall severity of the infringement would be represented by the modest economic harm potentially suffered by consumers, given the low cost of the goods involved in the practice, namely the transport tickets, the price of which would be lower than the cost incurred by ATAC to provide the service, which, for this reason, would be partially financed by the Region.</w:t>
      </w:r>
    </w:p>
    <w:p>
      <w:r>
        <w:t>9. In addition to the elements mentioned above, the professional highlighted the economic crisis situation in which the Company has been for years and which has not been adequately considered in the quantification of the sanction, having led to a reduction "of just €400,000," deemed incongruous in light of the economic and financial conditions of ATAC, which at the time of the adoption of the Provision (July 25, 2017) had accumulated significant operating losses over the previous three financial years.</w:t>
      </w:r>
    </w:p>
    <w:p>
      <w:r>
        <w:t>10. The Company finally pointed out that, in the period following the closure of the investigation and the adoption of the related Provision, the already serious economic and financial conditions of ATAC would have further worsened, as evidenced by the fact that in 2017, the year in which ATAC's net equity was negative (for €170,645,097), the share capital would have fallen below the minimum required by law. This situation led the Company to file, on September 18, 2017, a petition for preventive agreement with reservation at the bankruptcy section of the Court of Rome, which, on June 25, 2019, adopted the homologation decree defining the amounts that the Company is authorized to liquidate and the related methods.</w:t>
      </w:r>
    </w:p>
    <w:p>
      <w:r>
        <w:t>11. The Company, still referring to the economic conditions following the adoption of the sanctioning provision, highlighted the persistence of its debt exposure according to the last approved financial statement (December 31, 2019), amounting to approximately €300 million and the fact that, at the end of 2019, the cash availability was significantly lower than expected according to the distribution plan.</w:t>
      </w:r>
    </w:p>
    <w:p>
      <w:r>
        <w:t>12. Finally, ATAC emphasized as an additional factor of instability, subsequent to the sanctioning provision, the impact of the Covid-19 pandemic on the TPL sector during the year 2020, which would have caused a contraction in demand for ATAC's services of over 90% compared to the previous year. This circumstance would significantly affect the company's finances, practically zeroing the revenues from the sale of transport tickets, with a reduction estimated at over €200 million and also creating difficulties in current management and in planning for the coming months.</w:t>
      </w:r>
    </w:p>
    <w:p>
      <w:r>
        <w:t>13. In conclusion, ATAC requested the Authority to close the present proceeding by significantly reducing the amount of the sanction, due to the significant mitigation of the severity assessment made as well as the recognition of the critical situation, both currently and prospectively, of ATAC's economic conditions pursuant to art. 11 of Law No. 689/1981 and the situation related to the Covid-19 epidemic.</w:t>
      </w:r>
    </w:p>
    <w:p>
      <w:r>
        <w:t>IV. LEGAL ASSESSMENTS</w:t>
      </w:r>
    </w:p>
    <w:p>
      <w:r>
        <w:t>a) Severity and duration of the established infringement</w:t>
      </w:r>
    </w:p>
    <w:p>
      <w:r>
        <w:t>14. Regarding the severity of the established practice, it is noted that with the aforementioned judgment No. 3575/2020, the Council of State, rejecting the grounds of appeal proposed by the professional against judgment No. 1081/2018 with which the Lazio TAR rejected the appeal with which ATAC challenged the sanctioning provision of the Authority, fully confirmed the assessment carried out by the Authority regarding the commercial conduct and the related profiles of unfairness, except for the "part in which it fails to motivate on the severity of the conduct attributed to the appellant."</w:t>
      </w:r>
    </w:p>
    <w:p>
      <w:r>
        <w:t>15. In particular, according to the administrative judge, "the Authority did not sufficiently highlight the reasons that led it to consider the infringement attributed as characterized by profiles of 'severity', having anchored its conclusions solely to the economic dimension of the company and the number of passengers transported, data that alone are insufficient to support the contested severity judgment, in the absence of further evaluative elements regarding the actual behavior of the conduct."</w:t>
      </w:r>
    </w:p>
    <w:p>
      <w:r>
        <w:t>16. It should be clarified that ATAC's complaint regarding the amount of the imposed sanction was accepted "only to the extent of the reported lack of motivation," as the Judge recognized: i) the irrelevance of the absence of aggressive profiles of the commercial practice, "since the Authority did not contest the existence of such aspects of illegality"; ii) the correctness of the failure to recognize the mitigating factor of voluntary compliance, given the absence in this case of an active conduct aimed at eliminating or mitigating the consequences of the previous behavior; iii) the irrelevance of the invoked absence of intent or negligence in the conduct; iv) the correct determination of the duration of the infringement, considering that "the significant service disruption attributed to ATAC is also proven in relation to the years 2010, 2011, 2012, 2015, and 2016."</w:t>
      </w:r>
    </w:p>
    <w:p>
      <w:r>
        <w:t>17. Regarding ATAC's criticism concerning "the inadequate consideration of the economic-financial conditions of the appellant in the quantification of the sanction," the Judgment in question deemed it "absorbed" due to the fact that the Authority must "reassess the severity of the conduct with a consequent possibility of a reconfiguration of the sanction itself."</w:t>
      </w:r>
    </w:p>
    <w:p>
      <w:r>
        <w:t>18. That said, in compliance with what was established by the Judgment with specific regard to the need to reassess the severity of the conduct and, therefore, in order to adequately highlight the reasons that led to consider the infringement attributed to ATAC as characterized by profiles of "severity," the following paragraphs specify the "further evaluative elements regarding the actual behavior of the conduct" that, in addition to the data already expressed (the economic dimension of the Company and the high number of passengers transported), contribute to qualifying the actual severity of the commercial practice carried out by ATAC "as it has manifested itself," as deducible from the text of the sanctioning Provision.</w:t>
      </w:r>
    </w:p>
    <w:p>
      <w:r>
        <w:t>The indices of severity of ATAC's unfair commercial practice</w:t>
      </w:r>
    </w:p>
    <w:p>
      <w:r>
        <w:t>19. In this regard, the capacity of penetration of the means used by the professional to convey the proposals for railway public transport services and disseminate the schedule of the Rome-Lido di Ostia, Rome-Giardinetti-Pantano, and Rome-Civita Castellana Viterbo routes, namely the ATAC corporate website, is of relevance, as it is a potentially suitable tool to reach a vast audience of users and capable of determining a wide dissemination of the conduct. In the sanctioning Provision, this element was explicitly stated from the description of the commercial practice (Part II), was reiterated in the investigative findings, constituted the motivation for the request for an opinion to the Authority for Guarantees in Communications, and was taken into account in the evaluations and final conclusions.</w:t>
      </w:r>
    </w:p>
    <w:p>
      <w:r>
        <w:t>20. The aforementioned methods of dissemination of ATAC's commercial conduct reveal the significant offensive potential of the established unfair practice, given that buyers of the transport service, contrary to what ATAC claimed, were induced to make their commercial choice based on the information, and in particular the schedule, conveyed on the website www.atac.roma.it.</w:t>
      </w:r>
    </w:p>
    <w:p>
      <w:r>
        <w:t>21. It is also relevant, contrary to what ATAC argued, the position of informational asymmetry of consumers compared to the professional who, while being aware of the systematic reasons that could have caused the cancellation of certain runs and the rescheduling of adjacent runs, failed to adopt adequate informational methods to communicate to users, in advance and in a timely manner, the changes to the runs.</w:t>
      </w:r>
    </w:p>
    <w:p>
      <w:r>
        <w:t>22. This omission/inadequacy of information regarding the cancellation of runs concerns an essential element of the transport service, which constitutes the prerequisite for a free and informed choice by the consumer regarding their daily mobility, as highlighted both in the investigative findings and in the evaluations of the Provision.</w:t>
      </w:r>
    </w:p>
    <w:p>
      <w:r>
        <w:t>23. Furthermore, still for the purpose of assessing the severity of the conduct, the professional's awareness of the persistent deficient provision of the service and the causes</w:t>
      </w:r>
    </w:p>
    <w:p>
      <w:r>
        <w:rPr>
          <w:b/>
        </w:rPr>
        <w:t>[Pages 22–24]</w:t>
      </w:r>
    </w:p>
    <w:p>
      <w:r>
        <w:t>24 BULLETIN NO. 14 OF APRIL 6, 2021</w:t>
        <w:br/>
        <w:t>of the suppression of services concerning all the railway lines subject to the proceedings, based on what was highlighted in the investigative findings and considered within the evaluations8.</w:t>
      </w:r>
    </w:p>
    <w:p>
      <w:r>
        <w:t>24. A similar significance, in terms of the severity of the established commercial practice, is attributed to the circumstance that the causes of the suppression of scheduled railway services were nonetheless attributable to the responsibility of the professional and were systematic over time and, therefore, not referable only to peak periods. In particular, the investigative findings of the Provision highlighted how the main reasons for the deviations in production compared to the programming were substantially due to factors (e.g. "lack of personnel") that directly pertain to the programming and organization competencies of the Services by ATAC, not being attributable to exogenous factors, force majeure causes, or events that could not be predicted with the application of normal diligence9.</w:t>
      </w:r>
    </w:p>
    <w:p>
      <w:r>
        <w:t>25. Among the evaluative elements that contribute to justifying the severity of ATAC's conduct, the consistency and systematic nature of the phenomenon of non-correspondence of the transport service provided compared to the programmatic plan established on the routes subject to the proceedings (formerly granted railways) and for the entire period taken into consideration10 must also be taken into account.</w:t>
      </w:r>
    </w:p>
    <w:p>
      <w:r>
        <w:t>26. As for the assessment of the harm suffered by consumers due to the suppression of railway services purchased based on the deceptive information conveyed via the internet and the lack of prior communication regarding the suppression/modification, it is highlighted that the Authority considered, in measuring the severity of the conduct, the serious inconveniences caused to users, largely consisting of commuters, due to the reduction of the transport offer that ATAC had committed to maintain, which resulted in significant delays and overcrowding of the vehicles11 to the detriment of consumers who had made the economic choice regarding the transport methods to be used based on a deceptive presentation of the schedules and the frequency of train passage.</w:t>
      </w:r>
    </w:p>
    <w:p>
      <w:r>
        <w:t>27. In this regard, it has been highlighted that such an economic choice, especially by commuting consumers who need to reach their work or study destination in certain and rapid times, is determined not only by the price of the transport service but also by a complex of additional factors, among which, primarily, the travel time related to the itinerary. In fact, in light of the knowledge of the actual schedules of the services and the real frequency of the trains, consumers could consciously decide to make a different mobility choice, such as using a private vehicle.</w:t>
      </w:r>
    </w:p>
    <w:p>
      <w:r>
        <w:t>28. Regarding the extent of the unlawful act attributed to ATAC, reiterating here the significance, for the purposes of measuring the sanction, of the number of passengers transported by the Company through the formerly granted railways, it is highlighted that this data, subject to thorough evaluation in the Provision, is in itself suitable to express the actual extent of the unfair commercial practice carried out by ATAC and, therefore, to assess the "concrete nature of the conduct," since it exclusively considers the situation related to the three routes Rome-Lido di Ostia, Rome-Giardinetti-Pantano, and Rome-Civita Castellana Viterbo, which constitute the objective scope of the Authority's assessment in the sanctioning provision.</w:t>
      </w:r>
    </w:p>
    <w:p>
      <w:r>
        <w:t>The economic-financial conditions of ATAC</w:t>
      </w:r>
    </w:p>
    <w:p>
      <w:r>
        <w:t>29. As for the economic dimension of the professional, as noted in the Judgment, the Authority has already taken into account, in assessing the severity of ATAC's conduct for the purposes of quantifying the base amount of the administrative pecuniary sanction to be imposed (set at 4 million euros), the amount of revenues recorded in the last approved financial statement at the date of adoption of the Provision, namely that relating to the 2015 financial year, from which it appeared that ATAC had achieved revenues from sales and services amounting to € 818,900,023.</w:t>
      </w:r>
    </w:p>
    <w:p>
      <w:r>
        <w:t>30. Similarly, in the activity of quantifying the amount of the sanction, the Authority has already considered the fact that ATAC had recorded, in the financial statement for the last financial year (2015), a loss of € 79,194,384, recognizing the existence of a mitigating circumstance that would lead to a percentage reduction of 10% of the base amount of the administrative pecuniary sanction applicable to ATAC, imposed at the final amount of 3.6 million euros. The extent of such reduction is deemed compliant with the principles of appropriateness and proportionality since it adequately took into account the percentage impact of the financial losses (approximately 79 million euros) on the total revenue (almost 819 million euros), corresponding to almost 10%.</w:t>
      </w:r>
    </w:p>
    <w:p>
      <w:r>
        <w:t>31. It is also worth noting that, while the reference year for determining ATAC's revenues must be correctly identified as 2015, as it was the last financial year closed prior to the notification of the warning, the Authority nonetheless took into account in the Provision what was stated by the Company regarding the presence of an operating loss for 2016, estimated at approximately 30 million euros based on the draft financial statement not yet finalized12.</w:t>
      </w:r>
    </w:p>
    <w:p>
      <w:r>
        <w:t>32. In this last regard, however, considering that the actual extent of the losses recorded in the 2016 financial statement was far greater than the figure evaluated in the Provision, as ATAC suffered an operating loss of over 210 million euros in 2016, it is deemed appropriate, in the process of recalculating the sanction, to adequately consider the actual amount of the losses recorded by the Company in 2016, which had been underestimated at the time of adoption of the Provision (30 million euros instead of 210 million euros).</w:t>
      </w:r>
    </w:p>
    <w:p>
      <w:r>
        <w:t>33. In addition to this economic data, it is also necessary to consider here another element that could affect the assessment of the appropriateness of the sanction imposed concerning the actual economic-financial conditions in which ATAC found itself at the time of adoption of the Provision. In particular, reference is made to the circumstance that the Company recorded losses in its financial statements for several consecutive years during the three financial years from 2013 to 2015, based on the financial statements approved before the closure of the investigation: specifically, ATAC suffered operating losses of over 219 million euros in 2013, recorded losses of over 141 million euros in the 2014 financial year, and incurred losses of over 79 million euros in the 2015 financial year. Finally, it cannot be overlooked that, as seen, ATAC in the financial year closed on December 31, 2016, based on the financial statement approved after the adoption of the Provision, again suffered a significant operating loss, amounting to approximately 210 million euros.</w:t>
      </w:r>
    </w:p>
    <w:p>
      <w:r>
        <w:t>34. Based on the above, it is believed that the evaluative elements consisting of the presence of operating losses in the financial statements for the years from 2013 to 2016 and the actual extent of the loss recorded in the 2016 financial statement (210 million euros) are suitable to correctly represent the economic dimension of the professional at the time of the warning. The adequate weighting of these factors thus allows for a proper quantification of the amount of the sanction in terms of proportionality concerning the financial resources of the professional.</w:t>
      </w:r>
    </w:p>
    <w:p>
      <w:r>
        <w:t>35. Finally, with specific regard to the economic situation of the Company in the years following the Provision, it should be noted that, while in the financial year closed on December 31, 2017, the Company recorded losses of approximately 120 million euros, in the last two financial statements for the 2018 and 2019 financial years, ATAC instead achieved operating profits of nearly € 840,000 in 2018 and as much as 7.6 million euros in 2019 (against revenues exceeding 800 million euros in both financial years)13.</w:t>
      </w:r>
    </w:p>
    <w:p>
      <w:r>
        <w:t>b) Quantification of the sanction</w:t>
      </w:r>
    </w:p>
    <w:p>
      <w:r>
        <w:t>36. In light of all the above, regarding the quantification of the sanction, according to the indications provided by the administrative judge, it is necessary to take into account, as applicable,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37. To this end, it is observed that the Company held, at the date of adoption of provision No. 26710 of July 25, 2017 (and still holds), a position of preeminent importance in the Local Public Transport sector in the metropolitan area of Rome.</w:t>
      </w:r>
    </w:p>
    <w:p>
      <w:r>
        <w:t>38. Furthermore, with regard to the severity of the infringement committed by the Company, in addition to the data already expressed in the Provision and recalled in the Judgment (economic dimension of the Company and number of passengers transported), the additional evaluative elements "regarding the concrete nature of ATAC's conduct" described above are relevant, particularly: the penetration capacity of the means of dissemination used (internet), the information asymmetry position of consumers compared to the professional, ATAC's awareness of the persistent deficient provision of the service in the formerly granted railways, the attribution to the professional of the causes of the suppression of scheduled railway services, the relevance and systematic nature of the phenomenon of non-correspondence of the transport service provided compared to the established programmatic plan, and finally, the inconveniences caused to consumers due to the reduction of the transport offer that ATAC had committed to maintain.</w:t>
      </w:r>
    </w:p>
    <w:p>
      <w:r>
        <w:t>39. As for the economic dimension of the professional, in order to measure the amount of the sanction against the actual economic-financial conditions of the Company at the time of the closure of the investigation and the ascertainment of the unlawful act (July 25, 2017), it is further necessary to take into account, in compliance with the criteria of appropriateness and proportionality, the actual significant losses recorded by ATAC in the 2016 financial statement, amounting to 210 million euros, which had been evaluated in the Provision based on the estimate provided by the professional itself,</w:t>
      </w:r>
    </w:p>
    <w:p>
      <w:r>
        <w:rPr>
          <w:b/>
        </w:rPr>
        <w:t>[Pages 25–27]</w:t>
      </w:r>
    </w:p>
    <w:p>
      <w:r>
        <w:t>BULLETIN NO. 14 OF APRIL 6, 2021 27</w:t>
        <w:br/>
        <w:t>which, however, was found to be of a significantly lower amount (30 million euros) compared to the actual value recorded in the financial statements.</w:t>
        <w:br/>
        <w:t>40. Furthermore, in determining the sanction, it is necessary to consider, as a mitigating factor regarding its relative amount, the circumstance existing prior to the adoption of the Provision represented by the presence of operating losses recorded by ATAC in the financial statements for several consecutive years, particularly in the three financial statements closed before the warning, namely 2013, 2014, and 2015, in which it recorded, respectively, operating losses of over 219 million euros, 141 million euros, and over 79 million euros, as well as in the financial statement for the year 2016, which was approved after the adoption of the sanctioning Provision (from which a loss of over 210 million euros emerges).</w:t>
        <w:br/>
        <w:t>41. Regarding the duration of the violation, as confirmed by the administrative judge, the conduct was carried out over a long period of time, from the year 2010 until the resolution closing the investigation (July 25, 2017).</w:t>
        <w:br/>
        <w:t>42. Based on these elements, in light of the severity indices of ATAC's conduct outlined above, it is deemed appropriate to confirm the base amount of the administrative pecuniary sanction applicable to ATAC S.p.A. in the amount of € 4,000,000 (four million euros).</w:t>
        <w:br/>
        <w:t>43. Considering that there exists, in this case, a mitigating circumstance of greater importance than that recognized in the Provision, as the professional has suffered consecutive operating losses in the financial statements for several years and as, based on the financial statement closed on December 31, 2016, has incurred further operating losses far exceeding those considered in the sanctioning provision, it is deemed appropriate to readjust the amount of the administrative pecuniary sanction applicable to ATAC S.p.A. to € 3,000,000 (three million euros).</w:t>
        <w:br/>
        <w:t>44. The amount of the reduction applied has been calculated taking into account the percentage incidence of the financial losses on ATAC's revenue for each reference year, which corresponds to an average percentage of about 19.4%, which has been increased by additional percentage points due to the repeated presence of operating losses in the Company's financial statements from 2013 to 2016 and the significant impact of the loss recorded in the last financial year under evaluation, namely 2016, compared to the related revenue (about 26%). This is to ensure that the sanction is proportionate to the financial resources of the professional - who, moreover, in the financial year closed on December 31, 2019, made profits of over 7 million euros - and simultaneously achieves its deterrent function.</w:t>
        <w:br/>
        <w:t>All of the above having been stated and considered;</w:t>
        <w:br/>
        <w:t>RESOLVES</w:t>
        <w:br/>
        <w:t>that the administrative pecuniary sanction to be applied to the company ATAC S.p.A., for the behaviors attributed to it in the Authority's provision No. 26710 of July 25, 2017, is readjusted to the amount of € 3,000,000 (three million euros).</w:t>
        <w:br/>
        <w:t>14 Specifically: in 2013, the percentage incidence of losses (€219,055,192) on revenue (€850,898,343) is 25.74%; in 2014, the percentage incidence of losses (€141,375,261) on revenue (€860,445,201) is 16.43%; in 2015, the percentage incidence of losses (€79,194,384) on revenue (€818,900,023) is 9.67%; in 2016, the percentage incidence of losses (€212,710,208) on revenue (€827,375,773) is 25.71%.</w:t>
      </w:r>
    </w:p>
    <w:p>
      <w:r>
        <w:t>28 BULLETIN NO. 14 OF APRIL 6, 2021</w:t>
        <w:br/>
        <w:t>This provision will be notified to the interested parties and published in the Bulletin of the Italian Competition Authority.</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w:t>
        <w:br/>
        <w:t>Filippo Arena Roberto Rustichelli</w:t>
      </w:r>
    </w:p>
    <w:p>
      <w:r>
        <w:t>BULLETIN NO. 14 OF APRIL 6, 2021 29</w:t>
        <w:br/>
        <w:t>PS11786 - UNICREDIT-MEASURES DL CURA ITALIA AND DL LIQUIDITY</w:t>
        <w:br/>
        <w:t>Provision No. 28610</w:t>
        <w:br/>
        <w:t>THE ITALIAN COMPETITION AUTHORITY</w:t>
        <w:br/>
        <w:t>IN ITS MEETING of March 16, 2021;</w:t>
        <w:br/>
        <w:t>HEARD the Rapporteur, Dr. Gabriella Muscolo;</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communication of July 27, 2020, subsequently supplemented in the definitive consolidated version received on January 26, 2021, whereby Unicredit S.p.A. submitted commitments pursuant to Article 27, paragraph 7, of the Consumer Code and Article 9 of the Regulation;</w:t>
        <w:br/>
        <w:t>VIEWED the extensions of the final deadline of the procedure decided on October 13, 2020, December 22, 2020, and January 26, 2021;</w:t>
        <w:br/>
        <w:t>VIEWED the acts of the procedure;</w:t>
        <w:br/>
        <w:t>I. THE PARTY</w:t>
        <w:br/>
        <w:t>1. Unicredit S.p.A., with its registered office in Milan, is a company active in the banking and credit sectors, particularly in the markets of collection and lending.</w:t>
        <w:br/>
        <w:t>II. THE COMMERCIAL PRACTICES</w:t>
        <w:br/>
        <w:t>2. The procedure concerns two commercial practices adopted by the Professional in the context of implementing certain government measures provided for by Decree Law No. 18 of March 17, 2020 (Cura Italia Decree), converted with amendments into Law No. 27 of April 24, 2020, and by Decree Law No. 23 of April 8, 2020 (Liquidity Decree), converted with amendments into Law No. 40 of June 5, 2020, to support consumers and micro, small, and medium enterprises in facing the health emergency from Covid-19.</w:t>
        <w:br/>
        <w:t>3. The government measures consist of i. the suspension of mortgage payments for the first home as per Article 54 of the Cura Italia Decree, through access to the Gasparrini solidarity fund managed by Consap S.p.A., extended to self-employed workers, freelancers, and sole proprietors (measure expired on December 17, 2020) ii. the suspension of mortgage and loan payments, as per Article 56, paragraph 2, letter c) of the Cura Italia Decree (currently expiring on June 30, 2021) and iii. the granting to micro-enterprises, by the Banks, of loans at favorable rates,</w:t>
        <w:br/>
        <w:t>1 The original deadline, set for September 30, 2020, was initially extended to January 31, 2021, by Article 65, paragraph 2, of Decree Law No. 104 of August 14, 2020 (August Decree) (and regarding companies in the tourism sector to March 31, 2021 pursuant to Article 77, August Decree) and, lastly, to June 30, 2021 (Article 1, paragraphs 248 and 249, Law No. 178 of December 30, 2020).</w:t>
      </w:r>
    </w:p>
    <w:p>
      <w:r>
        <w:rPr>
          <w:b/>
        </w:rPr>
        <w:t>[Pages 28–30]</w:t>
      </w:r>
    </w:p>
    <w:p>
      <w:r>
        <w:t>30 BULLETIN NO. 14 OF APRIL 6, 2021</w:t>
        <w:br/>
        <w:t>up to 30,000 euros, with 100% coverage by the State Guarantee Fund, as per art. 13, paragraph 1, letter m), of the Liquidity Decree (currently expiring on June 30, 2021).</w:t>
      </w:r>
    </w:p>
    <w:p>
      <w:r>
        <w:t>4. The two commercial practices, which are alleged to have been adopted by Unicredit towards micro-enterprises and consumers, would consist of:</w:t>
      </w:r>
    </w:p>
    <w:p>
      <w:r>
        <w:t>A) not providing any indication, either on its website or in the application forms, regarding the estimated or maximum response time to requests for installment suspension, as per arts. 54 and 56, paragraph 2, of the Cura Italia Decree, as well as the response to loan applications as per art. 13, paragraph 1, letter m) of the Liquidity Decree, and not providing clear and complete information to micro-enterprises, recipients of the measure referred to in the aforementioned art. 56, paragraph 2, letter c), regarding the accrual of additional interest, compared to the original amortization plan, to be paid to the Bank due to the suspension of installments and the extension of the plan itself, in the event of suspension of both the principal and interest, in possible violation of arts. 20, paragraph 2, and 22 of the Consumer Code;</w:t>
      </w:r>
    </w:p>
    <w:p>
      <w:r>
        <w:t>B) having exercised undue pressure on the micro-enterprises interested in the financing referred to in art. 13, paragraph 1, letter m) of the Liquidity Decree, at advantageous interest rates and with state guarantee, in possible violation of arts. 20, paragraph 2, 24 and 25 of the Consumer Code, hindering them, in a burdensome and disproportionate manner, in their ability to obtain financing.</w:t>
      </w:r>
    </w:p>
    <w:p>
      <w:r>
        <w:t>III. THE OUTCOMES OF THE PROCEEDING</w:t>
      </w:r>
    </w:p>
    <w:p>
      <w:r>
        <w:t>1) The procedure process</w:t>
        <w:br/>
        <w:t>5. Following reports from consumers received in April, May, and June 2020 - according to which the Professional did not clarify that the suspension of mortgage and loan installments pursuant to art. 56, paragraph 2, letter c), of the Cura Italia Decree results in an increase in overall interest compared to the original amortization plan, and would have hindered micro-enterprises from obtaining the financing referred to in the aforementioned art. 13, paragraph 1, letter m), even without providing a response to requests or in the absence of the reasons for rejection - and based on the findings acquired ex officio, on June 11, 2020, the initiation of the investigative procedure PS11786 was communicated to Unicredit S.p.A., for possible violation of arts. 20, paragraph 2, 22, 24 and 25 of the Consumer Code.</w:t>
      </w:r>
    </w:p>
    <w:p>
      <w:r>
        <w:t>6. With the communication of the initiation of the investigation, in order to acquire useful knowledge elements for the evaluation of the two commercial practices under examination, the Professional was requested, pursuant to article 27, paragraphs 3 and 4, of the Consumer Code and article 12, paragraph 1, of the Regulation, to provide information accompanied by documentation regarding the expected timing for responses to requests for the aforementioned emergency measures, regarding the calculation of interest in the case of suspension pursuant to art. 56, paragraph 2, of the Cura Italia Decree, as well as the requirements and conditions required for the granting of the financing in question.</w:t>
      </w:r>
    </w:p>
    <w:p>
      <w:r>
        <w:t>7. On July 10, 2020, the Professional provided the requested information and documentation in response to the communication initiating the procedure, subsequently supplemented by a communication received on July 22, 2020.</w:t>
      </w:r>
    </w:p>
    <w:p>
      <w:r>
        <w:t>8. On July 27, 2020, the Professional submitted commitments, pursuant to article 27, paragraph 7, of the Consumer Code and article 9 of the Regulation, aimed at removing the profiles of unfairness of the contested commercial practices. These were supplemented on November 6, 2020, and on December 9 and 18, 2020, following the communication of October 22, 2020, in which the Authority set a deadline for their integration. The consolidated final version was received on January 26, 2021.</w:t>
      </w:r>
    </w:p>
    <w:p>
      <w:r>
        <w:t>9. As requested by the Professional, on November 5, 2020, the same was heard in a hearing.</w:t>
      </w:r>
    </w:p>
    <w:p>
      <w:r>
        <w:t>10. On January 14, 2021, the date of conclusion of the investigative phase was communicated to the Professional, pursuant to article 16, paragraph 1, of the Regulation.</w:t>
      </w:r>
    </w:p>
    <w:p>
      <w:r>
        <w:t>11. On January 28, 2021, and February 3, 2021, opinions were requested from the Bank of Italy (hereinafter also BdI), pursuant to article 27, paragraph 1-bis, of the Consumer Code, as the conduct in question was carried out by an operator active in the banking and credit sectors, and from the Authority for Communications Guarantees (hereinafter also AGCOM), pursuant to article 16, paragraphs 3 and 4, of the Regulation, as the conduct was also carried out via the internet.</w:t>
      </w:r>
    </w:p>
    <w:p>
      <w:r>
        <w:t>12. On February 24, 2021, the opinion of the Bank of Italy was received.</w:t>
      </w:r>
    </w:p>
    <w:p>
      <w:r>
        <w:t>13. On March 4, 2021, the opinion of AGCOM was received.</w:t>
      </w:r>
    </w:p>
    <w:p>
      <w:r>
        <w:t>2) The acquired elements</w:t>
        <w:br/>
        <w:t>14. With reference to the conduct analyzed within the commercial practice sub A), the elements provided by Unicredit highlighted the following:</w:t>
        <w:br/>
        <w:t>- as of July 6, 2020, the Bank had received [10,000-60,000]* requests for suspension of mortgage installments for the first home through access to the Gasparrini Solidarity Fund (cited art. 54); as of the same date, [10,000-20,000] were accepted and [5,000-10,000] were rejected (of these, [2,000-7,000] were rejected by Consap and [1,000-6,000] by the Bank for lack of objective requirements); at the same date, [2,000-7,000] requests were in process. The decision was processed in an average time of [10-15] days approximately;</w:t>
        <w:br/>
        <w:t>- as of July 6, 2020, the Bank had received [50,000-100,000] requests for suspension of installments of loans and financing pursuant to art. 56, paragraph 2, letter c); the requests were accepted in an average time of [2-7] days;</w:t>
        <w:br/>
        <w:t>- as of July 6, 2020, the Bank had received [50,000-100,000] requests for financing referred to in the aforementioned art. 13, paragraph 1, letter m), of which [40,000-90,000] had been approved, and in [20,000-70,000] cases the amounts had been disbursed; at the same date, there were [200-700] rejected requests, [10-15%] of which were due to negative creditworthiness assessment. The average time for approval was approximately [7-12] days and for disbursement about [10-15] days;</w:t>
        <w:br/>
        <w:t>- regarding the calculation of interest accrued due to the aforementioned suspension, the application form only indicated that "interest is accrued on the principal amounts of the suspended installments calculated in the same manner as provided in the loan/financing contract"; this warning, following the initiation of the procedure, was modified by Unicredit, which included, both on the website and in the application form, the explanation: "interest will be accrued on the principal amounts of the suspended installments calculated at the same contractual rate. Following the 'suspension' of the payment of the installments of the loan/financing, two separate accessory financing accounts (capital backpack and interest backpack) will be activated, in which, during the suspension period, the components (capital and interest) of the suspended amounts will flow respectively. The amount of the suspended principal only (capital backpack) will accrue - annually and until its repayment - interest at the same rate as the original financing. These interests will never be capitalized but will be recorded on the interest backpack (the accessory financing accounts are internal technical accounts of the Bank for mere accounting purposes of the calculation of interest on the suspended amounts and do not entail any cost or any type of reporting to third parties). Upon expiration of the suspension period, the flow of installment debits is automatically reactivated: the originally planned amortization plan is not recalculated and resumes from the installment following the interruption with the same periodicity according to the original amortization plan. The payment of the amount of the suspended installments, including the additional interest accrued on the suspended principal amounts, may occur: at the end of the original amortization plan through payments that will be executed with the same periodicity provided for in the contract with a number of installments equal to the number of installments subject to suspension or, at the request of the loan/financing holder, at any time during the duration of the loan or in a single solution simultaneously with any early repayment of the loan/financing";</w:t>
        <w:br/>
        <w:t>- on the Bank's website, examples of the methods were provided according to which, in the case of suspension of only the principal or of both the principal and interest, there is an increase in interest;</w:t>
      </w:r>
    </w:p>
    <w:p>
      <w:r>
        <w:t>15. With reference to the conduct analyzed within the commercial practice sub B), the elements provided by Unicredit revealed the following:</w:t>
        <w:br/>
        <w:t>- for the granting of the financing in question, the Bank, in its response of July 2020, stated that it verifies the "legal criteria for client eligibility" and conducts the assessment of "creditworthiness";</w:t>
      </w:r>
    </w:p>
    <w:p>
      <w:r>
        <w:rPr>
          <w:b/>
        </w:rPr>
        <w:t>[Pages 31–33]</w:t>
      </w:r>
    </w:p>
    <w:p>
      <w:r>
        <w:t>BULLETIN NO. 14 OF APRIL 6, 2021 33</w:t>
        <w:br/>
        <w:t>- regarding the "legal criteria for client eligibility," "pursuant to Article 13 of the Liquidity Decree, the guarantee is also granted in favor of final beneficiaries who, at the date of the guarantee request, have exposures to the financial institution classified as 'unlikely to pay' or 'past due or deteriorated' pursuant to paragraph 2 part B of Circular 272 of the Bank of Italy [...] provided that the aforementioned classification is not prior to January 31, 2020. [...] In any case, companies with exposures classified as 'bad loans' according to banking regulations are excluded." The "creditworthiness assessment on the financing request" would consist of verifying "negative information" (such as "potential amount of foreclosure in relation to turnover, protest, ongoing recovery plans, bankruptcy, judicial liquidation") and the "criteria established in Circular 272 of the Bank of Italy regarding prudential supervision on credit risk." As indicated by the Bank of Italy, the "checks required by anti-mafia legislation and anti-money laundering legislation would be mandatory"; "in the absence of explicit regulatory provisions, banks that omit the creditworthiness assessment expose themselves to the risk of committing crimes"; however, such information was not conveyed to the client, nor was the reason for the denial of the financing communicated;</w:t>
      </w:r>
    </w:p>
    <w:p>
      <w:r>
        <w:t>- for the granting of the financing, the opening of a current account with the Bank is not required, nor is the possession of client status; in this regard, as of July 10, 2020, the financing granted pursuant to the aforementioned Article 13, paragraph 1, letter m), for which a current account was opened simultaneously, amounted to [1,000-5,000], equal to [1-5%] of the accepted requests;</w:t>
      </w:r>
    </w:p>
    <w:p>
      <w:r>
        <w:t>- between March 16, 2020, and June 11, 2020, the Bank received [300-800] complaints regarding the emergency measures in question: [200-700] concerned the suspensions pursuant to Articles 54 and 56, paragraph 2, letter c), of the Cura Italia Decree and [100-500] the financing in question.</w:t>
      </w:r>
    </w:p>
    <w:p>
      <w:r>
        <w:t>3) The commitments of the Professional</w:t>
        <w:br/>
        <w:t>16. The commitments presented by Unicredit on July 27, 2020, pursuant to Article 27, paragraph 7, of the Consumer Code and Article 9 of the Regulation, subsequently integrated, with a consolidated and definitive version presented on January 26, 2021, provide for the adoption of the following measures, most of which have already been implemented by the Professional:</w:t>
      </w:r>
    </w:p>
    <w:p>
      <w:r>
        <w:t>a) with reference to the indication of the response time to requests for installment suspension, pursuant to Article 54 and Article 56, paragraph 2, letter c) of the Cura Italia Decree, as well as the disbursement of new financing up to 30,000 euros pursuant to Article 13, paragraph 1, letter m) of the Liquidity Decree, the Bank commits to identifying a timeline for processing suspension requests, to be communicated to its clientele, and to updating it, also in light of extensions of the government measures in question. In particular, regarding requests for suspension of mortgages for the primary residence pursuant to the aforementioned Article 54, as of June 25, 2020, the maximum response time is indicated on the website, currently "10 calendar days." Regarding requests for suspension of mortgages and financing provided for by the aforementioned Article 56, as of July 23, 2020, the average response time is indicated on the Bank's website, currently 5 working days. Concerning requests for disbursement of financing according to the aforementioned Article 13, paragraph 1, letter m), as of July 24, 2020, the average response time of 14 working days is indicated on the website and from July 22, 2020, on the information sheet made available to the client before signing the contract;</w:t>
      </w:r>
    </w:p>
    <w:p>
      <w:r>
        <w:t>34 BULLETIN NO. 14 OF APRIL 6, 2021</w:t>
        <w:br/>
        <w:t>b) regarding information on the additional overall interest resulting from both types of installment suspension, Unicredit commits to including a standard calculation example of the additional interest due to the Bank as a result of the suspension on the suspension pages of its website, accompanied by text that facilitates understanding. This integration was implemented in August 2020;</w:t>
      </w:r>
    </w:p>
    <w:p>
      <w:r>
        <w:t>c) the Bank commits to including a specific link on its website to allow clients who have already obtained a mortgage suspension to request the calculation of the interest due in relation to the principal portion of the suspended installments, and the transmission of the updated repayment plan. This link was active from September 2020 to November 2020;</w:t>
      </w:r>
    </w:p>
    <w:p>
      <w:r>
        <w:t>d) Unicredit commits to integrating the documentation provided to the client requesting the suspension with a simulation of the interest due for the deferral of the suspended installments to the original amortization plan. This document has been provided to clients since October 12, 2020. To this documentation, from November 2020, a new amortization plan with interest calculation including all suspensions (including non-governmental) that may have been activated has been added;</w:t>
      </w:r>
    </w:p>
    <w:p>
      <w:r>
        <w:t>e) similarly, the Bank commits to allowing all clients interested in the two types of installment suspensions to obtain, upon request, by visiting a branch or sending an email to a dedicated email address, the updated repayment plan, highlighting the interest due in relation to the principal portion of the suspended installments. This possibility has been offered since the end of November 2020;</w:t>
      </w:r>
    </w:p>
    <w:p>
      <w:r>
        <w:t>f) Unicredit commits to sending clients who already benefit from the suspensions an informative letter, indicating that the suspension of installments results in the accrual of additional interest in favor of the Bank on the principal portion of the suspended installments, the mechanism for calculating the interest, and the options for repaying the installments (payment at the end of the amortization plan, at any time during the repayment of the mortgage, at the time of early repayment of the financing), and that the amount of interest due to the Bank varies based on the timing of the repayment of the installments. The letter also communicates that, in the subsequent annual reporting, the additional interest due as a result of the suspension is indicated, and it is made known that, from the end of November 2020, clients can visit a branch to simulate the calculation of the additional interest, or request it via the dedicated email address;</w:t>
      </w:r>
    </w:p>
    <w:p>
      <w:r>
        <w:t>g) by March 2021, the Bank commits to modifying the annual reporting document sent to clients, introducing a specific section dedicated to the calculation of the interest accrued annually on the principal portions subject to suspension;</w:t>
      </w:r>
    </w:p>
    <w:p>
      <w:r>
        <w:t>h) regarding financing up to 30,000 euros, pursuant to the aforementioned Article 13, paragraph 1, letter m), Unicredit commits to explicitly stating and publishing, on its website and in the information sheet available in branches and downloadable from the site, "the Criteria adopted by the bank for the granting of the guaranteed financing," which also include the "eligibility criteria" and the "creditworthiness checks," and the checks regarding anti-mafia, anti-terrorism, and anti-money laundering. The publication of the criteria, contained in the document "Financing with guarantee from the Central Guarantee Fund for SMEs pursuant to Article 13, m) of the Decree Law 8.04.20, No. 23 converted into Law 5/6/2020 No. 40 ('Liquidity Decree') - Criteria adopted by the bank for granting guaranteed financing," took place in November 2020 (the publication regarding checks in anti-mafia, anti-terrorism, and anti-money laundering took place on December 22, 2020). Among the "eligibility criteria of the Applicant," the "absence of exposures classified as bad loans under current banking regulations, 'Unlikely to Pay,' 'Past Due and/or Deteriorated Exposures,' at the date of the financing request, [that] are still classifiable as 'deteriorated' pursuant to Article 47-bis, paragraph 4, of Regulation (EU) No. 575/2013; without prejudice to the case where the classification of exposure as 'deteriorated' arises solely from the fact that at least one year has not passed since the date on which the exposure was classified as 'deteriorated' / the granting measures have been accorded."</w:t>
      </w:r>
    </w:p>
    <w:p>
      <w:r>
        <w:t>The creditworthiness analysis is defined as "the assessment of the Applicant's ability to repay the loan and to meet the related commitments, regardless of the presence of the guarantee (which represents a subsidiary element of the Applicant's creditworthiness)." This assessment concerns the "absence of negative information about the Applicant and related parties in the last 10 years." "Negative information" refers to "Fraudulent Bankruptcy, Simple Bankruptcy, Bankruptcy Agreement, Controlled Administration, Extraordinary Administration, Preventive Agreement, Judicial Administration, Dissolution by Act of Authority, Compulsory Administrative Liquidation, Bankruptcy, Voluntary Liquidation, Judicial Division, Real Estate Execution, Criminal Mortgage, Bounced Checks, Injunction, Prohibition on Issuing Checks, Judicial Mortgage, Foreclosure, Protest, Criminal Seizure, Conservatory/Judicial Seizure, Exceeding Overdue/Unlikely to Pay/Bad Debt, Business Ceased/Inactivity/Temporarily Suspended."</w:t>
      </w:r>
    </w:p>
    <w:p>
      <w:r>
        <w:t>The creditworthiness check is limited to the last decade, thus excluding negative information about the applicant and related parties (i.e., holders of joint accounts or unlimited partners) dating back to a period exceeding 10 years. Finally, the Bank also evaluates the analysis of the "adequate economic, financial, and asset balance of the Applicant (through the analysis of the balance sheet or other comparable document), and the regularity of the relationship with the Bank (in the case of an already existing client) and with the banking system, which also affects the rating (i.e., the likelihood of the applicant to meet their commitments in the following 12 months) assigned to the Applicant";</w:t>
      </w:r>
    </w:p>
    <w:p>
      <w:r>
        <w:t>i) the Bank commits to re-evaluating, in light of the aforementioned criteria, the applications rejected up to the date of any resolution accepting the commitments. If the review reveals that the rejection was based on criteria other than those listed, the Bank, after assessing the updated credit risk of the Applicant, commits to contacting them again, using the available means (phone or email), to verify the current interest in financing, proceeding, if affirmative, with the disbursement. These follow-ups were completed by December 31, 2020, while follow-ups in cases of rejection, motivated solely by negative information older than ten years, were concluded in October 2020;</w:t>
      </w:r>
    </w:p>
    <w:p>
      <w:r>
        <w:t>l) the Bank commits to clearly indicating in the rejection letters of the financing in question the reasons preventing the granting of the financing, expressly stating which requirement is not met by the applicant.</w:t>
      </w:r>
    </w:p>
    <w:p>
      <w:r>
        <w:rPr>
          <w:b/>
        </w:rPr>
        <w:t>[Pages 34–36]</w:t>
      </w:r>
    </w:p>
    <w:p>
      <w:r>
        <w:t>36 BULLETIN NO. 14 OF APRIL 6, 2021</w:t>
      </w:r>
    </w:p>
    <w:p>
      <w:r>
        <w:t>IV. OPINION OF THE BANK OF ITALY</w:t>
      </w:r>
    </w:p>
    <w:p>
      <w:r>
        <w:t>17. Since the practices subject to this provision were carried out by an operator active in the banking and credit sectors, on January 28, 2021, an opinion was requested from the Bank of Italy, pursuant to Article 27, paragraph 1-bis, of the Consumer Code.</w:t>
      </w:r>
    </w:p>
    <w:p>
      <w:r>
        <w:t>18. In an opinion received on February 24, 2021, the aforementioned Authority communicated that the commitments presented by Unicredit "do not present inconsistencies with the regulations regarding the transparency of contractual conditions and the fairness of relationships between intermediaries and clients," and therefore did not find any reasons against their acceptance.</w:t>
      </w:r>
    </w:p>
    <w:p>
      <w:r>
        <w:t>V. OPINION OF THE AUTHORITY FOR COMMUNICATIONS GUARANTEES</w:t>
      </w:r>
    </w:p>
    <w:p>
      <w:r>
        <w:t>19. Since the practices subject to this provision were carried out online, on February 3, 2021, an opinion was requested from AGCOM, pursuant to Article 16, paragraphs 3 and 4, of the Regulation.</w:t>
      </w:r>
    </w:p>
    <w:p>
      <w:r>
        <w:t>20. In an opinion received on March 4, 2021, the aforementioned Authority deemed that in this case, the internet is a suitable tool to significantly influence the implementation of the commercial practice.</w:t>
      </w:r>
    </w:p>
    <w:p>
      <w:r>
        <w:t>VI. EVALUATIONS OF THE COMMITMENTS</w:t>
      </w:r>
    </w:p>
    <w:p>
      <w:r>
        <w:t>21. The Authority believes that the commitments proposed by the Professional are suitable to remedy the possible profiles of unfairness, pursuant to the provisions of the Consumer Code, of the two contested commercial practices in the initiation communication of June 11, 2020. In particular, the Authority notes that the proposed measures, almost entirely already implemented, are characterized by features that give them concreteness and effectiveness for the protection of consumers and micro-enterprises.</w:t>
      </w:r>
    </w:p>
    <w:p>
      <w:r>
        <w:t>22. The described measures are, in fact, suitable to permanently and structurally eliminate potential behaviors aimed at harming consumers and micro-enterprises regarding the contested profiles, concerning both practice A), related to the failure to indicate the times, including estimated or maximum, for the processing of requests for the measures in question, and the failure to indicate the accrual of additional interest resulting from the suspensions of the installments referred to in the aforementioned Article 56, paragraph 2, letter c) (in the case of suspension of both the entire installment and the only principal), and practice B), related to undue conditioning, towards micro-enterprises, such as to hinder them, in a burdensome and disproportionate manner, in obtaining the financing guaranteed by the State, by not providing, for example, responses to requests or not justifying the rejection of loan applications.</w:t>
      </w:r>
    </w:p>
    <w:p>
      <w:r>
        <w:t>- Indication of the response times for the requests for the measures in question</w:t>
      </w:r>
    </w:p>
    <w:p>
      <w:r>
        <w:t>23. Regarding the indication of the times taken by the Bank to respond to requests for the suspension of mortgage installments for the first home referred to in the aforementioned Article 54 and the installments of loans and mortgages referred to in the aforementioned Article 56, paragraph 2, letter c), as well as to the applications for guaranteed financing up to 30,000 euros referred to in the aforementioned Article 13, paragraph 1, letter m), it is highlighted that the commitment under a), related not only to the publication of the average response times but also to their updating, has been implemented since June and July 2020 for the three emergency measures in question. In fact, Unicredit has published on its website the maximum response time for the suspension referred to in the aforementioned Article 54 and the average response time for the other two government measures under examination.</w:t>
      </w:r>
    </w:p>
    <w:p>
      <w:r>
        <w:t>24. This commitment concerns a fundamental element, namely the response times of the Bank to the request for the application of the three emergency measures, suitable to guide the decision of consumers and micro-enterprises. It must be considered that in an emergency context, such as that which led to the adoption of government measures, certainty about the timing of the response, even if only approximate, in addition to its promptness, assumes particular importance, as it can determine the choice of whether to use the offered tool or not, especially regarding the suspensions of installments.</w:t>
      </w:r>
    </w:p>
    <w:p>
      <w:r>
        <w:t>25. Furthermore, regarding the requests for guaranteed financing, knowledge of the response time, even if average, affects not only whether to use the tool but also directly in identifying the Bank to which to turn.</w:t>
      </w:r>
    </w:p>
    <w:p>
      <w:r>
        <w:t>- Information regarding the accrual of additional interest in the event of suspension of loan and mortgage installments</w:t>
      </w:r>
    </w:p>
    <w:p>
      <w:r>
        <w:t>26. In the same vein, with reference to the additional interest resulting from the suspensions in question, it is noted that, since August 2020, the Bank has implemented the commitment under b), by indicating on its website examples of suspensions from which the increase in due interest arises. From the examples reported on Unicredit's website, the existence of additional interest is clearly evident both in the case of suspension of only the principal and of both the principal and interest.</w:t>
      </w:r>
    </w:p>
    <w:p>
      <w:r>
        <w:t>27. It should be noted that the aforementioned commitment has been accompanied by other measures, from commitments under c) to under f), useful for improving information for consumers and micro-enterprises, concerning a link inserted on the website to request the calculation of the interest due following the suspensions and the updated repayment plan (in use from September to November 2020), the delivery of the simulation document of the interest due from October 12, 2020 (to which the amortization plan from November 2020 was added), the possibility of requesting the updated repayment plan from the end of November 2020, and the sending of the informative letter, from November 2020, in which the conditions of the suspensions in question are described.</w:t>
      </w:r>
    </w:p>
    <w:p>
      <w:r>
        <w:t>28. In the same vein, commendable is the commitment under g) related to the modification of the annual reporting document in which the Bank, from March 2021, includes a specific section on the calculation of the interest accrued annually on the suspended principal amounts.</w:t>
      </w:r>
    </w:p>
    <w:p>
      <w:r>
        <w:t>29. In conclusion, the described commitment under b), also evaluated together with the set of other measures from c) to g), is suitable to inform consumers and micro-enterprises about the effects, in terms of additional interest, of the suspension of installments.</w:t>
      </w:r>
    </w:p>
    <w:p>
      <w:r>
        <w:t>- Grants of financing up to 30,000 euros</w:t>
      </w:r>
    </w:p>
    <w:p>
      <w:r>
        <w:t>30. With reference to the issues that emerged regarding the limits and conditions for the granting of financing by the Bank, it is first noted that the commitments from h) to l), related to guaranteed financing up to 30,000 euros, referred to in the aforementioned Article 13, paragraph 1, letter m), resolve the concerns raised both regarding the rejections already decided by the Bank and regarding new financing requests that may be submitted until June 30, 2021 (current deadline for the measure).</w:t>
      </w:r>
    </w:p>
    <w:p>
      <w:r>
        <w:t>31. Regarding future requests, it should be noted that, with the commitment under h), Unicredit has predefined, in line with the applicable regulations, the exclusion causes from financing and has published, since November 2020, on its website and in the information sheet available in branches and downloadable from the site, the document on "Criteria adopted by the bank for the granting of guaranteed financing." As a result, the public has been informed, in detail, of the reasons preventing the granting of the financing in question.</w:t>
      </w:r>
    </w:p>
    <w:p>
      <w:r>
        <w:t>32. The definition of the exclusion causes and their dissemination through different means (website and information sheet available in branches) pursue objectives of transparency and clarity regarding the criteria used in the evaluation process of financing applications, for the benefit of certainty and non-discrimination in the implementation of the emergency measure by the Bank.</w:t>
      </w:r>
    </w:p>
    <w:p>
      <w:r>
        <w:t>33. Furthermore, the pre-definition of the criteria for evaluating financing applications has been accompanied by the provision, under the commitment under l), to clearly indicate in rejection letters the reasons preventing the granting of financing, expressly indicating which requirement is not satisfied by the applicant, to ensure the correctness of the Bank's decision.</w:t>
      </w:r>
    </w:p>
    <w:p>
      <w:r>
        <w:t>34. Finally, thanks to the commitment under i), the Bank has provided suitable tools to also resolve the issues related to past decisions to reject financing, having undertaken the commitment to review those that were based on reasons other than the exclusion clauses indicated in the commitment under h). In this regard, it is highlighted that the Bank completed re-contacting, at the end of December 2020, the recipients of the aforementioned refusals, to ascertain their interest in the financing in question and possibly grant the financing.</w:t>
      </w:r>
    </w:p>
    <w:p>
      <w:r>
        <w:t>- Conclusions</w:t>
      </w:r>
    </w:p>
    <w:p>
      <w:r>
        <w:t>35. In summary, the publication of the maximum response time for requests regarding the three examined government measures and the examples related to the additional interest resulting from the suspensions of installments referred to in Articles 54 and 56, paragraph 2, letter c), of the Cura Italia Decree, can ensure adequate protection for consumers and micro-enterprises, resolving the informational deficiencies concerning the described practice A).</w:t>
      </w:r>
    </w:p>
    <w:p>
      <w:r>
        <w:t>36. In the same vein, the issues raised regarding practice B), related to guaranteed financing up to 30,000 euros, referred to in Article 13, paragraph 1, letter m) of the Liquidity Decree, can be considered overcome. In fact, the Bank has identified the criteria used for evaluating the loan disbursement application, publishing them on its website, in a perspective of transparency and with the effect of making potential interested parties aware, ex ante, of whether they meet the required criteria. This commitment to transparency has been supplemented by the highlighting, ex post, of the reasons for rejection and by the review of past refusals in light of the aforementioned criteria now defined.</w:t>
      </w:r>
    </w:p>
    <w:p>
      <w:r>
        <w:t>37. In light of the above considerations, it is believed that the commitments presented by the Professional meet the requirements set forth in Article 27, paragraph 7, of the Consumer Code.</w:t>
      </w:r>
    </w:p>
    <w:p>
      <w:r>
        <w:t>THEREFORE, it is deemed that the commitments presented by Unicredit S.p.A., in the terms outlined above, are suitable to eliminate the possible profiles of unfairness of the commercial practices subject to investigation;</w:t>
      </w:r>
    </w:p>
    <w:p>
      <w:r>
        <w:t>IT IS DEEMED to impose the obligation of the aforementioned commitments on Unicredit S.p.A.;</w:t>
      </w:r>
    </w:p>
    <w:p>
      <w:r>
        <w:t>IT IS DEEMED, therefore, to be able to close the proceeding without ascertaining the infringement;</w:t>
      </w:r>
    </w:p>
    <w:p>
      <w:r>
        <w:rPr>
          <w:b/>
        </w:rPr>
        <w:t>[Pages 37–39]</w:t>
      </w:r>
    </w:p>
    <w:p>
      <w:r>
        <w:t>BULLETIN NO. 14 OF APRIL 6, 2021 39</w:t>
      </w:r>
    </w:p>
    <w:p>
      <w:r>
        <w:t>RESOLUTION</w:t>
      </w:r>
    </w:p>
    <w:p>
      <w:r>
        <w:t>a) to make mandatory, towards the company Unicredit S.p.A., pursuant to Article 27, paragraph 7, of the Consumer Code and Article 9, paragraph 2, letter a), of the Regulation, the commitments proposed by the same Company definitively on January 26, 2021, as described in the form, in the consolidated version, attached to this provision;</w:t>
      </w:r>
    </w:p>
    <w:p>
      <w:r>
        <w:t>b) to close the proceeding without establishing the infringement, pursuant to Article 27, paragraph 7, of the Consumer Code and Article 9, paragraph 2, letter a), of the Regulation;</w:t>
      </w:r>
    </w:p>
    <w:p>
      <w:r>
        <w:t>c) that the company Unicredit S.p.A., within ninety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provision will be notified to the interested parties and published in the Bulletin of the Italian Competition Authority.</w:t>
      </w:r>
    </w:p>
    <w:p>
      <w:r>
        <w:t>THE SECRETARY GENERAL THE PRESIDENT</w:t>
      </w:r>
    </w:p>
    <w:p>
      <w:r>
        <w:t>Filippo Arena Roberto Rustichelli</w:t>
      </w:r>
    </w:p>
    <w:p>
      <w:r>
        <w:t>40 BULLETIN NO. 14 OF APRIL 6, 2021</w:t>
      </w:r>
    </w:p>
    <w:p>
      <w:r>
        <w:t>PS11787 - INTESA SANPAOLO - MEASURES OF THE CURA ITALIA DECREE AND LIQUIDITY DECREE</w:t>
      </w:r>
    </w:p>
    <w:p>
      <w:r>
        <w:t>Provision No. 28611</w:t>
      </w:r>
    </w:p>
    <w:p>
      <w:r>
        <w:t>THE ITALIAN COMPETITION AUTHORITY</w:t>
      </w:r>
    </w:p>
    <w:p>
      <w:r>
        <w:t>IN ITS MEETING of March 16, 2021;</w:t>
      </w:r>
    </w:p>
    <w:p>
      <w:r>
        <w:t>HEARD the Rapporteur Dr. Gabriella Muscolo;</w:t>
      </w:r>
    </w:p>
    <w:p>
      <w:r>
        <w:t>SEEN Part II, Title III, of Legislative Decree No. 206 of September 6, 2005, and subsequent amendments (hereinafter Consumer Code);</w:t>
      </w:r>
    </w:p>
    <w:p>
      <w:r>
        <w:t>SEEN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SEEN the communication of July 28, 2020, subsequently supplemented in the definitive consolidated version received on January 22, 2021, whereby Intesa Sanpaolo S.p.A. submitted commitments pursuant to Article 27, paragraph 7, of the Consumer Code and Article 9 of the Regulation;</w:t>
      </w:r>
    </w:p>
    <w:p>
      <w:r>
        <w:t>SEEN the extensions of the final deadline of the proceeding decided on October 13, 2020, December 22, 2020, and January 26, 2021;</w:t>
      </w:r>
    </w:p>
    <w:p>
      <w:r>
        <w:t>SEEN the acts of the proceeding;</w:t>
      </w:r>
    </w:p>
    <w:p>
      <w:r>
        <w:t>I. THE PARTIES</w:t>
      </w:r>
    </w:p>
    <w:p>
      <w:r>
        <w:t>1. Intesa Sanpaolo S.p.A., with registered office in Turin, a company active in the banking and credit sectors, particularly in the markets of deposits and loans.</w:t>
      </w:r>
    </w:p>
    <w:p>
      <w:r>
        <w:t>2. Altroconsumo, a consumer association.</w:t>
      </w:r>
    </w:p>
    <w:p>
      <w:r>
        <w:t>II. THE COMMERCIAL PRACTICES</w:t>
      </w:r>
    </w:p>
    <w:p>
      <w:r>
        <w:t>3. The proceeding concerns two commercial practices adopted by the Professional in the context of the implementation of certain government measures provided for by Decree-Law No. 18 of March 17, 2020 (Cura Italia Decree), converted with amendments into Law No. 27 of April 24, 2020, and by Decree-Law No. 23 of April 8, 2020 (Liquidity Decree), converted with amendments into Law No. 40 of June 5, 2020, to support consumers and micro, small, and medium-sized enterprises in facing the health emergency from Covid-19.</w:t>
      </w:r>
    </w:p>
    <w:p>
      <w:r>
        <w:t>4. The government measures consist of i. the suspension of mortgage payments for the primary residence as per Article 54 of the Cura Italia Decree, through access to the Gasparrini solidarity fund managed by Consap S.p.A., extended to self-employed workers, freelancers, and sole proprietors (measure expired on December 17, 2020) ii. the suspension of payments on mortgages and loans, as per Article 56, paragraph 2, letter c) of the Cura Italia Decree (currently expiring on June 30, 2021) and iii. the granting to micro-enterprises, by Banks, of loans at favorable rates, up to 30,000 euros, with 100% coverage by the State Guarantee Fund, as per Article 13, paragraph 1, letter m), of the Liquidity Decree (currently expiring on June 30, 2021).</w:t>
      </w:r>
    </w:p>
    <w:p>
      <w:r>
        <w:t>5. The two commercial practices, which are alleged to have been adopted by Intesa Sanpaolo (hereinafter also the Bank or ISP) towards micro-enterprises and consumers, would consist of:</w:t>
      </w:r>
    </w:p>
    <w:p>
      <w:r>
        <w:t>A) not providing any indication, either on its website or in the application forms, regarding the estimated or maximum response time to requests for installment suspension, as per Articles 54 and 56, paragraph 2, of the Cura Italia Decree, as well as the response to loan applications as per Article 13, paragraph 1, letter m) of the Liquidity Decree, in possible violation of Articles 20, paragraph 2, and 22 of the Consumer Code;</w:t>
      </w:r>
    </w:p>
    <w:p>
      <w:r>
        <w:t>B) having exercised undue conditioning in fact towards the micro-enterprises interested in the financing as per Article 13, paragraph 1, letter m) of the Liquidity Decree, at advantageous interest rates and with state guarantee, in possible violation of Articles 20, paragraph 2, 24, and 25 of the Consumer Code, hindering them, in a burdensome and disproportionate manner, in their ability to obtain the financing.</w:t>
      </w:r>
    </w:p>
    <w:p>
      <w:r>
        <w:t>III. THE OUTCOMES OF THE PROCEEDING</w:t>
      </w:r>
    </w:p>
    <w:p>
      <w:r>
        <w:t>1) The course of the proceeding</w:t>
      </w:r>
    </w:p>
    <w:p>
      <w:r>
        <w:t>6. Following reports from consumers received in April and May 2020 - according to which the Professional would have effectively hindered micro-enterprises from obtaining the financing referred to in the aforementioned Article 13, paragraph 1, letter m), by requiring, among other things, those without a current account with the Professional to open an account with the same - and based on the findings acquired ex officio, on June 11, 2020, the initiation of the investigative proceeding PS11787 was communicated to the company Intesa Sanpaolo S.p.A., for possible violation of Articles 20, paragraph 2, 22, 24, and 25 of the Consumer Code.</w:t>
      </w:r>
    </w:p>
    <w:p>
      <w:r>
        <w:t>7. With the communication of the initiation of the investigation, in order to acquire useful knowledge elements for the evaluation of the commercial practices in question, the Professional was requested, pursuant to Article 27, paragraphs 3 and 4, of the Consumer Code and Article 12, paragraph 1, of the Regulation, to provide information accompanied by documentation regarding the timing for the response to those requesting the aforementioned emergency measures and regarding the requirements and conditions required for the granting of the financing in question.</w:t>
      </w:r>
    </w:p>
    <w:p>
      <w:r>
        <w:t>8. On July 10, 2020, the Professional provided the information and documentation requested in the communication of the initiation of the proceeding, subsequently supplemented with</w:t>
      </w:r>
    </w:p>
    <w:p>
      <w:r>
        <w:rPr>
          <w:b/>
        </w:rPr>
        <w:t>[Pages 40–42]</w:t>
      </w:r>
    </w:p>
    <w:p>
      <w:r>
        <w:t>42 BULLETIN NO. 14 OF APRIL 6, 2021</w:t>
        <w:br/>
        <w:t>communications received on July 16, 2020, and on September 25, 2020, in response to the request for information dated September 22, 2020.</w:t>
      </w:r>
    </w:p>
    <w:p>
      <w:r>
        <w:t>9. On July 28, 2020, the Professional submitted commitments, pursuant to Article 27, paragraph 7, of the Consumer Code and Article 9 of the Regulation, aimed at removing the unfairness profiles of the contested commercial practices. These were supplemented on November 9, 2020, and December 9, 2020, following the communication of October 22, 2020, in which the Authority set a deadline for their integration. The consolidated final version was received on January 22, 2021.</w:t>
      </w:r>
    </w:p>
    <w:p>
      <w:r>
        <w:t>10. On July 14, 2020, the consumer association Altroconsumo was admitted to participate in the proceedings, having submitted a request to intervene in the proceedings on July 10, 2020.</w:t>
      </w:r>
    </w:p>
    <w:p>
      <w:r>
        <w:t>11. On January 14, 2021, the date of conclusion of the investigative phase was communicated to the Professional and to Altroconsumo, pursuant to Article 16, paragraph 1, of the Regulation.</w:t>
      </w:r>
    </w:p>
    <w:p>
      <w:r>
        <w:t>12. On January 28, 2021, and February 3, 2021, opinions were requested from the Bank of Italy (hereinafter also BdI), pursuant to Article 27, paragraph 1-bis, of the Consumer Code, as the conduct in question was carried out by an operator active in the banking and credit sectors, and from the Authority for Communications Guarantees (hereinafter also AGCOM), pursuant to Article 16, paragraphs 3 and 4, of the Regulation, as the conduct was also carried out via the internet.</w:t>
      </w:r>
    </w:p>
    <w:p>
      <w:r>
        <w:t>13. On February 24, 2021, the opinion of the Bank of Italy was received.</w:t>
      </w:r>
    </w:p>
    <w:p>
      <w:r>
        <w:t>14. On March 3, 2021, the opinion of AGCOM was received.</w:t>
      </w:r>
    </w:p>
    <w:p>
      <w:r>
        <w:t>2) The elements acquired</w:t>
      </w:r>
    </w:p>
    <w:p>
      <w:r>
        <w:t>15. With reference to the conduct analyzed within the commercial practice sub A), the elements provided by Intesa Sanpaolo highlighted the following:</w:t>
        <w:br/>
        <w:t>- as of June 11, 2020, the average processing time for requests for suspension of mortgage installments for the primary residence pursuant to the aforementioned Article 54 was [10-60]* days (of which [5-50] working days) from the date of receipt of the customer's request, of which [1-10] working days were attributable to the response from Consap to the Bank; this average time was conditioned by issues related to the portal during the initial implementation period of the measure. Subsequently, the average processing times were reduced to [1-6] working days; moreover, in June 2020, the processing time for this measure was published on the Bank's website, as regulated by Consap; as of June 11, 2020, the Bank had received [10,000-20,000] requests for the aforementioned suspension, of which [7,000-12,000] were accepted by Consap and [1,000-6,000] were rejected;</w:t>
        <w:br/>
        <w:t>- the average response time to the request for suspension of installments pursuant to the aforementioned Article 56, paragraph 2, letter c) was, as of June 11, 2020, [1-10] working days from the date of receipt of the customer's request; as of June 11, 2020, the Bank had received [100,000-150,000] requests, of which [90,000-140,000] were accepted and [500-1,500] were rejected;</w:t>
        <w:br/>
        <w:t>- the average time for the disbursement of financing requests was, as of June 11, 2020, [5-20] working days and was reduced, due to actions taken by the Bank, to [1-10] working days in the last two weeks of June 2020.</w:t>
      </w:r>
    </w:p>
    <w:p>
      <w:r>
        <w:t>16. With reference to the conduct analyzed within the commercial practice sub B), the elements provided by Intesa Sanpaolo highlighted the following:</w:t>
        <w:br/>
        <w:t>- the requirements that the Bank requested in July 2020 for the disbursement of financing pursuant to the aforementioned Article 13, paragraph 1, letter m), were indicated in the form "attached 4bis," provided for by Law No. 40/2020 converting the Liquidity Decree, and consisted of the exercise of economic activities consistent with those provided for by the decree (specified in the form), belonging to the category of small and medium enterprises or individuals exercising business, arts, and professions, having suffered damage from the Covid-19 emergency, the absence of positions classified as bad debts, compliance with the maximum financing amount of 30,000 euros and not exceeding 25% of the amount of revenues as resulting from the last filed financial statement or the last tax return submitted or from other suitable documentation (also through self-certification pursuant to law), being free of exposures classified as "unlikely to pay or past due or deteriorated" before January 31, 2020 (if such classification occurred prior to that date, the Bank applied letters g-ter) and g-quater) of Article 13, paragraph 1, of Law No. 40/2020 converting the Liquidity Decree);</w:t>
        <w:br/>
        <w:t>- the Bank also conducts checks for anti-money laundering and creditworthiness for the granting of financing; in this regard, for new customers, i.e., those without current account relationships with the Bank, the process for granting the financing in question involves the involvement of branches for the fulfillment of identification and adequate verification of the customer for anti-money laundering purposes, as well as evaluation of credit requirements;</w:t>
        <w:br/>
        <w:t>- however, from the beginning, the Bank has provided for the management and handling of requests made by non-customers, and according to what is provided in the internal document entitled "Transitional Operating Instructions – 'DECREE-LAW April 8, 2020, No. 23 - Urgent measures regarding access to credit and tax obligations for businesses - ART.13', in the case of 'new customer,' the application and its position are followed in the branch;</w:t>
        <w:br/>
        <w:t>- the Bank does not require the ownership of a current account for professionals and micro-enterprises pursuant to Article 18, letter d-bis, of the Consumer Code, while it does require it for businesses that do not fall into that category, as reported both in Information Sheet No. 194/33 "Medium to Long Term Financing for Businesses. Business Growth. Measures pursuant to Article 13 of the Decree-Law April 8, 2020 No. 23, so-called 'Liquidity Decree'" and in Article 2 of the contract model related to the financing prepared by the Bank. In confirmation of this, as of June 11, 2020, the Bank stated that it had granted [2,000-7,000] financings to new customers and for [1,000-5,000] of these, no current account was opened;</w:t>
        <w:br/>
        <w:t>- as of June 11, 2020, Intesa Sanpaolo received [120,000-170,000] financing requests, of which [100,000-150,000] were approved and [5,000-10,000] were rejected. The reasons for rejection were mainly attributable to the absence of the requirements requested by the aforementioned Article 13, paragraph 1, letter m), namely, in particular, for non-eligible economic activity or out of scope, for system bad debts, for lack of identifying data, and for absence or inconsistency of the requested documentation;</w:t>
        <w:br/>
        <w:t>- from the examination of complaints received by the Bank, it appears that in some cases the financing was rejected based on creditworthiness assessment criteria and in other cases it was rejected for lack of necessary requirements, without specifying what the lacking requirement was.</w:t>
      </w:r>
    </w:p>
    <w:p>
      <w:r>
        <w:t>3) The commitments of the Professional</w:t>
      </w:r>
    </w:p>
    <w:p>
      <w:r>
        <w:t>17. The commitments presented by ISP on July 28, 2020, pursuant to Article 27, paragraph 7, of the Consumer Code and Article 9 of the Regulation, subsequently supplemented, with a consolidated and definitive version submitted on January 22, 2021, provide for the adoption of the following measures, most of which have already been implemented by the Professional:</w:t>
        <w:br/>
        <w:t>a) with reference to the indication of the response time to requests for suspension of installments, pursuant to Article 54 and Article 56, paragraph 2, letter c) of the Cura Italia Decree, and to requests for financing guaranteed up to 30,000 euros pursuant to Article 13, paragraph 1, letter m) of the Liquidity Decree, the Bank has committed to indicate the estimated average time (calculated from the date of receipt of the complete documentation) for the response to requests for the three government measures, on its website and in the forms prepared for the submission of related requests by consumers and micro-enterprises. This commitment has been implemented since July 31, 2020, and is subject to monthly updates;</w:t>
        <w:br/>
        <w:t>b) with regard to guaranteed financing, pursuant to the aforementioned Article 13, paragraph 1, letter m), Intesa Sanpaolo has committed to send to branch personnel, particularly to the branch manager, a communication to signal the strengthening of training initiatives for the commercial network regarding compliance with the Consumer Code, in particular, through an informational section on the company intranet dedicated to regulations on unfair commercial practices, with particular reference to the non-obligation of opening current accounts for granting financing to consumers and micro-enterprises. The commitment was implemented on July 31, 2020;</w:t>
        <w:br/>
        <w:t>c) the Bank has committed to introduce on its website, in the section dedicated to financing pursuant to the Liquidity Decree, an indication, directed to the public, representing the possibility for professionals and micro-enterprises to request financing without the need to open a current account. This indication was published on the Bank's website on November 30, 2020;</w:t>
        <w:br/>
        <w:t>d) the Bank has committed to send to customers who opened a current account in connection with the granting of the financing in question, a communication indicating the optionality of the account concerning the granting of the financing and the possibility of closing it without closure fees. The Bank has committed to close the current account relationship within 3 working days (if no other relationships or services are linked to the account) or within 12 days.</w:t>
      </w:r>
    </w:p>
    <w:p>
      <w:r>
        <w:rPr>
          <w:b/>
        </w:rPr>
        <w:t>[Pages 43–45]</w:t>
      </w:r>
    </w:p>
    <w:p>
      <w:r>
        <w:t>BULLETIN NO. 14 OF APRIL 6, 2021 45</w:t>
        <w:br/>
        <w:t>working days (if there are other accounts or services linked to the account), starting from the receipt of the request. The reimbursement of the fees paid up to the date of account closure occurs 5 days after the account is closed, which can be requested by interested customers by April 18, 2021, via certified email, via email to the branch's electronic address, or by visiting the branch; the customer must provide an IBAN to receive the reimbursement of the paid fees. The aforementioned communication was sent to all involved parties on January 18, 2021;</w:t>
      </w:r>
    </w:p>
    <w:p>
      <w:r>
        <w:t>e) ISP has committed to modifying the section of its website dedicated to financing provided for by the Liquidity Decree, advertising in the same section the criteria identified for the granting of financing, operational since the entry into force of the Decree, which include eligibility requirements, creditworthiness, as well as anti-money laundering checks. The commitment has been implemented since November 30, 2020, and from December 9, 2020, concerning anti-money laundering checks. The verification of eligibility requirements particularly concerns the existence of the qualification of small and medium-sized enterprise or individual engaged in business activities, arts or professions, professional association or partnership among professionals, insurance agent, sub-agent, or broker registered in the respective section of the Single Register of Insurance and Reinsurance Intermediaries, the acquisition of a self-certified declaration stating that the business activity has been harmed by the COVID emergency, documentation from which the turnover or payroll for the year 2019 or the last available financial year can be derived, the absence of exposures on the part of the applicant that, before January 31, 2020, were classified as bad loans (pursuant to the general warnings, part B), paragraph 2, of Circular No. 272 of July 30, 2008, of the Bank of Italy and subsequent amendments), the absence, on the part of the applicant, of positions classified as unlikely to pay or past due or deteriorated (pursuant to paragraph 2, part B of the aforementioned Circular No. 272/2008 of the Bank of Italy) on a date prior to January 31, 2020, and that are classified as deteriorated pursuant to art. 47 bis, paragraph 4, of EU Regulation 575/2013, at the date of submission of the financing application;</w:t>
      </w:r>
    </w:p>
    <w:p>
      <w:r>
        <w:t>f) regarding the assessment of creditworthiness, the Bank conducts investigations by consulting public and private databases available to financial intermediaries, in order to ascertain the existence of any prejudicial situations concerning the applicants for financing, always referring to the period prior to January 31, 2020, such as protests, foreclosures, seizures, judicial mortgages, injunctions, state of liquidation or inactivity of the company/individual business, and pending bankruptcy proceedings;</w:t>
      </w:r>
    </w:p>
    <w:p>
      <w:r>
        <w:t>g) in the event of a refusal of financing, the Bank has committed to indicating in detail, in the communication of rejection of the financing request, consistently with the criteria available on the website, the specific reason for the refusal attributable to one of the previously indicated objective criteria. The commitment has been implemented at least since February 15, 2021;</w:t>
      </w:r>
    </w:p>
    <w:p>
      <w:r>
        <w:t>h) the Bank has committed, with reference to financing refusals already decided, to re-examine them, proceeding to identify the subjects to whom the financing in question was refused, to select those who do not have exposures classified as bad loans according to current banking regulations, and to contact them again through a communication informing them of the possibility to submit a new financing application. With the same communication, the Bank also informs the customer that, if they have obtained, following the rejection of the application, the granting of a different financing from the Bank, the latter may be converted into the financing referred to in art. 13, paragraph 1, letter m), provided that such customer meets the eligibility and creditworthiness requirements indicated on the Bank's website. This communication was sent to the interested parties by November 30, 2020, and the Bank will proceed to examine new applications according to the criteria indicated on the website for the evaluation of the granting of financing referred to in the aforementioned art. 13, paragraph 1, letter m), until the applicability deadline of this regulation, that is, as of today, June 30, 2021.</w:t>
      </w:r>
    </w:p>
    <w:p>
      <w:r>
        <w:t>IV. OPINION OF THE BANK OF ITALY</w:t>
        <w:br/>
        <w:t xml:space="preserve">18. Since the practices subject to this provision have been carried out by an operator active in the banking and credit sectors, on January 28, 2021, an opinion was requested from the Bank of Italy, pursuant to Article 27, paragraph 1-bis, of the Consumer Code. </w:t>
        <w:br/>
        <w:t>19. In an opinion received on February 24, 2021, the aforementioned Authority communicated that the commitments presented by ISP "do not present profiles of inconsistency with the regulations on transparency of contractual conditions and fairness of relations between intermediaries and clients," and therefore do not find any reasons for opposition to their acceptance.</w:t>
      </w:r>
    </w:p>
    <w:p>
      <w:r>
        <w:t>V. OPINION OF THE AUTHORITY FOR GUARANTEES IN COMMUNICATIONS</w:t>
        <w:br/>
        <w:t xml:space="preserve">20. Since the practice sub A) subject to this provision has also been carried out on the internet, on February 3, 2021, an opinion was requested from AGCOM, pursuant to Article 16, paragraphs 3 and 4, of the Regulation. </w:t>
        <w:br/>
        <w:t>21. In an opinion received on March 3, 2021, the aforementioned Authority deemed that in this case the internet is a suitable tool to significantly influence the realization of the commercial practice.</w:t>
      </w:r>
    </w:p>
    <w:p>
      <w:r>
        <w:t>VI. EVALUATIONS OF THE COMMITMENTS</w:t>
        <w:br/>
        <w:t xml:space="preserve">22. The Authority believes that the commitments proposed by the Professional are suitable to remedy the possible profiles of unfairness, pursuant to the Consumer Code, of the commercial practices contested in the initiation communication of the procedure of June 11, 2020. In particular, the Authority notes that the proposed measures, almost entirely already implemented, are characterized by features that give them concreteness and effectiveness for the protection of consumers and micro-enterprises. </w:t>
        <w:br/>
        <w:t>23. The described measures, in fact, are suitable to permanently and structurally eliminate potential behaviors aimed at harming consumers and micro-enterprises concerning the contested profiles, relating both to the practice sub A), regarding the failure to indicate the times, even estimated or maximum, for the response to requests for admission to the three government measures, and to the practice sub B), regarding the undue conditioning towards micro-enterprises interested in the guaranteed financing referred to in art. 13, paragraph 1, letter m) of the Liquidity Decree, subordinating it, for example, to the ownership of a current account with the same Professional.</w:t>
      </w:r>
    </w:p>
    <w:p>
      <w:r>
        <w:t>- Indication of response times for requests for the measures in question</w:t>
        <w:br/>
        <w:t xml:space="preserve">24. Regarding the indication of the average or maximum times taken by the Bank to respond to requests for suspension of mortgage installments for the first home referred to in art. 54 of the Cura Italia Decree and the installments of financing and mortgages referred to in art. 56, paragraph 2, letter c) of the Cura Italia Decree, as well as to financing applications pursuant to art. 13, paragraph 1, letter m) of the Liquidity Decree, it is highlighted that the commitment sub a) has been implemented since July 31, 2020, when the average response times for processing the aforementioned requests were published on the Bank's website. </w:t>
        <w:br/>
        <w:t xml:space="preserve">25. This commitment concerns a fundamental element, namely the Bank's response times to the request for the application of the measures in question, suitable to guide the decision of consumers and micro-enterprises. It must be considered that in an emergency context, such as that which led to the adoption of the government measures in question, the certainty of the response time, even if maximum, in addition to its promptness, assumes particular importance, as it can determine the choice whether or not to use the offered tool, especially regarding the suspension of installments. </w:t>
        <w:br/>
        <w:t>26. Furthermore, regarding requests for guaranteed financing, knowledge of the response time affects not only whether to use the tool but also directly in identifying the Bank to which to turn.</w:t>
      </w:r>
    </w:p>
    <w:p>
      <w:r>
        <w:t>- Granting of financing up to 30,000 euros</w:t>
        <w:br/>
        <w:t xml:space="preserve">27. With reference to the issues that have emerged regarding the limits and conditions for the granting of financing by the Bank, it is noted that the commitments from sub b) to sub h) address concerns regarding both refusals already decided and future requests that can be submitted, as of today, by the deadline of June 30, 2021, as well as with reference to beneficiaries of financing who have opened a current account relationship with the Bank. </w:t>
        <w:br/>
        <w:t xml:space="preserve">28. Regarding future requests, it should be noted first that with commitments sub e) and sub f) the Bank has predefined and published, in detail, on its website and in the application forms, in line with the applicable regulations, all the causes of exclusion from the financing in question. </w:t>
        <w:br/>
        <w:t xml:space="preserve">29. The pre-definition of the causes of exclusion and their disclosure through publication on the Bank's website and in the application forms pursue the purposes of transparency and clarity regarding the evaluation process of financing applications managed by the Bank, for the benefit of certainty and non-discrimination in the implementation of the emergency measure. </w:t>
        <w:br/>
        <w:t xml:space="preserve">30. To complete the aforementioned commitments and to guarantee the correctness of the Bank's evaluations, the commitment sub g), according to which the Bank indicates, at least from February 15, 2021, in the denial letters, the reason for the refusal of the financing, is commendable. </w:t>
        <w:br/>
        <w:t xml:space="preserve">31. Regarding past requests, thanks to the commitment sub h), the Bank has provided suitable tools to also resolve issues related to previously defined refusals of financing. In fact, a commitment has been made to re-examine, until the applicability deadline of the government measure (as of today, June 30, 2021), the denial decisions that were based on criteria different from those indicated in commitments sub e) and sub f). It should also be noted that the conversion into the guaranteed financing at advantageous rates, referred to in the aforementioned art. 13, paragraph 1, letter m), of any different loan granted following the rejection of the first request, is provided for, provided that the applicant meets the eligibility and creditworthiness requirements indicated on the Bank's website. </w:t>
        <w:br/>
        <w:t>32. Finally, the commitments sub b), c), and d) regarding the non-mandatory nature, for the beneficiaries of the financing in question, of opening a current account relationship with the Bank, also appear effective. It should be noted that the Bank has informed both</w:t>
      </w:r>
    </w:p>
    <w:p>
      <w:r>
        <w:rPr>
          <w:b/>
        </w:rPr>
        <w:t>[Pages 46–48]</w:t>
      </w:r>
    </w:p>
    <w:p>
      <w:r>
        <w:t>48 BULLETIN NO. 14 OF APRIL 6, 2021</w:t>
        <w:br/>
        <w:t>internally, on the company intranet in the section dedicated to regulations on unfair commercial practices, and externally, on the website.</w:t>
      </w:r>
    </w:p>
    <w:p>
      <w:r>
        <w:t>With regard to the current accounts already opened at the time of granting the financing in question, the Bank has implemented measures that ensure effective protection for the beneficiaries, ensuring a quick closure of the current accounts and the reimbursement of the fees paid, having sent a specific communication to all parties involved on January 18, 2021, and such closure can be requested until April 18, 2021.</w:t>
      </w:r>
    </w:p>
    <w:p>
      <w:r>
        <w:t>- Conclusions</w:t>
        <w:br/>
        <w:t>33. In summary, the publication of the average response times to requests for admission to the three examined government measures ensures adequate protection for consumers and micro-enterprises, addressing the informational deficiencies of practice A).</w:t>
      </w:r>
    </w:p>
    <w:p>
      <w:r>
        <w:t>34. In the same vein, the issues identified concerning practice B), related to guaranteed financing as per the aforementioned art. 13, paragraph 1, letter m), can be considered resolved. In fact, the Bank has identified the criteria used for the evaluation of the application for the disbursement of said financing, which is also granted without any obligation to open a current account with the Bank. These criteria have been published on the Bank's website, in a spirit of transparency, with the effect of making potential interested parties aware ex ante of whether they possess the same requirements or not. This commitment to transparency has been supplemented by the highlighting, ex post, of the reasons for rejection and by the review of past refusals in light of the aforementioned criteria now defined.</w:t>
      </w:r>
    </w:p>
    <w:p>
      <w:r>
        <w:t>35. In light of the above considerations, it is believed that the commitments presented by the Professional meet the requirements set forth in Article 27, paragraph 7, of the Consumer Code.</w:t>
      </w:r>
    </w:p>
    <w:p>
      <w:r>
        <w:t>THEREFORE, it is deemed that the commitments presented by Intesa Sanpaolo S.p.A., in the terms outlined above, are suitable to eliminate any potential issues of unfairness in the commercial practices under investigation;</w:t>
      </w:r>
    </w:p>
    <w:p>
      <w:r>
        <w:t>IT IS DEEMED necessary to make the aforementioned commitments mandatory for Intesa Sanpaolo S.p.A.;</w:t>
      </w:r>
    </w:p>
    <w:p>
      <w:r>
        <w:t>IT IS DEEMED, therefore, that the procedure can be closed without establishing an infringement;</w:t>
      </w:r>
    </w:p>
    <w:p>
      <w:r>
        <w:t>RESOLUTION</w:t>
        <w:br/>
        <w:t>a) to make mandatory, for the company Intesa Sanpaolo S.p.A., pursuant to Article 27, paragraph 7, of the Consumer Code and Article 9, paragraph 2, letter a), of the Regulation, the commitments proposed by the same Company definitively, on January 22, 2021, as described in the form, in the consolidated version, attached to this provision;</w:t>
      </w:r>
    </w:p>
    <w:p>
      <w:r>
        <w:t>b) to close the procedure without establishing an infringement, pursuant to Article 27, paragraph 7, of the Consumer Code and Article 9, paragraph 2, letter a), of the Regulation;</w:t>
      </w:r>
    </w:p>
    <w:p>
      <w:r>
        <w:t>c) that the company Intesa Sanpaolo S.p.A., within ninety days from the date of notification of this resolution, informs the Authority of the implementation of the commitments.</w:t>
      </w:r>
    </w:p>
    <w:p>
      <w:r>
        <w:t>BULLETIN NO. 14 OF APRIL 6, 2021 49</w:t>
        <w:br/>
        <w:t>Pursuant to Article 9, paragraph 3, of the Regulation, the procedure may be reopened ex officio, where:</w:t>
      </w:r>
    </w:p>
    <w:p>
      <w:r>
        <w:t>a) the Professional does not implement the commitments;</w:t>
      </w:r>
    </w:p>
    <w:p>
      <w:r>
        <w:t>b) the factual situation changes concerning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monetary penalty from 10,000 to 5,000,000 euros. In cases of repeated non-compliance, the Authority may order the suspension of business activity for a period not exceeding thirty days.</w:t>
      </w:r>
    </w:p>
    <w:p>
      <w:r>
        <w:t>This provision will be notified to the interested parties and published in the Bulletin of the Italian Competition Authority.</w:t>
      </w:r>
    </w:p>
    <w:p>
      <w:r>
        <w:t>THE SECRETARY GENERAL THE PRESIDENT</w:t>
        <w:br/>
        <w:t>Filippo Arena Roberto Rustichelli</w:t>
      </w:r>
    </w:p>
    <w:p>
      <w:r>
        <w:t>50 BULLETIN NO. 14 OF APRIL 6, 2021</w:t>
        <w:br/>
        <w:t>PS11794 - BANCA SELLA - MEASURES OF THE CURA ITALIA AND LIQUIDITY DECREES</w:t>
        <w:br/>
        <w:t>Provision No. 28612</w:t>
        <w:br/>
        <w:t>THE ITALIAN COMPETITION AUTHORITY</w:t>
        <w:br/>
        <w:t>IN ITS MEETING of March 16, 2021;</w:t>
      </w:r>
    </w:p>
    <w:p>
      <w:r>
        <w:t>HEARD the Rapporteur Dr. Gabriella Muscolo;</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communication of July 28, 2020, subsequently integrated into the definitive consolidated version received on January 21, 2021, whereby Banca Sella S.p.A. presented commitments pursuant to Article 27, paragraph 7, of the Consumer Code and Article 9 of the Regulation;</w:t>
      </w:r>
    </w:p>
    <w:p>
      <w:r>
        <w:t>HAVING REGARD TO the extensions of the final deadline of the procedure decided on October 13, 2020, December 22, 2020, and January 26, 2021;</w:t>
      </w:r>
    </w:p>
    <w:p>
      <w:r>
        <w:t>HAVING REGARD TO the acts of the procedure;</w:t>
      </w:r>
    </w:p>
    <w:p>
      <w:r>
        <w:t>I. THE PARTY</w:t>
        <w:br/>
        <w:t>1. Banca Sella S.p.A., with registered office in Biella, is a company active in the banking and credit sectors, particularly in the markets of collection and lending.</w:t>
      </w:r>
    </w:p>
    <w:p>
      <w:r>
        <w:t>II. THE COMMERCIAL PRACTICES</w:t>
        <w:br/>
        <w:t>2. The procedure concerns two commercial practices adopted by the Professional in the context of the implementation of certain government measures provided for by Decree Law No. 18 of March 17, 2020 (Cura Italia Decree), converted with amendments into Law No. 27 of April 24, 2020, and by Decree Law No. 23 of April 8, 2020 (Liquidity Decree), converted with amendments into Law No. 40 of June 5, 2020, to support consumers and micro, small, and medium enterprises in facing the health emergency from Covid-19.</w:t>
      </w:r>
    </w:p>
    <w:p>
      <w:r>
        <w:t>3. The government measures consist of i. the suspension of mortgage payments for the primary residence as per art. 54 of the Cura Italia Decree, through access to the Gasparrini solidarity fund managed by Consap S.p.A., extended to self-employed workers, freelancers, and sole proprietors (measure expired on December 17, 2020) ii. the suspension of payments on mortgages and loans, as per art. 56, paragraph 2, letter c) of the Cura Italia Decree (currently expiring on June 30, 2021) and iii. the granting to micro-enterprises, by the Banks, of loans at subsidized rates.</w:t>
      </w:r>
    </w:p>
    <w:p>
      <w:r>
        <w:rPr>
          <w:b/>
        </w:rPr>
        <w:t>[Pages 49–51]</w:t>
      </w:r>
    </w:p>
    <w:p>
      <w:r>
        <w:t>BULLETIN NO. 14 OF APRIL 6, 2021 51</w:t>
        <w:br/>
        <w:t>up to 30,000 euros, with 100% coverage by the State Guarantee Fund, as per art. 13, paragraph 1, letter m), of the Liquidity Decree (currently expiring on June 30, 2021).</w:t>
      </w:r>
    </w:p>
    <w:p>
      <w:r>
        <w:t>4. The two commercial practices, which are alleged to have been adopted by Banca Sella towards micro-enterprises and consumers, would consist of:</w:t>
      </w:r>
    </w:p>
    <w:p>
      <w:r>
        <w:t>a) not providing any indication, either on its website or in the application forms, regarding the estimated or maximum response time to requests for installment suspension, as per arts. 54 and 56, paragraph 2, of the Cura Italia Decree, as well as the response to loan applications as per art. 13, paragraph 1, letter m) of the Liquidity Decree, and not providing clear and complete information to micro-enterprises, recipients of the measure referred to in the aforementioned art. 56, paragraph 2, letter c), regarding the accrual of additional interest, compared to the original amortization plan, to be paid to the Bank due to the suspension of installments and the extension of the plan itself, in the event of suspension of both the principal and interest, in possible violation of arts. 20, paragraph 2, and 22 of the Consumer Code;</w:t>
      </w:r>
    </w:p>
    <w:p>
      <w:r>
        <w:t>b) having exercised undue conditioning in fact towards the micro-enterprises interested in the financing referred to in art. 13, paragraph 1, letter m) of the Liquidity Decree, at advantageous interest rates and with state guarantee, in possible violation of arts. 20, paragraph 2, 24, and 25 of the Consumer Code, hindering them, in a burdensome and disproportionate manner, in the possibility of obtaining the financing.</w:t>
      </w:r>
    </w:p>
    <w:p>
      <w:r>
        <w:t>III. THE OUTCOMES OF THE PROCEEDING</w:t>
        <w:br/>
        <w:t>1) The procedure process</w:t>
        <w:br/>
        <w:t>5. Following reports from consumers received in April and May 2020 - according to which the Professional did not clarify that the suspension of mortgage and loan installments pursuant to art. 56, paragraph 2, letter c) of the Cura Italia Decree results in an increase in overall interest compared to the original amortization plan, and would have effectively hindered micro-enterprises from obtaining the financing referred to in the aforementioned art. 13, paragraph 1, letter m) - and based on the findings acquired ex officio, on June 11, 2020, the initiation of the investigative procedure PS11794 was communicated to Banca Sella S.p.A., for possible violation of arts. 20, paragraph 2, 22, 24, and 25 of the Consumer Code.</w:t>
      </w:r>
    </w:p>
    <w:p>
      <w:r>
        <w:t>6. With the communication of the initiation of the investigation, in order to acquire useful knowledge elements for the evaluation of the commercial practices in question, the Professional was requested, pursuant to article 27, paragraphs 3 and 4, of the Consumer Code and article 12, paragraph 1, of the Regulation, to provide information accompanied by documentation regarding the timing for the response to the request for the aforementioned emergency measures, regarding the calculation of interest in the case of suspension pursuant to art. 56, paragraph 2, Cura Italia Decree, regarding the requirements and conditions required for the granting of the financing in question.</w:t>
      </w:r>
    </w:p>
    <w:p>
      <w:r>
        <w:t>7. On July 1, 2020, the Professional provided the requested information and documentation in the communication of the initiation of the procedure, subsequently supplemented with communication received on September 25, 2020, following the further request for information of September 22, 2020.</w:t>
      </w:r>
    </w:p>
    <w:p>
      <w:r>
        <w:t>8. On July 28, 2020, the Professional presented commitments, pursuant to article 27, paragraph 7, of the Consumer Code and article 9 of the Regulation, aimed at removing the profiles of unfairness of the contested commercial practices. These were supplemented on October 30, 2020, and December 4, 9, and 17, 2020, in response to the communication of October 22, 2020, in which the Authority set a deadline for their integration. The consolidated final version was received on January 21, 2021.</w:t>
      </w:r>
    </w:p>
    <w:p>
      <w:r>
        <w:t>9. The Professional submitted defensive memoranda on July 1, 2020, and January 21, 2021.</w:t>
      </w:r>
    </w:p>
    <w:p>
      <w:r>
        <w:t>10. On January 14, 2021, the date of conclusion of the investigative phase was communicated to the Professional, pursuant to article 16, paragraph 1, of the Regulation.</w:t>
      </w:r>
    </w:p>
    <w:p>
      <w:r>
        <w:t>11. On January 28, 2021, and February 3, 2021, opinions were requested from the Bank of Italy (hereinafter also BdI), pursuant to article 27, paragraph 1-bis, of the Consumer Code, as the conduct in question was carried out by an operator active in the banking and credit sectors, and from the Authority for Communications Guarantees (hereinafter also AGCOM), pursuant to article 16, paragraphs 3 and 4, of the Regulation, as the conduct was also carried out via the internet.</w:t>
      </w:r>
    </w:p>
    <w:p>
      <w:r>
        <w:t>12. On February 24, 2021, the opinion of BdI was received.</w:t>
      </w:r>
    </w:p>
    <w:p>
      <w:r>
        <w:t>13. On March 4, 2021, the opinion of AGCOM was received.</w:t>
      </w:r>
    </w:p>
    <w:p>
      <w:r>
        <w:t>2) The acquired elements</w:t>
        <w:br/>
        <w:t>14. With reference to the conduct analyzed within the commercial practice sub A), the elements acquired from Banca Sella highlighted the following:</w:t>
      </w:r>
    </w:p>
    <w:p>
      <w:r>
        <w:t>- regarding the timing for the suspension of installments, the average response time to the request for suspension of mortgage installments for the first home through access to the Gasparrini Solidarity Fund (art. 54, Cura Italia Decree), including the time used by Consap in managing the practice, in the first phase of implementation of the measure, that is, until May 18, 2020, was [20-70]* days. From May 19, 2020, this waiting time was significantly reduced to [10-20] days and from June 8, 2020, it was further reduced to [1-10] days. The Bank specifies that the shorter response times are explained by the faster intervention of Consap involved in the suspension procedure in question;</w:t>
      </w:r>
    </w:p>
    <w:p>
      <w:r>
        <w:t>- the average response time to the request for suspension of installments pursuant to art. 56, paragraph 2, letter c), Cura Italia Decree was, in June 2020, about [10-20] days;</w:t>
      </w:r>
    </w:p>
    <w:p>
      <w:r>
        <w:t>- regarding the calculation of interest accrued due to the aforementioned suspension, the Bank, in June 2020, published on its website: "Both in the case of extension of deadlines and in the case of suspension of installment payments, the interest accrued during the suspension period is additional to that originally determined in the respective contracts," adding an example of the calculation of additional interest resulting from the suspension and the related extension of the amortization plan;</w:t>
      </w:r>
    </w:p>
    <w:p>
      <w:r>
        <w:t>- regarding the granting of financing up to 30,000 euros, the responses to the related requests were communicated to the applicants by the Bank, on average, in [15-25] working days from the receipt of the application;</w:t>
      </w:r>
    </w:p>
    <w:p>
      <w:r>
        <w:t>- from June 12, 2020, the Bank indicated on its website the maximum times, equal to about 15 days, for both types of suspensions examined, stating: "The Bank immediately takes charge of the request and commits to process it within 15 calendar days provided that the documentation submitted is complete"; while, for the response to the loan application, it is indicated: "The Bank immediately takes charge of the request and commits to process it within 20 calendar days provided that the documentation submitted is complete."</w:t>
      </w:r>
    </w:p>
    <w:p>
      <w:r>
        <w:t>15. With reference to the conduct analyzed within the commercial practice sub B), the elements acquired from Banca Sella highlighted the following:</w:t>
      </w:r>
    </w:p>
    <w:p>
      <w:r>
        <w:t>- in the internal document entitled "Technical Standard for Unsecured Loans," the following exclusion hypotheses from financing were indicated: "widespread direct and indirect defaults on the applicant (including economically connected related entities) or on unlimitedly liable administrators/shareholders for partnerships (ascertainable from the Central Risks)," "subjects who have restarted active, non-entrusted current account relationships with the Bank as they have caused losses in the past," "protests and prejudicial matters," "deteriorated activities as of 01/31/2020 even if in good standing, with overdue amounts exceeding 90 days (also in the system) as of February 29, 2020, with an A scoring (worst scoring class) for CRIF";</w:t>
      </w:r>
    </w:p>
    <w:p>
      <w:r>
        <w:t>- in this regard, Banca Sella notes that it is up to it, based on the literal interpretation of the aforementioned art. 13, paragraph 1, letter m), to evaluate whether to grant the financing or not, as is evident from the same provision that uses the expressions "granted financing" and "granting of credit," explicitly exempting the State Guarantee Fund from further preliminary evaluations for the granting of the guarantee;</w:t>
      </w:r>
    </w:p>
    <w:p>
      <w:r>
        <w:t>- Banca Sella emphasizes that it is also responsible for evaluating compliance with the requirements arising from anti-money laundering and crime prevention regulations, as well as credit risk, principles referred to by the Bank of Italy in the Recommendation of April 10, 2020;</w:t>
      </w:r>
    </w:p>
    <w:p>
      <w:r>
        <w:t>* In this version, some data are omitted, as elements of confidentiality or secrecy of the information were deemed to exist.</w:t>
      </w:r>
    </w:p>
    <w:p>
      <w:r>
        <w:rPr>
          <w:b/>
        </w:rPr>
        <w:t>[Pages 52–54]</w:t>
      </w:r>
    </w:p>
    <w:p>
      <w:r>
        <w:t>54 BULLETIN NO. 14 OF APRIL 6, 2021</w:t>
        <w:br/>
        <w:t>- as of June 11, 2020, Banca Sella had approved [7,000-12,000] requests out of a total of [10-15,000] applications received and had disbursed financing in [5,000-10,000] cases, while less than [2-7%] were those rejected [(200-700 / 10,000-15,000)];</w:t>
        <w:br/>
        <w:t>- the main reasons for rejections were: "negative events resulting from databases," "prejudicial acts" (protests and prejudicial acts, including foreclosures), "financial statements not filed or with zero revenues" (the submission of financial statements or tax forms would be necessary to verify the maximum amount of the financing that can be granted), "company in previous difficulty" and applicant "not a customer" ([20/70] rejections out of [200/700]), regarding which reason the Bank states that it is a necessary exclusion condition to eliminate the risk of money laundering problems, thus speeding up the management of requests;</w:t>
        <w:br/>
        <w:t>- regarding the rejection letters, in which non-customers were invited to contact the Bank to receive an offer for a different financing, Banca Sella clarifies that such an invitation was made only "as a courtesy" and was promptly removed following the initiation of the procedure;</w:t>
        <w:br/>
        <w:t>- there were [70-120] financing requests accepted with "simultaneous opening of a current account"; these would be current account relationships "opened at the customer's request and not contingent upon the approval of the financing." According to the Bank, the opening of a current account would not constitute a sufficient or necessary condition for the acceptance of the request, and the mere ownership of a current account "does not guarantee the acceptance of the financing request in question, due to the peculiarities of its disbursement, if sufficient information about the activity carried out by the applicant is not available";</w:t>
        <w:br/>
        <w:t>- as of June 11, 2020, complaints totaled [70-120], some of which refer to the suspensions under the aforementioned art. 56, paragraph 2, letter c), and mostly complain about delays in processing the suspension requests, while few report the lack of economic advantage of the suspension as it entails an increase in interest. The majority of complaints concern the new financing under consideration, alleging unjustified refusals or delays in the disbursement of financing.</w:t>
        <w:br/>
        <w:t>3) The commitments of the Professional</w:t>
        <w:br/>
        <w:t>16. The commitments presented by Banca Sella on July 28, 2020, pursuant to Article 27, paragraph 7, of the Consumer Code and Article 9 of the Regulation, subsequently integrated, with a consolidated and definitive version presented on January 22, 2021, provide for the adoption of the following measures, most of which have already been implemented by the Professional:</w:t>
        <w:br/>
        <w:t>a) with reference to the indication of the response time to requests for installment suspension, pursuant to art. 54 and art. 56, paragraph 2, letter c), Cura Italia Decree, as well as the disbursement of new financing up to 30,000 euros pursuant to art. 13, paragraph 1, letter m), Liquidity Decree, the Bank has committed to providing information on the maximum response time, and has already provided, in June 2020, information on its website regarding the maximum times to activate the suspensions provided for by the aforementioned two regulations, set at 15 days, and to disburse financing guaranteed by the State Guarantee Fund, established at 20 days;</w:t>
        <w:br/>
        <w:t>b) regarding the indications or information relating to the higher overall interest applied in the case of suspension under the aforementioned art. 56, paragraph 2, letter c), both of the principal amount only and of the entire installment (including the interest portion and the principal portion), Banca Sella, in June 2020, updated its website, providing specific information that resorting to the suspension entails an overall increase in interest for the period of the suspension and illustrating, with a numerical example, the economic effect, in terms of increased interest, of the suspension;</w:t>
        <w:br/>
        <w:t>c) Banca Sella, furthermore, to ensure that all parties who had adhered to the aforementioned suspension made a fully informed choice, taking into account the higher interest to be paid, sent to each affected customer, prior to September 30, 2020 (initial deadline for the measure), a communication with the new amortization plan attached and the updated interest calculation, allowing customers who deemed the suspension excessively burdensome to request the cancellation of the suspension and the restoration of payments as per the original amortization plan without any additional burden;</w:t>
        <w:br/>
        <w:t>d) following the various extensions of the deadline for the aforementioned suspension of installments, first to January 31, 2021 (and for companies in the tourism sector to March 31, 2021) and, to date, to June 30, 2021, the Bank communicated, in relation to each extension, via email, SMS, or branches, to customers holding a mortgage or financing subject to the aforementioned suspension, the automaticity of the extension, however reserving the possibility of an express waiver to be sent to the Bank, preferably through the internet banking channel;</w:t>
        <w:br/>
        <w:t>e) regarding financing up to 30,000 euros, pursuant to the aforementioned art. 13, paragraph 1, letter m), from October 29, 2020, Banca Sella has included among the beneficiaries of the measure also non-customers and has modified its internal regulations, providing that the only exclusion criteria are the following causes:</w:t>
        <w:br/>
        <w:t>Presence of bad debts reported by the Central Risks of the Bank of Italy on the applicant or, for partnerships, on unlimitedly liable administrators/shareholders</w:t>
        <w:br/>
        <w:t>Presence of protests, judicial mortgages, and/or ongoing enforcement proceedings against the applicant or, for partnerships, against unlimitedly liable administrators/shareholders</w:t>
        <w:br/>
        <w:t>Classification among deteriorated assets or presence of overdue amounts exceeding 90 days prior to January 31, 2020</w:t>
        <w:br/>
        <w:t>State of difficulty of the applicant as of December 31, 2019, pursuant to art. 2, paragraph 18, of Reg. EC 651/2014</w:t>
        <w:br/>
        <w:t>Company in a state of dissolution or liquidation or subject to insolvency proceedings or extrajudicial debt restructuring agreements</w:t>
        <w:br/>
        <w:t>Positive outcome of the checks required by current anti-money laundering and financial crime prevention regulations, as indicated in the Recommendation of the Bank of Italy of April 10, 2020;</w:t>
        <w:br/>
        <w:t>f) Banca Sella sent to the Commercial Network, on November 2, 2020, an operational communication on the application of these criteria;</w:t>
        <w:br/>
        <w:t>g) Banca Sella published, on December 2, 2020, on the homepage of its website, a link (https://www.sella.it/bancaonline/iniziative/covid-19/aziende-decreto-liquidita-25000.jsp) to the page dedicated to financing up to 30,000 euros where the exclusion causes are also reported;</w:t>
        <w:br/>
        <w:t>h) from December 2, 2020, the Bank indicates, in the rejection letters for financing, the reason for the refusal;</w:t>
        <w:br/>
        <w:t>i) Banca Sella, from December 9 to 21, 2020, contacted, via certified email, applicants (customers and non-customers) whose financing had been refused, to request a possible confirmation of interest in the financing, after verifying that they had not received the financing following a complaint or request for clarification or that it had not been granted by another Bank (otherwise they would have used the available ceiling for them at the State Guarantee Fund), as well as the validity of the original reasons for the refusal in light of the new exclusion causes;</w:t>
        <w:br/>
        <w:t>l) to the applicants thus identified who, as of January 21, 2021, had not responded to the aforementioned follow-up, the Bank sent a second communication, via certified email or commercial network, monitored by the central services (activity concluded on January 31, 2021).</w:t>
        <w:br/>
        <w:t>IV. OPINION OF THE BANK OF ITALY</w:t>
        <w:br/>
        <w:t>17. Since the practices subject to this provision were carried out by an operator active in the banking and credit sectors, on January 28, 2021, the opinion was requested from the Bank of Italy, pursuant to Article 27, paragraph 1-bis, of the Consumer Code.</w:t>
        <w:br/>
        <w:t>18. In an opinion received on February 24, 2021, the aforementioned Authority communicated that the commitments presented by Banca Sella "do not present inconsistencies with the regulations on the transparency of contractual conditions and the fairness of relations between intermediaries and customers," and therefore did not find any reasons preventing their acceptance.</w:t>
        <w:br/>
        <w:t>V. OPINION OF THE AUTHORITY FOR COMMUNICATIONS GUARANTEES</w:t>
        <w:br/>
        <w:t>19. Since the practices subject to this provision were posted on the internet, on February 3, 2021, the opinion was requested from AGCOM, pursuant to Article 16, paragraphs 3 and 4, of the Regulation.</w:t>
        <w:br/>
        <w:t>20. In an opinion received on March 4, 2021, the aforementioned Authority considered that in this case the internet is a suitable tool to significantly influence the realization of the commercial practice.</w:t>
        <w:br/>
        <w:t>VI. EVALUATIONS OF THE COMMITMENTS</w:t>
        <w:br/>
        <w:t>21. The Authority believes that the commitments proposed by the Professional are suitable to remedy the possible profiles of unfairness, pursuant to the provisions of the Consumer Code, of the two commercial practices contested in the initiation communication of June 11, 2020. In particular, the Authority notes that the measures proposed, and almost entirely already implemented, are characterized by features that give them concreteness and effectiveness for the protection of consumers and micro-enterprises.</w:t>
        <w:br/>
        <w:t>22. The described measures, in fact, appear suitable to permanently and structurally eliminate potential behaviors aimed at harming consumers and micro-enterprises regarding the contested profiles, concerning both practice sub A), relating to the failure to indicate the times, including estimated or maximum, for the processing of requests for the measures in question and the failure to indicate the accrual of higher interest resulting from the suspension of the installments of which</w:t>
      </w:r>
    </w:p>
    <w:p>
      <w:r>
        <w:rPr>
          <w:b/>
        </w:rPr>
        <w:t>[Pages 55–57]</w:t>
      </w:r>
    </w:p>
    <w:p>
      <w:r>
        <w:t>BULLETIN NO. 14 OF APRIL 6, 2021 57</w:t>
        <w:br/>
        <w:t>Article 56, paragraph 2, letter c) (in the case of suspension of both the entire installment and only the principal portion), as well as practice B), concerning undue conditioning, towards micro-enterprises, which hinders them, in a burdensome and disproportionate manner, in obtaining the financing guaranteed by the State, by requiring, for example, the qualification of a customer of the Bank or the opening of a current account.</w:t>
      </w:r>
    </w:p>
    <w:p>
      <w:r>
        <w:t>- Indication of response times for requests for the measures in question</w:t>
        <w:br/>
        <w:t>23. Regarding the commitment under a) of the Bank, concerning the indication of the maximum times taken by the Bank to respond to requests for suspension of mortgage installments for the first home (cited Article 54) and installments of loans and mortgages (cited Article 56, paragraph 2, letter c), as well as to applications for loans covered by state guarantee (cited Article 13, paragraph 1, letter m), it is noted that this was implemented as early as June 2020, after the first phase of application of the three measures in question and as soon as the operational practices followed by the Bank had consolidated.</w:t>
      </w:r>
    </w:p>
    <w:p>
      <w:r>
        <w:t>24. This commitment concerns a fundamental element, namely the response times of the Bank to the request for application of the measures in question, suitable for guiding the decision of consumers and micro-enterprises. It must be considered that in an emergency context, such as that which led to the adoption of the measures in question, the certainty of the response time, even if maximum, as well as its promptness, assumes particular importance, as it can determine the choice whether or not to use the offered tool.</w:t>
      </w:r>
    </w:p>
    <w:p>
      <w:r>
        <w:t>25. Furthermore, specifically for requests for guaranteed financing, knowledge of the maximum response time can directly influence the choice of the bank from which to request the loan, as the micro-enterprise may identify the credit institution also based on the speed of credit disbursement.</w:t>
      </w:r>
    </w:p>
    <w:p>
      <w:r>
        <w:t>- Information regarding the accrual of higher interest in the event of suspension of loan and mortgage installments</w:t>
        <w:br/>
        <w:t>26. In the same vein, with reference to the suspensions of loan and mortgage installments referred to in the cited Article 56, paragraph 1, letter c), it is noted that, as early as June 2020, the Bank implemented the commitment under b), by indicating on the Bank's website, clearly and prominently in bold, that "In the case of both an extension of deadlines and a suspension of installment payments, the interest accrued during the suspension period is additional to that originally determined in the respective contracts." For greater clarity, the website also provides a numerical example of the increase in interest due to the effect of the suspension of installments.</w:t>
      </w:r>
    </w:p>
    <w:p>
      <w:r>
        <w:t>27. The aforementioned commitment was accompanied by the commitment under c), which allowed customers who had suspended installment payments before September 30, 2020 (i.e., prior to the first deadline of the aforementioned measure) to cancel such suspension, obtaining a refund of the higher interest. To this end, the Bank had sent, before the aforementioned date, a specific communication, with attached the new amortization plan and the updated calculation of the higher interest, informing customers about the possibility of revoking the suspension and obtaining a refund of the higher interest paid.</w:t>
      </w:r>
    </w:p>
    <w:p>
      <w:r>
        <w:t>28. This measure proves to be effective, as it allows for the removal of the economic effects of the suspension of installments for consumers who, in the first months of application of the measure, had not been informed about the accrual of the interest in question.</w:t>
      </w:r>
    </w:p>
    <w:p>
      <w:r>
        <w:t>58 BULLETIN NO. 14 OF APRIL 6, 2021</w:t>
        <w:br/>
        <w:t>29. In the same vein, the commitment under d), aimed at addressing the various extensions of the aforementioned measure, first to January 31, 2021, and currently to June 30, 2021, is effective, as the Bank has allowed customers to waive the extension of the suspension in light of its automatic nature, as provided by the regulations.</w:t>
      </w:r>
    </w:p>
    <w:p>
      <w:r>
        <w:t>- Granting of loans up to 30,000 euros</w:t>
        <w:br/>
        <w:t>30. With reference to the issues that have emerged regarding the limits and conditions for the granting of loans by the Bank, it is noted that the commitments from sub e) to sub l) resolve the concerns raised both regarding the rejections already decided by the Bank and regarding the requests that may be submitted until June 30, 2021 (current deadline of the measure).</w:t>
      </w:r>
    </w:p>
    <w:p>
      <w:r>
        <w:t>31. Regarding future requests, it should be noted that with commitments sub e), f), g), and h), the Bank has predefined, in line with applicable regulations, the causes for exclusion from financing (see commitment sub e), including among the beneficiaries also those who are not customers of the Bank. Causes that, as illustrated, were codified in October 2020 in the Bank's internal regulations, were immediately communicated to the commercial network, and were published on the Bank's website on December 2, 2020.</w:t>
      </w:r>
    </w:p>
    <w:p>
      <w:r>
        <w:t>32. The definition of the causes for exclusion and their dissemination both internally and externally to the Bank, through publication on the website, pursue the purposes of transparency and clarity of the criteria adopted by the Bank in the evaluation process of loan applications, for the benefit of certainty and non-discrimination in the implementation of the emergency measure.</w:t>
      </w:r>
    </w:p>
    <w:p>
      <w:r>
        <w:t>33. In this regard, it should be noted that the pre-definition of the evaluation criteria for loan applications was accompanied by the provision of the obligation to provide reasons for any denial, to ensure the correctness of the Bank's decision.</w:t>
      </w:r>
    </w:p>
    <w:p>
      <w:r>
        <w:t>34. Finally, thanks to commitments sub i) and sub l), the Bank has resolved the issues concerning the financing refusals already decided, having undertaken the commitment to review the denial decisions that were based on reasons not corresponding to the exclusion clauses defined by the Bank and referred to in commitment sub e). In this regard, the Bank has indeed provided for a recall system for applicants to ascertain their interest in the financing in question, in view of the disbursement of the financing.</w:t>
      </w:r>
    </w:p>
    <w:p>
      <w:r>
        <w:t>- Conclusions</w:t>
        <w:br/>
        <w:t>35. In summary, the publication of the maximum response times for requests concerning the three emergency measures examined, along with the warning of the accrual of higher interest resulting from the suspension, pursuant to the cited Article 56, paragraph 2, letter c), accompanied by a numerical example, guarantees adequate protection for consumers and micro-enterprises, resolving the informational deficiencies of practice sub a).</w:t>
      </w:r>
    </w:p>
    <w:p>
      <w:r>
        <w:t>36. In the same vein, the issues related to practice sub b), concerning guaranteed financing, referred to in the cited Article 13, paragraph 1, letter m), can be considered overcome. In fact, the Bank has identified the criteria used for the evaluation of the loan disbursement application, granted also to non-customers. These criteria have been published on the Bank's website, in a perspective of transparency, with the effect of making potential interested parties aware, ex ante, of whether or not they meet the required criteria.</w:t>
      </w:r>
    </w:p>
    <w:p>
      <w:r>
        <w:t>BULLETIN NO. 14 OF APRIL 6, 2021 59</w:t>
        <w:br/>
        <w:t>This commitment to transparency has been supplemented by the highlighting, ex post, of the reasons for rejection and by the review of past refusals in light of the aforementioned criteria now defined.</w:t>
      </w:r>
    </w:p>
    <w:p>
      <w:r>
        <w:t>37. In light of the above considerations, it is believed that the commitments presented by the Professional meet the requirements set forth in Article 27, paragraph 7, of the Consumer Code.</w:t>
      </w:r>
    </w:p>
    <w:p>
      <w:r>
        <w:t>THEREFORE, it is deemed that the commitments presented by Banca Sella S.p.A., in the terms outlined above, are suitable to eliminate the possible profiles of unfairness of the commercial practices under investigation;</w:t>
      </w:r>
    </w:p>
    <w:p>
      <w:r>
        <w:t>IT IS DEEMED to impose the obligation of the aforementioned commitments on Banca Sella S.p.A.;</w:t>
      </w:r>
    </w:p>
    <w:p>
      <w:r>
        <w:t>IT IS DEEMED, therefore, to be able to close the proceeding without establishing the infringement;</w:t>
      </w:r>
    </w:p>
    <w:p>
      <w:r>
        <w:t>RESOLUTION</w:t>
        <w:br/>
        <w:t>a) to make mandatory, towards the company Banca Sella S.p.A., pursuant to Article 27, paragraph 7, of the Consumer Code and Article 9, paragraph 2, letter a), of the Regulation, the commitments proposed by the same Company definitively on January 21, 2021, as described in the form, in the consolidated version, attached to this provision;</w:t>
      </w:r>
    </w:p>
    <w:p>
      <w:r>
        <w:t>b) to close the proceeding without establishing the infringement, pursuant to Article 27, paragraph 7, of the Consumer Code and Article 9, paragraph 2, letter a), of the Regulation;</w:t>
      </w:r>
    </w:p>
    <w:p>
      <w:r>
        <w:t>c) that the company Banca Sella S.p.A., within ninety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rPr>
          <w:b/>
        </w:rPr>
        <w:t>[Pages 58–60]</w:t>
      </w:r>
    </w:p>
    <w:p>
      <w:r>
        <w:t>60 BULLETIN NO. 14 OF APRIL 6, 2021</w:t>
        <w:br/>
        <w:t>This provision will be notified to the interested parties and published in the Bulletin of the Italian Competition Authority.</w:t>
        <w:br/>
        <w:t>THE SECRETARY GENERAL THE PRESIDENT</w:t>
        <w:br/>
        <w:t>Filippo Arena Roberto Rustichelli</w:t>
      </w:r>
    </w:p>
    <w:p>
      <w:r>
        <w:t>BULLETIN NO. 14 OF APRIL 6, 2021 61</w:t>
        <w:br/>
        <w:t>PS11543 - SHARAZON-BUY AND SHARE</w:t>
        <w:br/>
        <w:t>Notice of adoption of the closure of the proceeding</w:t>
        <w:br/>
        <w:t>ITALIAN COMPETITION AUTHORITY</w:t>
        <w:br/>
        <w:t>Notice of adoption of the closure of the proceeding, pursuant to Article 19, paragraph 2, of the Regulation on investigative procedures regarding misleading and comparative advertising, unfair commercial practices, violation of consumer rights in contracts, violations of the prohibition of discrimination and unfair clauses (hereinafter, Regulation) adopted by the Authority with resolution of April 1, 2015, in relation to proceeding PS11543 - SHARAZON-BUY AND SHARE</w:t>
        <w:br/>
        <w:t>The publication of this notice in the weekly Bulletin of the Italian Competition Authority, which refers to the closure of proceeding PS11543, No. 28315, of July 28, 2020, published in the aforementioned Bulletin No. 32/2020, with which the unfairness of the commercial practice carried out by the individual enterprise SHARAZON DI VENERONE CARMELA and the individual enterprise SHARE DISTRIBUTION DI MESSINA ANTONIO was determined, is made pursuant to and for the effects of Article 19, paragraph 2 of the Regulation.</w:t>
        <w:br/>
        <w:t>Such publication has become necessary due to the lack of receipt of responses to attempts to transmit to the individual enterprise SHARAZON DI VENERONE CARMELA the conclusion of the proceeding of July 28, 2020, carried out on August 10, 2020, via two separate Certified Email (to the address sharazon@pec.it) and on August 11, 2020, via registered mail A.R. returned for complete retention, prot. 63144.</w:t>
        <w:br/>
        <w:t>For any communication addressed to the Authority regarding the case in question, please refer to Directorate A of the Directorate General for Consumer Protection and the reference PS11543.</w:t>
        <w:br/>
        <w:t>In the "payment of fines" section of the Authority's website (www.agcm.it), information regarding the payment methods of fines is provided.</w:t>
      </w:r>
    </w:p>
    <w:p>
      <w:r>
        <w:t>62 BULLETIN NO. 14 OF APRIL 6, 2021</w:t>
        <w:br/>
        <w:t>UNFAIR CLAUSES</w:t>
        <w:br/>
        <w:t>CV183 - LLOYD'S-OBLIGATION FOR EXPERTISE</w:t>
        <w:br/>
        <w:t>Provision No. 28608</w:t>
        <w:br/>
        <w:t>THE ITALIAN COMPETITION AUTHORITY</w:t>
        <w:br/>
        <w:t>IN ITS MEETING of March 16, 2021;</w:t>
        <w:br/>
        <w:t>HEARD the Rapporteur, Dr. Gabriella Muscolo;</w:t>
        <w:br/>
        <w:t>VIEWED Part III, Title 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VIEWED its provisions of September 8, 2020, October 27, 2020, and December 22, 2020, with which, pursuant to art. 7, paragraph 3, of the Regulation, extensions of the deadline for concluding the proceeding were ordered, for particular and unforeseen investigative needs;</w:t>
        <w:br/>
        <w:t>VIEWED the acts of the proceeding;</w:t>
        <w:br/>
        <w:t>CONSIDERED the following:</w:t>
        <w:br/>
        <w:t>I. THE PARTIES</w:t>
        <w:br/>
        <w:t>1. LLOYD’S of London (hereinafter also LL or the Professional or also Lloyd’s), as a professional, pursuant to art. 3 of the Consumer Code.</w:t>
        <w:br/>
        <w:t>2. A CONSUMER, as the notifier.</w:t>
        <w:br/>
        <w:t>II. THE CLAUSES SUBJECT TO EVALUATION</w:t>
        <w:br/>
        <w:t>3. The clauses subject to evaluation in this provision are those reported in the contracts of accident insurance policies entered into with consumers such as, by way of example, the models of the 'Wide Group Convention' edition 20171, the Accident Insurance Policy with Additional Guarantees, the Individual Accident Policy PA20122, as well as the Professional and Extra-Professional Accident Policy model 0919P3, prepared by Lloyd’s for the sale of the coverage "Accident Insurance," transcribed below:</w:t>
        <w:br/>
        <w:t>1 Doc. 40, annex 1, policy placed in September 2020.</w:t>
        <w:br/>
        <w:t>2 Doc. 40, annex 5, individual policy placed in February 2020.</w:t>
        <w:br/>
        <w:t>3 Doc. 40, annex 3, policy placed in May 2020.</w:t>
      </w:r>
    </w:p>
    <w:p>
      <w:r>
        <w:rPr>
          <w:b/>
        </w:rPr>
        <w:t>[Pages 61–63]</w:t>
      </w:r>
    </w:p>
    <w:p>
      <w:r>
        <w:t>BULLETIN NO. 14 OF APRIL 6, 2021 63</w:t>
      </w:r>
    </w:p>
    <w:p>
      <w:r>
        <w:t>Models of Convention Policies Wide Group ed. 2017, Accident Insurance, Illness and Accessory Guarantees, Individual Accident Policy PA2012</w:t>
      </w:r>
    </w:p>
    <w:p>
      <w:r>
        <w:t>A) Article 17 bis (Deductible for Permanent Disability) of the Policy Conditions</w:t>
        <w:br/>
        <w:t>Unless otherwise indicated in the coverage sheet, the sums insured for Permanent Disability due to accident are subject to a deductible structured as follows on the insured sum:</w:t>
        <w:br/>
        <w:t>- From Euro 0 up to Euro 700,000.00 no indemnity will be paid for permanent disabilities not exceeding 3% of the total. If, however, the disability exceeds 3% of the total, indemnity will be paid only for the portion exceeding; in the case where the permanent disability is greater than 10% of the total, the Insurer pays the indemnity without any deductible;</w:t>
        <w:br/>
        <w:t>- From Euro 700,000.00 up to Euro 1,200,000.00: no indemnity will be paid for permanent disabilities not exceeding 7% of the total;</w:t>
        <w:br/>
        <w:t>- Exceeding Euro 1,200,000.00 and up to Euro 2,000,000.00: no indemnity will be paid for permanent disabilities not exceeding 17% of the total.</w:t>
        <w:br/>
        <w:t>If as a result of an accident, the Insured suffers a Permanent Disability of more than 50%, the sum insured for the case of Permanent Disability will be paid at 100%.</w:t>
      </w:r>
    </w:p>
    <w:p>
      <w:r>
        <w:t>B) Article 18 (Cumulative Indemnity) of the Policy Conditions</w:t>
        <w:br/>
        <w:t>[...] The right to indemnity for Permanent Disability and Temporary Inability is personal and therefore not transferable to heirs. However, if the Insured dies for reasons unrelated to an accident for which the indemnity has been agreed or offered in a determined amount, the Insurer pays the heirs the amount settled or offered according to the rules of testamentary or legal succession.</w:t>
      </w:r>
    </w:p>
    <w:p>
      <w:r>
        <w:t>C) Article 25 (Disputes on the insurability of persons and the consequences of injuries) of the Policy Conditions</w:t>
        <w:br/>
        <w:t>In case of disagreement regarding the insurability of persons and pursuant to the previous Article 19 regarding the nature or consequences of injuries and/or the degree of Permanent Disability, the parties agree to confer, by private writing, a mandate to decide, in accordance with and within the limits of the policy conditions, to a Board of three doctors, appointed one by each party and the third by mutual agreement or, failing that, by the Council of the order of doctors having jurisdiction in the place where the Board of doctors is to meet.</w:t>
        <w:br/>
        <w:t>The medical Board must reside in the municipality where the nearest forensic medicine institute is located to the place of residence of the Insured or to the residence of the broker/Lloyd's Correspondent managing the Policy.</w:t>
        <w:br/>
        <w:t>Each Party bears its own expenses and compensates the doctor it designates, contributing half to the expenses and fees of the third doctor.</w:t>
        <w:br/>
        <w:t>The medical Board is authorized to postpone, where it finds it appropriate, the definitive assessment of Permanent Disability to a time to be set by the Board itself within 3 years.</w:t>
        <w:br/>
        <w:t>The decisions of the medical Board are made by majority vote, exempt from any legal formalities, and are binding on the parties even if one of the doctors refuses to sign the relevant minutes.</w:t>
      </w:r>
    </w:p>
    <w:p>
      <w:r>
        <w:t>64 BULLETIN NO. 14 OF APRIL 6, 2021</w:t>
      </w:r>
    </w:p>
    <w:p>
      <w:r>
        <w:t>Accident Insurance for Professional and Non-Professional Persons – model 0919P</w:t>
      </w:r>
    </w:p>
    <w:p>
      <w:r>
        <w:t>D) Article 16 - Case of Permanent Disability</w:t>
        <w:br/>
        <w:t>If the Accident results in Permanent Disability, the Company:</w:t>
        <w:br/>
        <w:t>a) determines the degree of Permanent Disability based on the percentages established in the table of Annex 1) of the D.P.R. 30/06/1965 No. 1124 ("INAIL Table") and subsequent modifications;</w:t>
        <w:br/>
        <w:t>b) pays a reimbursement in percentage on the agreed sum as follows:</w:t>
        <w:br/>
        <w:t>Deductible 3% up to Euro 500,000.00;</w:t>
        <w:br/>
        <w:t>Deductible 10% over Euro 500,000.00</w:t>
        <w:br/>
        <w:t>In the case where the disability exceeds 10%, the indemnity will be recognized without the application of any deductible.</w:t>
        <w:br/>
        <w:t>In the case where the disability is equal to or greater than 50%, it will be indemnified at 100% of the agreed capital.</w:t>
        <w:br/>
        <w:t>The total and irreparable loss of functional use of an organ or limb is equated to the anatomical loss of the same; if it is a disability, the percentages of Permanent Disability are reduced in proportion to the lost functionality.</w:t>
        <w:br/>
        <w:t>In cases of anatomical or functional loss of multiple organs or limbs, the reimbursement is determined by adding the percentages corresponding to each individual injury, up to a maximum limit of 100%.</w:t>
        <w:br/>
        <w:t>In cases not specified in the table referred to in the previous point a), the degree of disability is determined according to their severity compared to that of the listed cases.</w:t>
        <w:br/>
        <w:t>For disabilities of the upper limbs in the case of left-handedness, the percentages of disability provided for the right side will apply to the left side.</w:t>
      </w:r>
    </w:p>
    <w:p>
      <w:r>
        <w:t>E) Article 36 - Disputes</w:t>
        <w:br/>
        <w:t>In case of disagreement regarding the nature or consequences of injuries, the Parties agree to confer a mandate, by private writing, to decide, in accordance with and within the limits of the policy conditions, to a Board of three doctors, appointed one by each Party, and the third by mutual agreement or, in case of failure to agree, by the Council of the Order of Doctors, having jurisdiction in the place where the Board of Doctors is to meet. The Board of Doctors resides in the city where the nearest forensic medicine institute is located to the place of residence of the Insured. Each Party bears its own expenses and compensates the doctor it designates, contributing half of the expenses and fees for the third doctor. The Board of Doctors is authorized to postpone, where it finds it appropriate, the definitive assessment of Permanent Disability to a later date, to be set by the Board itself within one year. The decisions of the Board of Doctors are made by majority vote with exemption from any legal formalities and are binding on the Parties even if one of the Doctors refuses to sign the relevant minutes.</w:t>
      </w:r>
    </w:p>
    <w:p>
      <w:r>
        <w:t>F) Article 38 - Cumulative Indemnity</w:t>
        <w:br/>
        <w:t>[...] The right to indemnity for Permanent Disability is personal and therefore not transferable to heirs. However, if the Insured dies for reasons unrelated to the Accident after the indemnity has been settled, or in any case offered in a determined amount, the Company pays the heirs of the Insured no later than the fourth degree, the amount settled or offered.</w:t>
      </w:r>
    </w:p>
    <w:p>
      <w:r>
        <w:t>BULLETIN NO. 14 OF APRIL 6, 2021 65</w:t>
      </w:r>
    </w:p>
    <w:p>
      <w:r>
        <w:t>III. INSTRUCTION RESULTS</w:t>
        <w:br/>
        <w:t>a) The procedure process</w:t>
        <w:br/>
        <w:t>4. According to the information acquired for the application of Article 37 bis of the Consumer Code and, in particular, based on a report from IVASS – Institute for the Supervision of Insurance – from December 2017 and a subsequent report from a consumer in April 2019, with communication dated February 10, 2020, the procedure CV/183 was initiated against Lloyd's of London.</w:t>
        <w:br/>
        <w:t>5. On the same date, after informing the Authority, pursuant to art. 37 bis paragraph 1 of the Consumer Code and art. 23 paragraph 6 of the Regulation, a notice was published on its institutional website for the purpose of public consultation regarding unfair clauses. The consultation closed on March 11, 2020.</w:t>
        <w:br/>
        <w:t>6. On February 9, 2020, the reporting consumer submitted a request to participate in the investigation, the acceptance of which was communicated to him on March 6, 2020, and also represented to the Professional on the same date.</w:t>
        <w:br/>
        <w:t>7. On March 6 and 18, 2020, and April 6, 2020, the Professional submitted requests for an extension to produce statements, accepted with communications dated March 6 and 27, 2020, and April 7, 2020.</w:t>
        <w:br/>
        <w:t>8. Following the public consultation, the consumer association Altroconsumo submitted its observations on March 11, 2020. Observations were also received from the consumer associations ADOC, Codacons, U.di.Con, Federconsumatori, and the Chamber of Commerce of Prato.</w:t>
        <w:br/>
        <w:t>9. On May 20, 2020, with subsequent integration on June 10, 2020, Lloyd's submitted its defensive statements providing, also, the requested information in the initiation communication, along with numerous contractual models concerning accident policies accessory to the professional liability policy stipulated in the exercise of the profession of lawyer.</w:t>
      </w:r>
    </w:p>
    <w:p>
      <w:r>
        <w:rPr>
          <w:b/>
        </w:rPr>
        <w:t>[Pages 64–66]</w:t>
      </w:r>
    </w:p>
    <w:p>
      <w:r>
        <w:t>66 BULLETIN NO. 14 OF APRIL 6, 2021</w:t>
        <w:br/>
        <w:t>10. On September 10, 2020, a hearing was held at the request of LL, at the conclusion of which the Professional, on September 22, 2020, transmitted the requested documentation, represented among other things by the contractual forms of the individual accident insurance policies distributed to consumers.</w:t>
        <w:br/>
        <w:t>11. On September 24, 2020, a request for information was made to the reporting Party. In response to this request, the reporter provided feedback on September 28, 2020, with a subsequent integration on November 27, 2020.</w:t>
        <w:br/>
        <w:t>12. Considering that of the numerous contracts provided by LL during the proceedings, some were concluded using models different from the contested No. 062018 at the outset, on October 28, 2020, an additional request for information was made to Lloyd’s. On November 5, 2020, LL submitted a request for an extension of the deadlines to produce the last requested information, which was accepted with a communication sent on the same date.</w:t>
        <w:br/>
        <w:t>13. The Professional provided documentary feedback to the request for information on November 18, 2020, with a communication from which it emerged that the model contested in the initiation communication concerned an insurance product distributed to self-employed professionals (specifically lawyers), while the models used in concluding contracts with consumers were those referred to in the communication of September 22, 2020.</w:t>
        <w:br/>
        <w:t>14. By act of December 23, 2020, LL was informed of the objective extension of the proceedings to verify the alleged unfairness of the clauses, similar to those in the initiation communication, contained in the contractual models of Accident Policies concluded with consumers.</w:t>
        <w:br/>
        <w:t>15. On the same date, the Authority was informed, pursuant to Article 37 bis paragraph 1 of the Consumer Code and pursuant to Article 23 paragraph 6 of the Regulation, a notice was published on its institutional website for the purposes of public consultation regarding unfair clauses, concerning the objective extension of the proceedings. The consultation closed on January 22, 2021.</w:t>
        <w:br/>
        <w:t>16. In a communication dated January 4, 2021, LL submitted a request for an extension to produce the statements after the objective extension, which was accepted with the Communication of January 8, 2021.</w:t>
        <w:br/>
        <w:t>17. On January 21, 2021, LL produced the response to the request for information contained in the communication of the objective extension of the proceedings.</w:t>
        <w:br/>
        <w:t>11 Doc. 39: Hearing minutes.</w:t>
        <w:br/>
        <w:t>12 Doc. 40: documentation relating to 5 policies concluded with consumers and 4 policies concluded with professionals, along with the response to the request for information made during the hearing of September 10, 2020.</w:t>
        <w:br/>
        <w:t>13 Doc. 43 of October 28, 2020.</w:t>
        <w:br/>
        <w:t>14 Doc. 47 and Doc. 48.</w:t>
        <w:br/>
        <w:t>15 Doc. 49 of November 18, 2020.</w:t>
        <w:br/>
        <w:t>16 Doc. 52.</w:t>
        <w:br/>
        <w:t>17 Doc. 56: Minutes of acquisition from the AGCM website (address www.agcm.it) of the Notice of public consultation regarding the objective extension of the proceedings.</w:t>
        <w:br/>
        <w:t>18 Docs. 57 and 58.</w:t>
        <w:br/>
        <w:t>19 Doc. 59: LL's response to the request for information made in the communication of the objective extension.</w:t>
      </w:r>
    </w:p>
    <w:p>
      <w:r>
        <w:t>BULLETIN NO. 14 OF APRIL 6, 2021 67</w:t>
        <w:br/>
        <w:t>18. Following the second public consultation that concluded on January 22, 2021, observations were received from the consumer associations Altroconsumo, Movimento Consumatori, U.Di.Con.-Union of Consumers, and Federconsumatori.</w:t>
        <w:br/>
        <w:t>19. On February 1, 2021, the interested Parties were informed of the conclusion date of the investigative phase pursuant to Article 16, paragraph 1, of the Regulation.</w:t>
        <w:br/>
        <w:t>20. On February 19, 2021, Lloyd’s transmitted their final notes.</w:t>
        <w:br/>
        <w:t>b) The elements provided by the Professional during the proceedings and the defensive arguments made by Lloyd’s</w:t>
        <w:br/>
        <w:t>21. In the defensive submissions, it was initially highlighted that Lloyd’s would not be a subject with autonomous legal personality according to the typical scheme of capital companies under Italian law. The legal nature of Lloyd’s of London would consist of a recognized association, formed by individual natural persons (the ‘names’) who, individually or in connected aggregations bound by solidarity (the ‘syndicates’), would guarantee with their assets the risks assumed by each of them. Lloyd’s would act through agents or brokers (so-called ‘underwriters’), authorized.</w:t>
        <w:br/>
        <w:t>22. From the documentation provided, it emerged that the contractual model subject to initiation concerned accident policies ancillary to the professional liability policy concluded in the exercise of the legal profession. This aspect is confirmed by what emerged during the hearing held on September 10, 2020.</w:t>
        <w:br/>
        <w:t>23. Although the request for information contained in the initiation communication concerned all policies containing clauses identical or similar to those contested, Lloyd’s initially produced only the accident policies concluded with lawyers in the two-year period 2017-2019, the marketing of which would have ceased in January 2019. During the hearing on September 10, 2020, it was argued that “the accident policies concluded with individual consumer persons do not contain the clauses subject to investigation.” However, by the end of September 2020, the contractual models of the policies concluded with consumers, already requested at the initiation stage, containing the same clauses subject to the proceedings, were produced, accompanied by the following statement: “[…] the particular structure of the Lloyd’s Market means that the corresponding parties use numerous and different contractual models also with reference to private accident policies and therefore aimed at consumers, it follows that we cannot exclude that in some models marketed even in the years 2019 and 2020 the individual clauses subject to this proceeding are present. The relative identification, precisely because of the particular nature and operational modalities of the Lloyd’s market, is extremely complex, if not impossible.”</w:t>
        <w:br/>
        <w:t>24. On the merits, the Professional, with reference to the clauses on informal arbitration, emphasized their legality as they provide for the conduct of a so-called contractual expertise of a strictly medical nature and not of informal arbitration. Regarding the clauses on Deductibles, the Professional highlighted that it is “inevitable to expose for each bracket the relative deductible that is applied, otherwise, all Italian insurers would be obliged to use a single deductible clause,” altering “the determination of the premium, which would obviously have to be recalculated under less favorable conditions for the insured in light of the elimination of the contractual deductibles.” Finally, with reference to the clauses on the non-transferability to heirs of the right to compensation, the jurisprudential references mentioned in the objective extension of the initiation of the investigation appear to the Professional to be difficult to contest.</w:t>
        <w:br/>
        <w:t>c) The public consultation</w:t>
        <w:br/>
        <w:t>25. The observations received from the Consumer Associations regarding the clauses contained in the individual accident policies concluded with consumers concern:</w:t>
        <w:br/>
        <w:t>- the clauses on deductibles to determine compensation for permanent disability.</w:t>
        <w:br/>
        <w:t>26. Altroconsumo highlighted the existence of certain informational gaps and contradictions regarding the deductible mechanism, as there is a repeated threshold (€700,000, pursuant to Article 17 bis, sub-point II, letter A), of this provision), which creates uncertainty about the deductible applicable for an insured amount exactly equal to the value of the threshold itself. Finally, Altroconsumo emphasized that “examples should be included to allow for a full understanding of the mechanism for applying the deductible and calculating the compensation itself.”</w:t>
        <w:br/>
        <w:t>27. The association Movimento dei Consumatori expressed similar considerations regarding the poor understanding of the clauses in question. The Union for the Defense of Consumers - U.Di.Con noted that the clauses in question would aggravate the consumer's position “unbalancing the relationship of rights and obligations existing between the contractual parties in favor of the Professional.” Similar observations were finally expressed by the Association Federconsumatori, which highlighted the use of unclear, partly contradictory phrases that are not immediately understandable, even for those with specific technical expertise;</w:t>
        <w:br/>
        <w:t>- the clause on informal arbitration.</w:t>
        <w:br/>
        <w:t>28. The association Altroconsumo noted that the informal arbitration procedure as described in the contested clauses (with expressions such as: “the parties undertake to confer…”)</w:t>
      </w:r>
    </w:p>
    <w:p>
      <w:r>
        <w:rPr>
          <w:b/>
        </w:rPr>
        <w:t>[Pages 67–69]</w:t>
      </w:r>
    </w:p>
    <w:p>
      <w:r>
        <w:t>BULLETIN NO. 14 OF APRIL 6, 2021 69</w:t>
        <w:br/>
        <w:t>would constitute a mandatory method of dispute resolution to ascertain invalidity, binding the parties to the decision of the Medical Board, effectively making it impossible for the insured to resort to civil judgment; other means of extrajudicial dispute resolution, such as assisted negotiation and mediation, provided for by current regulations, would be excluded before initiating legal action. Furthermore, the clauses would impose part of the costs on the insured ("Each Party bears its own costs and compensates the doctor designated by it, contributing half of the costs and fees for the third doctor"), with the burden of subjecting the insured to the procedures established by the Arbitration Board and to a wait that can extend to a considerable period (one year). Finally, critical issues can be identified regarding the location of the Medical Board, which, according to Article 38 of IVASS Regulation 41/2018, should coincide with the location of the nearest forensic medicine institute to the insured and not with the nearest municipality to the insured's residence or the residence of the intermediary, as provided in the insurance contracts in question. The clauses in question would ultimately violate Article 33, paragraph 2, letters b and d) of the Consumer Code.</w:t>
      </w:r>
    </w:p>
    <w:p>
      <w:r>
        <w:t>29. The Consumers' Movement association has highlighted the significant imbalance of the contractual exchange arising from the burden of bearing the costs for the performance of the Arbitration Board's task, which falls more heavily on the individual insured rather than on the Company, without the identification of quick and certain timelines for the conclusion of the procedure. Similar observations have been made by the Union for the Defense of Consumers - U.di.Con, which has pointed out the abusive nature of the provision in question as it would impose "limitations on the consumer's ability to exercise actions to protect their rights in the event of the professional's non-fulfillment, generating a serious contractual imbalance to the detriment of the insured." The Federconsumatori Association has confirmed the abusive nature of the clauses concerning the discretion of the designated Medical Board to postpone its decision to a time to be determined 'if it finds it appropriate,' with the discretion, but not the obligation, to grant the insured an advance on the indemnity, without any limitation regarding the timing and/or reasons for the postponement. Furthermore, the indemnity function of the insurance would be compromised by the provision of a mechanism for the payment of the fees to the arbitrators by the insured, regardless of the outcome of the dispute;</w:t>
      </w:r>
    </w:p>
    <w:p>
      <w:r>
        <w:t>- the clause on the non-transferability to heirs of the right to permanent disability indemnity</w:t>
      </w:r>
    </w:p>
    <w:p>
      <w:r>
        <w:t>30. The Altroconsumo association, recalling some previous decisions of the Authority and the letter to the market with which IVASS on February 28, 2018, invited Companies to verify the presence of similar clauses in accident policies, as well as to review them within 120 days, has argued the abusive nature of the clauses in question.</w:t>
      </w:r>
    </w:p>
    <w:p>
      <w:r>
        <w:t>31. The Consumers' Movement association has represented the evident contractual imbalance of the clauses that exclude the insurer's liability in the event of the insured's death before the stabilization of the disabling aftermath, thereby excluding the heirs from the right to indemnity. The Union for the Defense of Consumers - U.di.Con has highlighted the abusive nature of the clauses on the non-transferability to heirs of the right to indemnity, as it is "already accrued thanks to the payment of premiums by the deceased." The Federconsumatori association has noted that the Professional would make its obligation to pay the indemnity contingent upon a condition – settlement or offer – whose fulfillment would depend exclusively on its own will, without any possibility of intervention for the heirs.</w:t>
      </w:r>
    </w:p>
    <w:p>
      <w:r>
        <w:t>d) The application of the clauses proposed by Lloyd's</w:t>
      </w:r>
    </w:p>
    <w:p>
      <w:r>
        <w:t>32. The Professional has proposed to interpret the clause on Deductibles under letter A), in the application context, as follows:</w:t>
        <w:br/>
        <w:t>A.1) Art. 17bis Structured Deductible for Permanent Disability</w:t>
        <w:br/>
        <w:t>Unless otherwise indicated in the coverage sheet, the sums insured for Permanent Disability due to accident are subject to a structured deductible, in the sense that a different deductible is applied to the indemnity for permanent disability depending on the insured sum and provided that the degree of permanent disability exceeds a certain percentage, as follows. The insured sum for permanent disability is considered divided into the following parts:</w:t>
        <w:br/>
        <w:t>1. the first, up to €700,000.00, on which the indemnity due under the policy will be paid only if the permanent disability is greater than 3% and only for the part that exceeds this percentage; if the permanent disability is greater than 10%, no deductible will be applied.</w:t>
        <w:br/>
        <w:t>2. the second, equal to any excess over €700,000.00 of the first and up to €1,200,000.00 of insured sum, on which the indemnity due under the policy will be paid only if the permanent disability is greater than 7% and only for the part that exceeds this percentage;</w:t>
        <w:br/>
        <w:t>3. the third, equal to any excess over €1,200,000.00 of the first two and up to €2,000,000.00 of insured sum, on which the indemnity due under the policy will be paid only if the permanent disability is greater than 17%, and only for the part that exceeds this percentage. If as a result of an accident, the Insured suffers a Permanent Disability of more than 50%, the insured sum for the case of Permanent Disability will be paid at 100%.</w:t>
      </w:r>
    </w:p>
    <w:p>
      <w:r>
        <w:t>33. The Professional has proposed to interpret the clause on Deductibles under letter D), in the application context, as follows:</w:t>
        <w:br/>
        <w:t>D.1) Art. 16 – Case of Permanent Disability – Deductible</w:t>
        <w:br/>
        <w:t>If the Accident results in Permanent Disability, the Company will pay for this title, according to the following provisions, an indemnity calculated on the insured sum for permanent disability based on the percentages indicated in the table of Annex 1) of the D.P.R. 30/06/1965 No. 1124 (Consolidated Text of mandatory insurance against workplace accidents and occupational diseases) also known as the "INAIL Table."</w:t>
      </w:r>
    </w:p>
    <w:p>
      <w:r>
        <w:t>BULLETIN NO. 14 OF APRIL 6, 2021 71</w:t>
        <w:br/>
        <w:t>The indemnity due will be calculated with the application of the following deductibles on the amount of the insured sum:</w:t>
        <w:br/>
        <w:t>a) up to €500,000 of the insured sum, a deductible of 3% will be applied</w:t>
        <w:br/>
        <w:t>b) over €500,000 of the insured sum, a deductible of 10% will be applied.</w:t>
        <w:br/>
        <w:t>In the event that the disability is equal to or greater than 50%, it will be indemnified with 100% of the agreed capital.</w:t>
        <w:br/>
        <w:t>The total and irreparable loss of the functional use of an organ or limb is equated to the anatomical loss of the same; if it is a disability, the percentages of Permanent Disability are reduced in proportion to the lost functionality.</w:t>
        <w:br/>
        <w:t>In cases of anatomical or functional loss of multiple organs or limbs, the reimbursement is determined by adding the percentages corresponding to each individual injury, up to a maximum limit of 100%.</w:t>
      </w:r>
    </w:p>
    <w:p>
      <w:r>
        <w:t>34. Lloyd's has declared its willingness to publish on the Italian website a notice informing insured consumers of such interpretations, valid also for any "other accident insurance contract entered into with consumers as defined in Article 3 of the Consumer Code."</w:t>
      </w:r>
    </w:p>
    <w:p>
      <w:r>
        <w:t>35. The Professional, with the concluding memorandum of February 19, 2021, regarding the clauses on 'medical contractual appraisal,' or on irregular arbitration, has stated that the insurers of Lloyd's "will refrain from applying, where still provided for in the contractual documents in use and also with effect on ongoing contracts, the clauses that make recourse to the so-called medical contractual appraisal mandatory for disputes relating to the insurability of persons, the nature and consequences of injuries as well as the degree of disability, such recourse being understood as merely optional in lieu of recourse to the judicial authority." They also commit to publishing on the Italian Lloyd's website a notice that would recall the Authority's resolution. Similarly, Lloyd's would no longer apply the clauses on the non-transferability to heirs of the right to indemnity for Permanent Disability of the deceased, with the publication of the notice with the Authority's resolution on the Italian website.</w:t>
      </w:r>
    </w:p>
    <w:p>
      <w:r>
        <w:t>36. Finally, the party has represented that as a result of so-called Brexit, Lloyd's has initiated a procedure aimed at transferring the policies underwritten from 1993 to 2020 in favor of Lloyd's Insurance Company S.A., an insurance company established and regulated in Belgium, wholly owned by Lloyd's. Therefore, the above-mentioned notices will be published on both the "old" and "new" Lloyd's website in Italy.</w:t>
      </w:r>
    </w:p>
    <w:p>
      <w:r>
        <w:t>IV. CONCLUDING EVALUATIONS</w:t>
        <w:br/>
        <w:t>37. It is preliminarily observed that the clauses subject to the initiation of the investigation are included in accident policy models distributed to self-employed professionals (specifically lawyers), for whom the Consumer Code is inapplicable.</w:t>
      </w:r>
    </w:p>
    <w:p>
      <w:r>
        <w:t>38. Therefore, the present evaluations concern the clauses indicated in point II, from letter A) to letter F), of this provision, subject to objective extension of the procedure, which present profiles of abusiveness and insufficient transparency pursuant to the provisions of Articles 33 et seq. of the Consumer Code.</w:t>
      </w:r>
    </w:p>
    <w:p>
      <w:r>
        <w:rPr>
          <w:b/>
        </w:rPr>
        <w:t>[Pages 70–72]</w:t>
      </w:r>
    </w:p>
    <w:p>
      <w:r>
        <w:t>72 BULLETIN NO. 14 OF APRIL 6, 2021</w:t>
        <w:br/>
        <w:t>39. For the cases falling under the list referred to in Article 33, paragraph 2, of the Consumer Code, a legal presumption of unfairness is provided, placing the burden on the professional to provide evidence sufficient to counter this presumption. In the specific case, the Professional has not provided any evidence to prove the non-unfairness of the clauses subject to the procedure affected by the aforementioned presumption.</w:t>
        <w:br/>
        <w:t>40. More specifically, with reference to the clauses mentioned in this provision in point II, under letters B) and F), regarding the personal nature of the accident insurance policy and, therefore, the non-transferability to heirs of the right to compensation, they would be suitable to "provide for a definitive commitment of the consumer while the performance of the Professional is subject to a condition whose fulfillment depends solely on his will" (art. 33, paragraph 2, letter d) of the Consumer Code).</w:t>
        <w:br/>
        <w:t>41. In fact, in the specific case where the insured, already definitively disabled, dies due to a cause other than that generating the disability and before the medical insurance assessments that the Company reserves the right to carry out to verify the existence of permanent consequences, the right of the heirs of the beneficiary to receive the compensation due to the latter is effectively excluded. Thus, the heirs are effectively prevented from proving with independent and alternative means to those of the Company the consolidation, before death, of the permanent disability status of their relative and the consequent maturation of the right to compensation. In the specific case of pre-decease contemplated above, thanks to the considered clauses, the Company effectively limits its liability, ensuring a definitive commitment from the consumer (the payment of the premium) in exchange for a counter-performance whose fulfillment is substantially left to the will of the Company itself, which seems to deny its performance in the event that the compensation has not already been settled or offered in a determined amount based on the medical assessments provided for by the contract.</w:t>
        <w:br/>
        <w:t>42. On this point, the Court of Cassation, Civil Section III, with judgment of January 11, 2007, No. 395, stated that the provision contained in the clause that provides for the non-transferability of the right to compensation in the event that the insured dies before the actual settlement of the compensation itself appears unfair as it "alters the normal contractual balance in favor of the insurer even if viewed solely in the convenience of avoiding immediate execution of the performance while awaiting the occurrence of the event causing the extinction of its legal obligation." The aforementioned clauses therefore appear to be in contrast with art. 33, paragraphs 1 and 2, letter d), of the Consumer Code, as also established by the Authority in some previous resolutions.</w:t>
        <w:br/>
        <w:t>43. The clauses described in this provision in point II, under letters C) and E), regarding the informal arbitration appear unfair to the extent that they provide that any medical disputes regarding the nature of the injuries, the degree of permanent disability, or the degree or duration of temporary incapacity, as well as the application of the criteria to be followed for compensation, must be referred to a panel of doctors.</w:t>
        <w:br/>
        <w:t>44. The aforementioned clauses would constitute the case of "mandatory" informal arbitration in derogation of the jurisdiction of the judicial authority, in violation of art. 33, paragraph 1 and paragraph 2 letter t) of the Consumer Code. They also appear to create a significant imbalance in the contractual exchange to the detriment of the insured-consumer, in violation of art. 33, paragraphs 1 and 2 letter b), of the Consumer Code, as they establish, as highlighted, that the costs of the arbitration procedure also burden the insured and that, for reasons of opportunity, the arbitration panel may postpone the definitive assessment of permanent disability without even providing for a provisional compensation, moreover, without identifying rapid and certain times for the conclusion of the procedure. In fact, the delay of the arbitration decision for unspecified reasons of opportunity, moreover in the absence of a provisional measure, appears more burdensome for the insured than for the company.</w:t>
        <w:br/>
        <w:t>45. Furthermore, the costs of arbitration are different and less burdensome for the insurance company, which daily manages a multitude of disputes of the same kind, with the consequent economies of scale and the implicit advantage inherent in the knowledge of the environment, personnel, and potential arbitrators, than they are for the individual consumer, who lacks any influence and has no experience. Moreover, the provision of costs to be borne by the consumer could also result in a drastic reduction of the expected compensation or in a waiver of the right in the event that the costs exceed the compensation expected from the procedure.</w:t>
        <w:br/>
        <w:t>46. The aforementioned provisions would limit the right of the insured to access ordinary jurisdiction, as stated by the Court of Cassation, Civil Section III, judgment of February 16, 2016, No. 2996, according to which in an insurance contract "the stipulation of a contractual appraisal does not prevent the parties from resorting to the judge for the resolution of disputes involving the resolution of legal issues: for the simple reason that such disputes have been excluded from those referred to the experts." The aforementioned clauses are therefore in contrast with art. 33, paragraph 1 and paragraph 2, letters b) and t), of the Consumer Code, as also established by the Authority in a previous resolution.</w:t>
        <w:br/>
        <w:t>As for the clauses transcribed in this provision in point II, under letters A) and D), regarding the deductibles, they are in contrast with art. 35, paragraph 1, of the Consumer Code, as they are poorly understandable for the consumer not only from a strictly lexical and grammatical point of view regarding the individual content but also in light of the overall context of the contract in which they are included. In fact, they do not transparently expose the concrete functioning of the mechanisms for determining the deductibles, as they do not indicate the arithmetic operations to be performed for the calculation of the same deductibles.</w:t>
        <w:br/>
        <w:t>47. This poor intelligibility regarding the functioning of these mechanisms results in the circumstance that, at the time of signing the contract, the consumer is not made aware of the concrete methods of determining the compensation due to him in the event that the event generating permanent disability occurs.</w:t>
        <w:br/>
        <w:t>48. During the procedure, the Party proposed to modify, at the time of application, the interpretative methods of the aforementioned clauses, as well as to publish a notice regarding this on the Italian website. In this regard, it is noted that the proposed interpretation would at most result in a partial resolution of the issues outlined above concerning existing contracts, except for clause under letter A) - Art. 17 bis, Structured Deductible for Permanent Disability, for which the aforementioned issues of insufficient comprehensibility and transparency, and therefore intelligibility, of the functioning of the deductibles remain. Furthermore, since it is a mere proposal for interpretation put forward by the Party that is not evident from the textual reading of such clauses and that does not include a modification of their content, the observations made regarding the unfairness of the same remain in any case firm.</w:t>
        <w:br/>
        <w:t>CONSIDERING that for the clauses subject to the initiation communication and subsequent objective extension of the procedure, under letters B), C), E), and F), a legal presumption of unfairness applies ex Article 33, paragraph 2, letters b), d), and t), of the Consumer Code, and that Lloyd’s of London has not provided fully sufficient elements to overcome this presumption;</w:t>
        <w:br/>
        <w:t>CONSIDERING, in particular, based on the above considerations, that the clauses described in point II, under letters B), C), E), and F) of this provision are unfair pursuant to Articles 33, paragraphs 1 and 2, letters b), d), and t), of the Consumer Code;</w:t>
        <w:br/>
        <w:t>CONSIDERING, in particular, based on the above considerations, that the clauses described in point II, under letters A) and D), of this provision are in contrast with Article 35, paragraph 1, of the Consumer Code;</w:t>
        <w:br/>
        <w:t>CONSIDERING that the publication of an excerpt of this provision is due to fully inform consumers of the unfairness of the clauses subject to this assessment on the Authority's website and that of Lloyd’s, in the Italian version, pursuant to Article 37 bis, paragraph 2, of the Consumer Code and Article 23, paragraph 8, of the Regulation and that it seems appropriate that the aforementioned publication on the Lloyd’s website in the Italian version lasts for twenty consecutive days;</w:t>
        <w:br/>
        <w:t>RESOLVES</w:t>
        <w:br/>
        <w:t>a) that the clauses described in point II, under letters B) and F), of this provision constitute a case of unfair clauses, pursuant to art. 33, paragraphs 1 and 2, letter d), of the Consumer Code, for the reasons and within the limits set out in the motivation;</w:t>
        <w:br/>
        <w:t>b) that the clauses described in point II, under letters C) and E), of this provision constitute a case of unfair clauses, pursuant to art. 33, paragraphs 1 and 2, letters b) and t), of the Consumer Code, for the reasons and within the limits set out in the motivation;</w:t>
        <w:br/>
        <w:t>c) that the clauses described in point II, under letters A) and D), of this provision constitute a violation pursuant to Article 35, paragraph 1, of the Consumer Code, for the reasons and within the limits set out in the motivation;</w:t>
        <w:br/>
        <w:t>ORDERS</w:t>
        <w:br/>
        <w:t>a) that Lloyd’s of London publish, at its own expense, an excerpt of the provision pursuant to Article 37 bis of the Consumer Code and Article 23, paragraph 8, of the Regulation, according to the following methods:</w:t>
      </w:r>
    </w:p>
    <w:p>
      <w:r>
        <w:rPr>
          <w:b/>
        </w:rPr>
        <w:t>[Pages 73–75]</w:t>
      </w:r>
    </w:p>
    <w:p>
      <w:r>
        <w:t>BULLETIN NO. 14 OF APRIL 6, 2021 75</w:t>
        <w:br/>
        <w:t>1) the text of the extract of the provision is that reported in the annex to this provision;</w:t>
        <w:br/>
        <w:t>2) the text of the extract of the provision must be published for twenty consecutive days in the Italian section https://www.lloyds.com/it-it/lloyds-around-the-world/home and https://www.lloyds.com/italia with adequate graphic prominence, within twenty days from the communication of the adoption of this provision;</w:t>
        <w:br/>
        <w:t>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aforementioned pages of the website www.lloyds.com;</w:t>
        <w:br/>
        <w:t>c) the publication must fully reflect the layout, structure, and appearance of the extract attached to this provision; the methods of writing, printing, and dissemination must not be such as to nullify the effects of the publication; in particular, on the webpage of the publication of the extract, as well as on the remaining pages, there must not be messages that conflict with the content of the extract or that tend to diminish its scope and meaning.</w:t>
        <w:br/>
        <w:t>Pursuant to Article 37 bis, paragraph 2, of the Consumer Code, in case of non-compliance, the Authority applies an administrative pecuniary sanction from 5,000 euros to 50,000 euros.</w:t>
        <w:br/>
        <w:t>Against this provision, an appeal may be submitted to the TAR of Lazio, pursuant to Article 37 bis, paragraph 4, and Article 135, paragraph 1, letter b), of the Administrative Procedure Code (Legislative Decree No. 104 of July 2, 2010), within sixty days from the date of communication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the term of one hundred and twenty days from the date of communication of the opinion itself.</w:t>
        <w:br/>
        <w:t>This provision will be communicated to the interested parties and published in the Bulletin of the Italian Competition Authority.</w:t>
        <w:br/>
        <w:t>The extract of the provision is also published, within twenty days from the communication of its adoption, in a specific section of the institutional website of the Authority.</w:t>
        <w:br/>
        <w:t>THE SECRETARY GENERAL THE PRESIDENT</w:t>
        <w:br/>
        <w:t>Filippo Arena Roberto Rustichelli</w:t>
        <w:br/>
        <w:t>______________________________________________________________________</w:t>
      </w:r>
    </w:p>
    <w:p>
      <w:r>
        <w:t>76 BULLETIN NO. 14 OF APRIL 6, 2021</w:t>
        <w:br/>
        <w:t>CV183 – LLOYD’S OBLIGATION TO PROVIDE EXPERTISE</w:t>
        <w:br/>
        <w:t>Annex to provision No. 28608</w:t>
        <w:br/>
        <w:t>Annex to the provision of the Italian Competition Authority of March 16, 2021 regarding administrative protection against unfair clauses pursuant to Article 37 bis of the Consumer Code.</w:t>
        <w:br/>
        <w:t>[OMISSIS]</w:t>
        <w:br/>
        <w:t>On February 10, 2020, the procedure CV183- Lloyd’s-OBLIGATION TO PROVIDE EXPERTISE was initiated against Lloyd’s of London, later objectively extended on December 23, 2020.</w:t>
        <w:br/>
        <w:t>[OMISSIS]</w:t>
        <w:br/>
        <w:t>The subject of evaluation of this provision consists of the clauses contained in the contracts of Accident Insurance policies stipulated with consumers such as, by way of example, the models of the 'Wide Group Convention' edition 201736, the Accident Insurance Policy for Illnesses and Accessory Guarantees, the individual Accident Insurance Policy PA201237, as well as the Accident Insurance policy for professional and extra-professional persons model 0919P38, prepared by Lloyd’s for the sale of the coverage "Accident Insurance," transcribed below:</w:t>
        <w:br/>
        <w:t>Models of Accident Insurance Policies Wide Group Convention edition 2017, Accident Insurance Policy for Illnesses and Accessory Guarantees, individual accident policy PA2012</w:t>
        <w:br/>
        <w:t>A) Article 17bis (Deductible for Permanent Disability) of the Policy Conditions</w:t>
        <w:br/>
        <w:t>Unless otherwise indicated in the coverage sheet, the sums insured for Permanent Disability due to accident are subject to a deductible structured as follows on the insured sum:</w:t>
        <w:br/>
        <w:t>- From Euro 0 up to Euro 700,000.00 no indemnity will be paid for permanent disabilities not exceeding 3% of the total. If, however, the disability exceeds 3% of the total, the indemnity will be paid only for the portion exceeding; in the case where the permanent disability is greater than 10% of the total, the Insurer pays the indemnity without any deductible;</w:t>
        <w:br/>
        <w:t>- From Euro 700,000.00 up to Euro 1,200,000.00: no indemnity will be paid for permanent disabilities not exceeding 7% of the total;</w:t>
        <w:br/>
        <w:t>- Exceeding Euro 1,200,000.00 and up to Euro 2,000,000.00: no indemnity will be paid for permanent disabilities not exceeding 17% of the total.</w:t>
        <w:br/>
        <w:t>If, as a result of an accident, the Insured suffers a Permanent Disability of more than 50%, the sum insured for the case of Permanent Disability will be paid at 100%.</w:t>
        <w:br/>
        <w:t>36 Doc. 40, annex 1, policy placed in September 2020.</w:t>
        <w:br/>
        <w:t>37 Doc. 40, annex 5, individual policy placed in February 2020.</w:t>
        <w:br/>
        <w:t>38 Doc. 40, annex 3, policy placed in May 2020.</w:t>
      </w:r>
    </w:p>
    <w:p>
      <w:r>
        <w:t>BULLETIN NO. 14 OF APRIL 6, 2021 77</w:t>
        <w:br/>
        <w:t>B) Article 18 (Cumulative Indemnities) of the Policy Conditions</w:t>
        <w:br/>
        <w:t>[….] The right to indemnity for Permanent Disability and Temporary Inability is personal and therefore not transferable to heirs.</w:t>
        <w:br/>
        <w:t>However, if the Insured dies for reasons unrelated to an accident for which the indemnity has been agreed or offered in a determined amount, the Insurer pays the heirs the amount settled or offered according to the rules of testamentary or legal succession.</w:t>
        <w:br/>
        <w:t>C) Article 25 (Disputes on the insurability of persons and the consequences of injuries) of the Policy Conditions</w:t>
        <w:br/>
        <w:t>In case of disagreement on the insurability of persons and pursuant to the previous Article 19 regarding the nature or consequences of injuries and/or the degree of Permanent Disability, the parties agree to confer, by private writing, a mandate to decide, in accordance with and within the limits of the policy conditions, to a Board of three doctors, appointed one by each party and the third by mutual agreement or, failing that, by the Medical Association Council having jurisdiction in the place where the Board of doctors is to meet.</w:t>
        <w:br/>
        <w:t>The medical Board must reside in the municipality, seat of the forensic medicine institute, closest to the place of residence of the Insured or to the place of residence of the broker/Lloyd’s Correspondent managing the Policy.</w:t>
        <w:br/>
        <w:t>Each of the Parties bears its own expenses and compensates the doctor designated by it, contributing half to the expenses and fees of the third doctor.</w:t>
        <w:br/>
        <w:t>The medical Board is given the authority to postpone, where it finds it appropriate, the final determination of Permanent Disability to a time to be set by the Board itself within 3 years.</w:t>
        <w:br/>
        <w:t>The decisions of the medical Board are made by majority vote, exempt from any legal formalities, and are binding on the parties even if one of the doctors refuses to sign the relevant minutes.</w:t>
        <w:br/>
        <w:t>Professional and extra-professional Accident Insurance Policy - model 0919P</w:t>
        <w:br/>
        <w:t>D) Article 16 - Case of Permanent Disability</w:t>
        <w:br/>
        <w:t>If the Accident results in Permanent Disability, the Company:</w:t>
        <w:br/>
        <w:t>a) determines the degree of Permanent Disability based on the percentages established in the table of annex 1) of the D.P.R. 30/06/1965 No. 1124 (“INAIL Table”) and subsequent amendments;</w:t>
        <w:br/>
        <w:t>b) pays a reimbursement in percentage on the agreed sum as follows:</w:t>
        <w:br/>
        <w:t>Deductible 3% up to Euro 500,000.00;</w:t>
        <w:br/>
        <w:t>Deductible 10% over Euro 500,000.00</w:t>
        <w:br/>
        <w:t>In the case where the disability is greater than 10%, the indemnity will be recognized without the application of any deductible.</w:t>
        <w:br/>
        <w:t>In the case where the disability is equal to or greater than 50%, it will be indemnified at 100% of the agreed capital.</w:t>
        <w:br/>
        <w:t>The total and irreparable loss of functional use of an organ or limb is equated to the anatomical loss of the same; if it is a disability, the percentages of Permanent Disability are reduced in proportion to the lost functionality.</w:t>
        <w:br/>
        <w:t>In cases of anatomical or functional loss of multiple organs or limbs, the reimbursement is determined by adding the percentages corresponding to each individual injury, up to a maximum limit of 100%.</w:t>
        <w:br/>
        <w:t>In cases not specified in the table referred to in the previous point a), the degree of disability is determined according to their severity compared to that of the listed cases.</w:t>
      </w:r>
    </w:p>
    <w:p>
      <w:r>
        <w:rPr>
          <w:b/>
        </w:rPr>
        <w:t>[Pages 76–78]</w:t>
      </w:r>
    </w:p>
    <w:p>
      <w:r>
        <w:t>78 BULLETIN NO. 14 OF APRIL 6, 2021</w:t>
        <w:br/>
        <w:t>For disabilities of the upper limbs in the case of left-handedness, the disability percentages provided for the right side shall apply to the left side.</w:t>
      </w:r>
    </w:p>
    <w:p>
      <w:r>
        <w:t>E) Article 36 - Disputes</w:t>
        <w:br/>
        <w:t>In the event of a disagreement regarding the nature or consequences of the injuries, the Parties agree to appoint, by private writing, a panel of three doctors, one appointed by each Party, and the third by mutual agreement or, in the absence of agreement, by the Council of the Order of Doctors, having jurisdiction in the location where the Medical Panel is to convene. The Medical Panel is based in the city where the nearest Institute of Forensic Medicine is located to the residence of the Insured. Each Party bears its own expenses and compensates the doctor it designates, contributing to half of the expenses and fees for the third doctor. The Medical Panel is authorized to postpone, if deemed appropriate, the definitive assessment of Permanent Disability to a later date, to be set by the Panel itself within one year. The decisions of the Medical Panel are made by majority vote, exempt from any legal formalities, and are binding on the Parties even if one of the Doctors refuses to sign the relevant minutes.</w:t>
      </w:r>
    </w:p>
    <w:p>
      <w:r>
        <w:t>F) Article 38 - Accumulation of compensation</w:t>
        <w:br/>
        <w:t>[...] The right to compensation for Permanent Disability is personal and therefore not transferable to heirs. However, if the Insured dies for reasons unrelated to the Accident after the compensation has been paid or otherwise offered in a determined amount, the Company pays to the heirs of the Insured, not exceeding the fourth degree, the amount paid or offered.</w:t>
      </w:r>
    </w:p>
    <w:p>
      <w:r>
        <w:t>[OMISSIS]</w:t>
        <w:br/>
        <w:t>CONSIDERED, in particular, based on the above considerations, that the clauses described in point II, under letters B), C), E), F) of this provision are unfair pursuant to articles 33, paragraph 1 and paragraph 2, letters b), d) and t), of the Consumer Code;</w:t>
      </w:r>
    </w:p>
    <w:p>
      <w:r>
        <w:t>CONSIDERED, in particular, based on the above considerations, that the clauses described in point II, under letters A) and D), of this provision are in conflict with article 35, paragraph 1, of the Consumer Code;</w:t>
      </w:r>
    </w:p>
    <w:p>
      <w:r>
        <w:t>[OMISSIS]</w:t>
        <w:br/>
        <w:t>RESOLVES</w:t>
        <w:br/>
        <w:t>a) that the clauses described in point II, under letters B) and F), of this provision constitute a case of unfair clauses, pursuant to art. 33, paragraphs 1 and 2, letter d), of the Consumer Code, for the reasons and within the limits stated in the motivation;</w:t>
      </w:r>
    </w:p>
    <w:p>
      <w:r>
        <w:t>b) that the clauses described in point II, under letters C) and E), of this provision constitute a case of unfair clauses, pursuant to art. 33, paragraphs 1 and 2, letters b) and t), of the Consumer Code, for the reasons and within the limits stated in the motivation;</w:t>
      </w:r>
    </w:p>
    <w:p>
      <w:r>
        <w:t>BULLETIN NO. 14 OF APRIL 6, 2021 79</w:t>
        <w:br/>
        <w:t>c) that the clauses described in point II, under letters A) and D), of this provision constitute a violation of article 35, paragraph 1, of the Consumer Code, for the reasons and within the limits stated in the motivation;</w:t>
      </w:r>
    </w:p>
    <w:p>
      <w:r>
        <w:t>[OMISSIS]</w:t>
      </w:r>
    </w:p>
    <w:p>
      <w:r>
        <w:t>80 BULLETIN NO. 14 OF APRIL 6, 2021</w:t>
        <w:br/>
        <w:t>CONFLICT OF INTEREST</w:t>
        <w:br/>
        <w:t>SI1165B- SANDRA ZAMPA- UNDERSECRETARY OF STATE FOR HEALTH – POST OFFICE OPINION</w:t>
        <w:br/>
        <w:t>Rome, March 17, 2021</w:t>
        <w:br/>
        <w:t>Subject: request for an opinion regarding the regime of post-office incompatibilities pursuant to art. 2, paragraph 4, of Law No. 215 of July 20, 2004, containing "Rules on the resolution of conflicts of interest," received on March 4, 2021</w:t>
      </w:r>
    </w:p>
    <w:p>
      <w:r>
        <w:t>Dear Doctor,</w:t>
        <w:br/>
        <w:t>on March 4, 2021, a note was received by the Authority in which you request an opinion regarding the compatibility between the position of Undersecretary of State for Health, held by you until February 12, 2021, and the assumption of a professional position in the direct collaboration offices of the Minister of Health, concerning communication, with specific regard, among other things, to the communication aspects related to the Pandemic Plan, international relations, and the national institutional activities of the Minister. In the same note, you also request an opinion regarding the compatibility, with your previous position as Undersecretary of State for Health, of the position of head of an office of direct collaboration with the Minister of Health.</w:t>
      </w:r>
    </w:p>
    <w:p>
      <w:r>
        <w:t xml:space="preserve">In relation to this request, the Authority, in its meeting on March 16, 2021, resolved the following opinion. </w:t>
        <w:br/>
        <w:t>Regarding the hypothesis of assuming a professional position in the direct collaboration offices of the Minister of Health, this case must be evaluated in light of the combined provisions of the norms of art. 2, paragraph 1, letter d) and of art. 2, paragraph 4, of Law No. 215 of July 20, 2004. The first of the two cited provisions, in fact, prohibits the holder of the government position from "exercising professional or self-employment activities in matters related to the government position, of any nature, even if free of charge, in favor of public or private entities," while the second extends to the twelve months following the termination of the government position, among others, also the incompatibilities referred to in the aforementioned letter d) of paragraph 1.</w:t>
      </w:r>
    </w:p>
    <w:p>
      <w:r>
        <w:t>In this regard, the Authority has consistently held that the provision of art. 2, paragraph 4, Law No. 215/2004, is essentially intended to exclude even the mere possibility that the exercise of the powers related to the government position may be influenced or distorted by the holder's interest in pre-establishing future benefits, for example in terms of positions following the termination of the government position. In this sense, the element of discontinuity introduced by the legislator in the relationships between former holders of positions and the entities or companies that operate mainly in the sectors affected by the specific functions exercised during the government mandate is aimed at safeguarding the impartiality of public action, which represents the cornerstone principle of the regulation on conflicts of interest.</w:t>
      </w:r>
    </w:p>
    <w:p>
      <w:r>
        <w:rPr>
          <w:b/>
        </w:rPr>
        <w:t>[Pages 79–80]</w:t>
      </w:r>
    </w:p>
    <w:p>
      <w:r>
        <w:t>BULLETIN NO. 14 OF APRIL 6, 2021 81</w:t>
      </w:r>
    </w:p>
    <w:p>
      <w:r>
        <w:t>In its application practice, the Authority has deemed that such oversight should not apply where the former holder of a government position is called to perform professional or self-employment activities in favor of the same central state administrations. In this sense, see, for example, what was noted in the XIX Report to Parliament, regarding certain cases of consultancy assignments conferred in the ministerial context to former holders of government positions, for which the connection to the area of post-office incompatibilities was excluded.</w:t>
      </w:r>
    </w:p>
    <w:p>
      <w:r>
        <w:t>Also with reference to the possible assumption of the position of direct collaboration with the Minister of Health, it is noted that the Authority has previously considered that holding a position within a central state administration falls under Article 2, paragraph 1, letter a), Law No. 215/2004 (public office or position) and that, as such, it does not fall within the post-office incompatibilities referred to in Article 2, paragraph 4, Law No. 215/2004 (see, for example, the XXXI Report to Parliament).</w:t>
      </w:r>
    </w:p>
    <w:p>
      <w:r>
        <w:t>In the case considered here, it is also observed that, even in light of the delegations conferred upon her by the Decree of the Minister of Health of May 23, 2020, there is no connection between the matters she dealt with by virtue of her government position and the issues that she would be called to address by virtue of the hypothesized professional assignment, and therefore, it must be excluded, also from this perspective, the possible integration of the case outlined in Article 2, paragraph 1, letter d), Law No. 215/2004.</w:t>
      </w:r>
    </w:p>
    <w:p>
      <w:r>
        <w:t>In consideration of the above, it is believed that the assumption, within twelve months following the cessation of the government position, of the professional assignment referred to in the request for opinion in question, is not suitable to constitute a violation of the provisions of Article 2, paragraph 4, Law No. 215/2004.</w:t>
      </w:r>
    </w:p>
    <w:p>
      <w:r>
        <w:t>It is made known that this opinion, pursuant to Article 23, second paragraph of the Regulation on the conflict of interests, is subject to publication in the Authority's bulletin, except for "any confidentiality needs duly represented."</w:t>
      </w:r>
    </w:p>
    <w:p>
      <w:r>
        <w:t>It is therefore requested that you communicate to this Authority, within 15 days from the receipt of the opinion, the existence of any confidentiality needs, providing specific reasons for them.</w:t>
      </w:r>
    </w:p>
    <w:p>
      <w:r>
        <w:t>Best regards.</w:t>
      </w:r>
    </w:p>
    <w:p>
      <w:r>
        <w:t>THE SECRETARY GENERAL</w:t>
      </w:r>
    </w:p>
    <w:p>
      <w:r>
        <w:t>Filippo Arena</w:t>
      </w:r>
    </w:p>
    <w:p>
      <w:r>
        <w:t>Antitrust Authority Weekly Bulletin</w:t>
        <w:br/>
        <w:t>of Competition and Market Year XXXI - No. 14 - 2021</w:t>
        <w:br/>
        <w:t>Editorial Coordination Giulia Antenucci</w:t>
        <w:br/>
        <w:t>Editorial Team Valerio Ruocco, Simonetta Schettini, Manuela Villani</w:t>
        <w:br/>
        <w:t>Italian Competition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