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https://www.agcm.it/dotcmsdoc/bollettini/2022/14-22.pdf</w:t>
      </w:r>
    </w:p>
    <w:p>
      <w:r>
        <w:t>Pages translated : 200</w:t>
      </w:r>
    </w:p>
    <w:p/>
    <w:p>
      <w:r>
        <w:rPr>
          <w:b/>
        </w:rPr>
        <w:t>[Pages 1–3]</w:t>
      </w:r>
    </w:p>
    <w:p>
      <w:r>
        <w:t>Bulletin</w:t>
        <w:br/>
        <w:t>Weekly</w:t>
        <w:br/>
        <w:t>Year XXXII - No. 14</w:t>
        <w:br/>
        <w:t>Published on the website www.agcm.it</w:t>
        <w:br/>
        <w:t>April 19, 2022</w:t>
      </w:r>
    </w:p>
    <w:p>
      <w:r>
        <w:t>SUMMARY</w:t>
        <w:br/>
        <w:t>AGREEMENTS AND ABUSE OF DOMINANT POSITION 5</w:t>
        <w:br/>
        <w:t>A541 - VEHICLE FERRY SERVICES STRAIT OF MESSINA</w:t>
        <w:br/>
        <w:t>Decision No. 30086 5</w:t>
        <w:br/>
        <w:t>CONCENTRATION OPERATIONS 114</w:t>
        <w:br/>
        <w:t>C12207B - SKY ITALIA/R2 - REVIEW OF MEASURES</w:t>
        <w:br/>
        <w:t>Decision No. 30100 114</w:t>
        <w:br/>
        <w:t>C12422B - MONDADORI MEDIA-ARTONI GROUP-SRH/PRESS–PRINT AND MULTIMEDIA DISTRIBUTION</w:t>
        <w:br/>
        <w:t>Decision No. 30101 138</w:t>
        <w:br/>
        <w:t>UNFAIR BUSINESS PRACTICES 159</w:t>
        <w:br/>
        <w:t>PS12059 - OSAR-ELEVATOR MAINTENANCE</w:t>
        <w:br/>
        <w:t>Decision No. 30096 159</w:t>
        <w:br/>
        <w:t>PS12117 - AJO’ ENERGIA-COMMERCIAL OFFERS</w:t>
        <w:br/>
        <w:t>Decision No. 30097 164</w:t>
        <w:br/>
        <w:t>PS12226 - AGENZIA DELLE IMPRESE-ASSIGNED TO COLLECTION</w:t>
        <w:br/>
        <w:t>Decision No. 30098 185</w:t>
        <w:br/>
        <w:t>PARASITIC ADVERTISING-CONSUMER PROTECTION 192</w:t>
        <w:br/>
        <w:t>PV16 - ZALANDO-EURO 2020 CARTEL</w:t>
        <w:br/>
        <w:t>Decision No. 30099 192</w:t>
      </w:r>
    </w:p>
    <w:p>
      <w:r>
        <w:t>BULLETIN NO. 14 OF APRIL 19, 2022 5</w:t>
        <w:br/>
        <w:t>AGREEMENTS AND ABUSE OF DOMINANT POSITION</w:t>
        <w:br/>
        <w:t>A541 - VEHICLE FERRY SERVICES STRAIT OF MESSINA</w:t>
        <w:br/>
        <w:t>Decision No. 30086</w:t>
        <w:br/>
        <w:t>THE ANTITRUST AUTHORITY</w:t>
        <w:br/>
        <w:t>IN ITS MEETING of March 29, 2022;</w:t>
        <w:br/>
        <w:t>HEARD the Rapporteur Professor Michele Ainis;</w:t>
        <w:br/>
        <w:t>HAVING REGARD to Law No. 287 of October 10, 1990, and subsequent amendments;</w:t>
        <w:br/>
        <w:t>HAVING REGARD to the Presidential Decree No. 217 of April 30, 1998;</w:t>
        <w:br/>
        <w:t>HAVING REGARD to its resolution No. 28313 of July 28, 2020, with which an investigation was initiated, pursuant to Article 14 of Law No. 287/90, against Caronte &amp; Tourist S.p.A. to ascertain the existence of possible violations of Article 3, paragraph 1, letter a) of Law No. 287/90;</w:t>
        <w:br/>
        <w:t>HAVING REGARD to its resolution No. 29913 of November 25, 2021, with which the change of the responsible officer of the procedure was ordered and also the extension to March 31, 2022, of the deadline for concluding the procedure, due to the complexity of the case and in order to allow Caronte &amp; Tourist S.p.A. the broadest exercise of the right of defense;</w:t>
        <w:br/>
        <w:t>HAVING REGARD to the briefs submitted by Caronte &amp; Tourist S.p.A. on February 2, 2022;</w:t>
        <w:br/>
        <w:t>HEARD in the final hearing, on February 7, 2022, the representatives of Caronte &amp; Tourist S.p.A. who had requested it;</w:t>
        <w:br/>
        <w:t>HAVING REGARD to the documents of the procedure and the documentation acquired during the investigation;</w:t>
        <w:br/>
        <w:t>CONSIDERED the following:</w:t>
        <w:br/>
        <w:t>I. THE INVESTIGATIVE PROCEDURE</w:t>
        <w:br/>
        <w:t>I.1 The Parties</w:t>
        <w:br/>
        <w:t>I.1.1 The Respondent</w:t>
        <w:br/>
        <w:t>1. Caronte &amp; Tourist S.p.A. (hereinafter also 'C&amp;T' or the 'Party') is the historic private maritime transport company active in the Strait of Messina, born from the merger between Caronte S.r.l. and Tourist Ferry Boat S.p.A.</w:t>
        <w:br/>
        <w:t>C&amp;T provides the bi-directional ferry service for wheeled vehicles (commercial vehicles and cars/private vehicles) and passengers (with and without cars) on the routes Villa San Giovanni/Messina-Rada San Francesco (hereinafter also 'VSG-MRSF') and Villa San Giovanni/Messina-Tremestieri (hereinafter also 'VSG-MTR'). The company is also active, directly or through subsidiaries, on the bi-directional route connecting Messina to Salerno and on the connections between Sicily and the so-called minor Sicilian islands (Ustica, Aeolian Islands, and Egadi Islands).</w:t>
      </w:r>
    </w:p>
    <w:p>
      <w:r>
        <w:rPr>
          <w:b/>
        </w:rPr>
        <w:t>[Pages 4–6]</w:t>
      </w:r>
    </w:p>
    <w:p>
      <w:r>
        <w:t>6 BULLETIN NO. 14 OF APRIL 19, 2022</w:t>
        <w:br/>
        <w:t xml:space="preserve">The company holds stakes, including controlling interests, in various companies active in the maritime transport sector, including logistics and port operations, shipbuilding, maritime agencies, and terminal management. In 2020, the consolidated revenue of the C&amp;T group was approximately [100-511]* million euros.  </w:t>
        <w:br/>
        <w:t xml:space="preserve">I.1.2 The interveners  </w:t>
        <w:br/>
        <w:t xml:space="preserve">2. The Regional Committee for Sicily and the Committee of Messina are peripheral bodies of the National Consumers' Union1, as well as local organizations for social promotion2, registered in the National Register of Social Promotion Associations.  </w:t>
        <w:br/>
        <w:t xml:space="preserve">I.2 The investigative activity  </w:t>
        <w:br/>
        <w:t xml:space="preserve">3. Following a complaint from a consumer received in March 2018, which reported the application of particularly high tariffs for passenger ferry services between Villa San Giovanni and Messina, allegedly caused by the de facto monopoly of C&amp;T in maritime transport on the Strait of Messina (hereinafter also "Strait"), the Authority proceeded to carry out a series of preliminary investigations in order to acquire elements regarding the conditions of the offer of maritime transport services on the Strait. Specifically, requests for information were sent to the Port System Authority of the Strait and the financial statements of C&amp;T for recent years were consulted; moreover, comparable routes served by other carriers were analyzed.  </w:t>
        <w:br/>
        <w:t xml:space="preserve">4. On July 28, 2020, following the acquisition of the requested information and the overall processing of the same, the Authority initiated the present investigation to ascertain the existence of any violations of Article 3, paragraph 1, letter a) of Law No. 287/90 and, in particular, the alleged abuse of the dominant position held by C&amp;T through the application of unjustifiably burdensome prices and contractual conditions, also through the application of discriminatory conditions against final consumers.  </w:t>
        <w:br/>
        <w:t xml:space="preserve">5. Specifically, the conduct contested at the start of the proceedings concerns the pricing policy applied by C&amp;T to passenger ferry services with accompanying vehicles along the VSG-MRSF route, where the company enjoys a de facto monopoly position. By virtue of the dominant position held on this route and, more generally, on the Strait of Messina, C&amp;T would impose on consumers unjustifiably high prices for travel tickets, also with discriminatory effects for those traveling alone with a car compared to groups of multiple passengers traveling on the Strait with the same car.  </w:t>
        <w:br/>
        <w:t xml:space="preserve">6. On August 4, 2020, at the time of notifying the initiation of the present investigation against C&amp;T, a request for information aimed at acquiring the necessary knowledge elements for the conduct of the proceedings was also notified to the same company, with the collaboration of the Guardia di Finanza – Special Antitrust Unit.  </w:t>
        <w:br/>
        <w:t xml:space="preserve">* In this version, some data are omitted, as elements of confidentiality or secrecy of the information were deemed to exist.  </w:t>
        <w:br/>
        <w:t xml:space="preserve">1 Association registered in the list of Consumer and User Associations representative at the national level referred to in Article 5 of Law No. 281 of July 30, 1998 (now Article 137 of Legislative Decree No. 206 of September 6, 2005).  </w:t>
        <w:br/>
        <w:t>2 See Law No. 383/2000.</w:t>
      </w:r>
    </w:p>
    <w:p>
      <w:r>
        <w:t xml:space="preserve">BULLETIN NO. 14 OF APRIL 19, 2022 7  </w:t>
        <w:br/>
        <w:t xml:space="preserve">7. On September 2, 2020, the associations UNC Municipal Committee Messina and UNC Regional Committee Sicily were admitted to participate in the proceedings following their respective requests received on August 27 and 28, 2020.  </w:t>
        <w:br/>
        <w:t xml:space="preserve">8. During the proceedings, C&amp;T requested to be heard, and the related request was accepted. Specifically, C&amp;T was heard in a hearing on October 19, 2020. Subsequently, on July 13, 2021, an additional hearing was held at the request of the Offices.  </w:t>
        <w:br/>
        <w:t xml:space="preserve">9. C&amp;T also requested and exercised on several occasions the right to access the documents of the proceedings. In particular, the right of access to the documents was exercised on the following dates: 10/6/2020, 10/3/2021, 14/4/2021, 9/9/2021, and 7/12/2021.  </w:t>
        <w:br/>
        <w:t xml:space="preserve">10. In addition to the aforementioned request of August 4, 2020, further information was requested from C&amp;T on 19/10/2020 and 11/5/2021, and during the hearing on 31/7/2021. Furthermore, additional requests for information were sent to the Port System Authority of the Strait (5/8/2020, 11/6/2021, and 15/10/2021), to the Region of Sicily, and to the competing operator Bluferries (5/8/2020 and 25/1/2021).  </w:t>
        <w:br/>
        <w:t xml:space="preserve">11. On November 6, 2020, during the transmission of some information requested by the Investigating Offices, C&amp;T also submitted its own study concerning a comparative analysis of prices for short-range ferry services for passengers with and without accompanying vehicles (so-called benchmarking study).  </w:t>
        <w:br/>
        <w:t xml:space="preserve">12. During the proceedings, some voluntary contributions were received from individuals, shipping companies, and associations aimed at highlighting some elements considered critical regarding the ferry services currently provided across the Strait of Messina.  </w:t>
        <w:br/>
        <w:t xml:space="preserve">3 See documents No. 17, 18, 19 and related attachments.  </w:t>
        <w:br/>
        <w:t xml:space="preserve">4 See documents No. 15, 16 and related attachments.  </w:t>
        <w:br/>
        <w:t xml:space="preserve">5 See documents No. 25, 26 and related attachments.  </w:t>
        <w:br/>
        <w:t xml:space="preserve">6 See documents No. 32, 33, 34, 37 and related attachments.  </w:t>
        <w:br/>
        <w:t xml:space="preserve">7 See documents No. 12, 14, 25, 26, 45, 55.  </w:t>
        <w:br/>
        <w:t xml:space="preserve">8 See document No. 31 and related attachments.  </w:t>
        <w:br/>
        <w:t xml:space="preserve">9 See document No. 53 and related attachments.  </w:t>
        <w:br/>
        <w:t xml:space="preserve">10 See document No. 56 and related attachments.  </w:t>
        <w:br/>
        <w:t xml:space="preserve">11 See document No. 70 and related attachments.  </w:t>
        <w:br/>
        <w:t xml:space="preserve">12 See documents No. 86 and No. 95.  </w:t>
        <w:br/>
        <w:t xml:space="preserve">13 See documents No. 13, 20, 24 and related attachments.  </w:t>
        <w:br/>
        <w:t xml:space="preserve">14 See documents No. 34, 37, 39 and related attachments.  </w:t>
        <w:br/>
        <w:t xml:space="preserve">15 See documents No. 55, 60 and related attachments.  </w:t>
        <w:br/>
        <w:t xml:space="preserve">16 See documents No. 10, 23 and related attachments.  </w:t>
        <w:br/>
        <w:t xml:space="preserve">17 See documents No. 62, 63 and attachments.  </w:t>
        <w:br/>
        <w:t xml:space="preserve">18 See document No. 72.  </w:t>
        <w:br/>
        <w:t xml:space="preserve">19 See documents No. 43, 44, 47 and related attachments.  </w:t>
        <w:br/>
        <w:t xml:space="preserve">20 See documents No. 11, 21, 22, 28 and related attachments.  </w:t>
        <w:br/>
        <w:t xml:space="preserve">21 See documents No. 48, 49 and related attachments.  </w:t>
        <w:br/>
        <w:t xml:space="preserve">22 See document No. 39 and related attachments.  </w:t>
        <w:br/>
        <w:t>23 See documents No. 29, 35, 36, 54 and related attachments.</w:t>
      </w:r>
    </w:p>
    <w:p>
      <w:r>
        <w:t xml:space="preserve">8 BULLETIN NO. 14 OF APRIL 19, 2022  </w:t>
        <w:br/>
        <w:t xml:space="preserve">13. On November 25, 2021, the Authority decided to change the person responsible for the proceedings and to extend the deadline for its closure to March 31, 2022.  </w:t>
        <w:br/>
        <w:t xml:space="preserve">14. On November 25, 2021, the Authority decided on the non-manifestly unfounded nature of the Investigative Findings, which were therefore transmitted to the Parties with communication of December 3, 2021.  </w:t>
        <w:br/>
        <w:t xml:space="preserve">15. On February 2, 2022, the final defense briefs of the company C&amp;T were received.  </w:t>
        <w:br/>
        <w:t xml:space="preserve">16. On February 7, 2022, the final hearing was held before the Authority's College, with representatives of the company C&amp;T, who had requested it.  </w:t>
        <w:br/>
        <w:t xml:space="preserve">II. THE INVESTIGATIVE FINDINGS  </w:t>
        <w:br/>
        <w:t xml:space="preserve">II.1 The vehicle ferry services on the Strait of Messina  </w:t>
        <w:br/>
        <w:t xml:space="preserve">17. The investigative activity developed by acquiring information from C&amp;T, the Port System Authority of the Strait (hereinafter also 'AdSP' or 'Port Authority'), and Bluferries S.r.l. (hereinafter also 'Bluferries'), a company belonging to the Ferrovie dello Stato Group and active on the Strait.  </w:t>
        <w:br/>
        <w:t xml:space="preserve">18. The information acquired will be summarized below, accounting for the following elements:  </w:t>
        <w:br/>
        <w:t xml:space="preserve">- the landings present on the Strait of Messina;  </w:t>
        <w:br/>
        <w:t xml:space="preserve">- the active routes on the Strait and their characteristics;  </w:t>
        <w:br/>
        <w:t xml:space="preserve">- the market positioning on the different routes, as well as regarding the ferry services provided.  </w:t>
        <w:br/>
        <w:t xml:space="preserve">II.1.1 The landings on the Strait of Messina  </w:t>
        <w:br/>
        <w:t xml:space="preserve">19. The Strait of Messina is characterized by the presence of two landings on the Calabrian side and three on the Sicilian side. On the Calabrian side, there are the landings of Villa San Giovanni (VSG) and Reggio Calabria (RC), while on the Sicilian side, those of Messina Rada San Francesco (MRSF), Messina Porto (MP – which includes the Maritime Station and the Nuremberg Pier), and Messina Tremestieri (MTR).  </w:t>
        <w:br/>
        <w:t>20. The AdSP illustrated how the following companies operate at the landings present on the Strait, according to the scheme reported in Table 1 (infra):</w:t>
      </w:r>
    </w:p>
    <w:p>
      <w:r>
        <w:rPr>
          <w:b/>
        </w:rPr>
        <w:t>[Pages 7–9]</w:t>
      </w:r>
    </w:p>
    <w:p>
      <w:r>
        <w:t>BULLETIN NO. 14 OF APRIL 19, 2022 9</w:t>
        <w:br/>
        <w:t>Table 1 - The operators managing the landings of the Strait of Messina</w:t>
        <w:br/>
        <w:t>Port Company Title Expiration of title</w:t>
        <w:br/>
        <w:t>VSG invasi 1-2-3 RFI License 30/06/201927</w:t>
        <w:br/>
        <w:t>VSG invasi 4-5-6-7 C&amp;T Concession extended to 31/12/2028</w:t>
        <w:br/>
        <w:t>RC RFI License 4/11/2020</w:t>
        <w:br/>
        <w:t>MTR Comet Concession 14/12/2021</w:t>
        <w:br/>
        <w:t>Messina</w:t>
        <w:br/>
        <w:t>RFI Concession 31/12/2022</w:t>
        <w:br/>
        <w:t>Maritime Station (MP)</w:t>
        <w:br/>
        <w:t>Messina Services</w:t>
        <w:br/>
        <w:t>Concession 10/06/2024</w:t>
        <w:br/>
        <w:t>Molo Norimberga (MP) Norimberga</w:t>
        <w:br/>
        <w:t>Extended to 17/09/202128 (the new</w:t>
        <w:br/>
        <w:t>MRSF C&amp;T Concession awarded to C&amp;T and Comet has been</w:t>
        <w:br/>
        <w:t>suspended by the TAR Sicily on 10/2/2022)</w:t>
        <w:br/>
        <w:t>Source: Doc. n. 4 and 23, 72 and related attachments</w:t>
        <w:br/>
        <w:t>21. According to what was reported by the AdSP, the ports of Messina Porto and Reggio Calabria have non-conceded berths available for free use, upon request, by any maritime carrier meeting the technical and legal requirements; access to these berths can be granted by the Maritime Authority subject to the approval of the Port Authority, aimed at assessing “any interference situations arising for port security purposes or possible overlap with already authorized berths [N.d.R., emphasis added]”29 or with other ongoing port operations.</w:t>
        <w:br/>
        <w:t>22. In the port of Villa San Giovanni, the AdSP highlights that “the only available berth, which is not under concession, is the 'slipway 0' […] currently used by the vehicles of the carrier Bluferries”30. Regarding Tremestieri, all the berths present there are under concession to the current terminal operator Comet S.r.l., which allows docking to the active carriers there (C&amp;T, Bluferries, Meridiano) according to requests and availability.</w:t>
        <w:br/>
        <w:t>23. C&amp;T operates at the ports of Villa San Giovanni (VSG), Calabria side, and Messina Rada San Francesco (MRSF) and Messina Tremestieri (MTR), Sicily side, in the latter case requesting access to Comet S.r.l. It is noteworthy that C&amp;T is the concessionaire of 4 of the 8 available invasi at the VSG port. In 2016, the duration of this public concession, which originally had a four-year validity (2015-2018), was extended by an additional 10 years from the original expiration31, as the Party must carry out “[…] restoration works on the structural elements of the berths at the Villa San Giovanni docking pier”32. In this regard, the same concession stipulates that “the areas subject to the works, both on land and at sea, must be closed to any traffic unrelated to the specific activities of the yard”33. Therefore, the new expiration date of the concession for the invasi of VSG is 31/12/2028.</w:t>
        <w:br/>
        <w:t>24. Furthermore, C&amp;T has been the only operator that has historically managed the MRSF port, simultaneously holding the role of terminal manager and carrier. Only after the initiation of the procedure, that is, in August 2021, the AdSP divided the five berths present at MRSF into two distinct terminals (T1 and T2), simultaneously initiating two different public procedures for the three-year concession of the same34. The competitive procedures concluded in January 2022, and the awarded parties are C&amp;T and Comet35. The tender procedures, aimed at managing the terminals, are intended to allow the entry of new carriers at MRSF. In fact, in the regulations of both tenders, it is clearly stated: “The awarded terminal operator will have an absolute and non-derogable obligation of service for third parties, consisting, in particular, in the full and unconditional duty to allow and facilitate by any means the docking of any carrier authorized by the Maritime Authority”36.</w:t>
        <w:br/>
        <w:t>25. However, C&amp;T has filed an appeal with the TAR Sicily, requesting the annulment of the tender documents prepared by the AdSP, as this would compromise the operation of the port. According to reports from the press “Caronte&amp;Tourist […] contests the legitimacy of the decision to subdivide the Rada, after the port has always been managed by a single company, namely Caronte. The basis of the appeal includes administrative observations documented in the document on which the judge must now rule. According to the shipping company based in Viale della Libertà, the dual management of the slips would also create logistical problems, ‘jeopardizing the operation of a system active for 40 years’”37. Further press reports clarify that: “Caronte&amp;Tourist […] demands the annulment of the tender claiming the historical uniqueness and not improvised nature of the Rada and that the subdivision of the area would be a significant limitation to the fluidity of operations”38.</w:t>
        <w:br/>
        <w:t>33 See doc. 13.2, ‘Formal supplementary act of maritime public concession no. 06/2016 of 3/3/2016’, p. 15.</w:t>
        <w:br/>
        <w:t>34 See AdSP, decrees no. 156 and 157 of 5/8/2021, concerning “Open procedure according to the procedural principles of Legislative Decree 50/2016 and subsequent amendments, for the selection of a company or group of companies meeting the requirements of Article 16 of Law 84/94 and subsequent amendments, for the three-year concession pursuant to Article 18 of the same law, of public property and water mirrors in front of the sea area in the locality of Rada S. Francesco of the Port of Messina, in order to conduct the commercial management of public exercise of landings and related areas serving all maritime carriers interested in operating national cabotage between the shores of the Strait of Messina of rubberized and passenger means, as well as the maintenance, safe operation, and custody of them […]”. Also doc. n. 72.</w:t>
        <w:br/>
        <w:t>35 See press sources at the following link: https://messina.gazzettadelsud.it/articoli/cronaca/2022/01/11/rada-san-francesco-di-messina-doppia-gestione-ma-ce-un-ricorso-per-lunicita-dellapprodo-a8042b79-82f4-438d-9591-a76a72326610/.</w:t>
        <w:br/>
        <w:t>36 See the tender regulations (p. 1) related to the tender procedures announced with AdSP decrees no. 156 and 157 of 5/8/2021.</w:t>
        <w:br/>
        <w:t>37 See press reports at the following link: https://www.messinatoday.it/cronaca/traghetti-ricorso-tar-caronte-tourist-bando-gestione-rada-san-francesco.html</w:t>
        <w:br/>
        <w:t>38 See, in this regard, MIMS - The evaluation of alternative solutions for the stable crossing system of the Strait of Messina, published on 7/5/2021 on the Ministry's website: press release - https://www.mit.gov.it/comunicazione/news/stretto-di-messina-il-ministro-giovannini-ha-trasmesso-alle-camere-la-relazione full text of the study - https://www.mit.gov.it/sites/default/files/media/notizia/2021-05/Relazione%20-%20GdL%20Attraversamento%20stabile%20stretto%20%281%29.pdf.</w:t>
      </w:r>
    </w:p>
    <w:p>
      <w:r>
        <w:t>BULLETIN NO. 14 OF APRIL 19, 2022 11</w:t>
        <w:br/>
        <w:t>26. Regarding this litigation, it is noteworthy that the TAR accepted C&amp;T's request for the adoption of precautionary measures, suspending the effectiveness of the tender and the related award39.</w:t>
        <w:br/>
        <w:t>II.1.2 The routes on the Strait of Messina: description and characteristics of the navigation service offer</w:t>
        <w:br/>
        <w:t>27. According to a recent study by the Ministry of Infrastructure and Sustainable Mobility (MIMS, formerly the Ministry of Transport), the integrated metropolitan area of the Strait includes the urban system of Messina and that of Reggio Calabria. Specifically, on the Calabrian side, the reference territorial basin extends from Melito di Porto Salvo, on the Ionian side, to Bagnara Calabra on the Tyrrhenian coast, for a total of about 270,000 inhabitants. On the Sicilian shore, the perimeter of the metropolitan area of Messina extends from the area of Milazzo, and the opposite Aeolian archipelago, to the urban-touristic system of Taormina, for a total of about 480,000 inhabitants40.</w:t>
        <w:br/>
        <w:t>28. Figure 1 (infra) illustrates the routes that connect the two sides of the Strait area with bidirectional line services, showing the different landings involved, the companies active on each route, as well as the type of ship used. In light of the geographical peculiarities of the affected territory, the connection services in the Strait area constitute an intermodal continuation of transport between the Sicilian and Calabrian sides allowing, in addition to the boarding of pedestrians, also the transport of cars and private vehicles, as well as vans/trucks (heavy vehicles) used for the transport of goods. Additionally, along the VSG-MP route, the company RFI - Rete Ferroviaria Italiana (FS Group) embarks passenger rail cars and tankers on its ships, ensuring the continuity of rail transport to/from Sicily.</w:t>
        <w:br/>
        <w:t>29. The identification of the integrated metropolitan area of the Strait identifies a specific user basin for the crossing services, which leads to the exclusion from the analysis perimeter of the present procedure of the routes connecting Sicily with other national ports. In fact, these navigation services are medium-long range, serve different user basins, and are characterized by greater distances and travel times, lower frequency of runs, and different costs41.</w:t>
        <w:br/>
        <w:t>30. The area of the Strait assumes particular importance also from a European perspective, as it is affected by the Scandinavian-Mediterranean corridor42 of the TEN-T network43 (‘Trans-European Transport Network’). In fact, the European network includes the passage through the Strait of Messina, 39 See TAR Sicily, section of Catania (Second Section), ordinance no. 71/2022 of 10/2/2022.</w:t>
        <w:br/>
        <w:t>40 Source cited note no. 37.</w:t>
        <w:br/>
        <w:t>41 An example is given by the bidirectional route Salerno-Messina served by Ro/Pax ferries from Cartour S.r.l. Cartour is the company of the C&amp;T group historically active with Ro/Pax ships on two bidirectional routes: Salerno-Messina, still served; Napoli-Catania, no longer active since 2018. Cartour operates outside the so-called area of the Strait of Messina, connecting Sicily with Campania, that is, providing maritime transport services on medium-long range routes. See doc. n. 39 and related attachments.</w:t>
        <w:br/>
        <w:t>42 See the interactive map dedicated to the TEN-T corridors: https://ec.europa.eu/transport/infrastructure/tentec/tentec-portal/map/maps.html.</w:t>
        <w:br/>
        <w:t>43 This corridor crosses the entire peninsula from north to south, starting from the Brenner Pass and connecting Trento, Verona, Bologna, Florence, Livorno, and Rome to the main urban centers of the south such as Naples, Bari, Catanzaro, Messina, and Palermo.</w:t>
      </w:r>
    </w:p>
    <w:p>
      <w:r>
        <w:rPr>
          <w:b/>
        </w:rPr>
        <w:t>[Pages 10–12]</w:t>
      </w:r>
    </w:p>
    <w:p>
      <w:r>
        <w:t>12 BULLETIN NO. 14 OF APRIL 19, 2022</w:t>
        <w:br/>
        <w:t>making it necessary to ensure the efficiency of its crossing with regard to the transport of goods and passengers44.</w:t>
        <w:br/>
        <w:t>Figure 1 - The routes of the Strait of Messina</w:t>
        <w:br/>
        <w:t>NOTE – the figure does not include the routes that may be activated following the tender announced by the AdSP for the management of the two terminals of MRSF. As highlighted, at present, the tender documents and the award have been suspended.</w:t>
        <w:br/>
        <w:t>31. This investigation concerns the ferry services for passengers and wheeled vehicles. Such a mobility demand can only be satisfied on the bidirectional routes served by Ro/Pax ships45 which, unlike hydrofoils and RFI ships, can simultaneously embark both vans/trucks carrying goods and passengers with or without cars. The Ro/Ro routes, on the other hand, embark (almost exclusively) wheeled vehicles active in the transport of goods (vans and trucks).</w:t>
        <w:br/>
        <w:t>32. In the specific context characterizing the area of the Strait, the type of vessel is also instrumental in distinguishing between the transport services provided in a free market regime and those in concession provided by RFI and Blu Jet (both belonging to the FS Group), in order to protect the so-called territorial continuity. In fact, as clarified by the MIMS46, the ferrying of passenger and freight trains between Villa San Giovanni and Messina provided by RFI under a specific concession47 is supplemented by the transport of only passengers via hydrofoils operated by Blu Jet48 on the VSG-MP route, which has “[…] the objective of achieving a synergy between maritime and rail transport. The schedules of the services are indeed established in such a way as to correspond the departures of the ships with the departure/arrival times of long-distance trains to/from Villa San Giovanni”49. Regarding the RC-MP route, operated by Blu Jet under direct assignment from the MIMS50, there are emerging needs for territorial continuity for commuter users moving between the two urban areas for study, work, leisure, and institutional reasons51.</w:t>
        <w:br/>
        <w:t>33. All remaining crossing services of the Strait are provided in a free market regime both on the bidirectional Ro/Pax routes, namely VSG-MRSF and VSG-MP, and on the Ro/Ro routes, namely VSG-MTR and RC-MTR. Specifically, C&amp;T serves the bidirectional routes VSG-MRSF (Ro/Pax) and VSG-MTR (Ro/Ro)52, Bluferries (also belonging to the FS Group) on the VSG-MP (Ro/Pax) and VSG-MTR (Ro/Ro) routes, and finally, Meridiano Lines on the RC-MTR (Ro/Ro) route. The VSG-MTR53 route, naturally dedicated to wheeled vehicles active in the transport of goods, has been defined as a 'Ro/Ro route' as a marginal share of passengers with cars is nonetheless embarked on this route54.</w:t>
        <w:br/>
        <w:t>46 See Response from the Ministry of Infrastructure and Transport dated 11/1/2021, doc. no. 47.</w:t>
        <w:br/>
        <w:t>47 See Ministerial Decree no. 138T of 31/10/2000.</w:t>
        <w:br/>
        <w:t>48 See D.L. no. 50 of 24/4/2017, art. 47, paragraph 11-bis, converted with amendments into Law no. 96 of 21/6/2017.</w:t>
        <w:br/>
        <w:t>49 See doc. no. 47, p. 1. Furthermore, on p. 3, it states: “In addition to the ferrying of trains and passengers, from May 1, 2019, in compliance with the provisions of Article 47, paragraph 11-bis of Decree-Law no. 50 of April 24, 2017 (converted with amendments by Law no. 21 of June 2017 no. 96), RFI also provides the passenger transport service with fast ships through the company Blu Jet, between Villa S. G. and Messina. This regulation intervened on the concession act of RFI, providing for the possibility that the rail services of territorial continuity with Sicily can be carried out, through a break of load, also with the use of fast means, within the resources already provided by current legislation in the CdP-S”.</w:t>
        <w:br/>
        <w:t>50 See MIMS - The evaluation of alternative solutions for the stable crossing system of the Strait of Messina, source cited in note 37.</w:t>
        <w:br/>
        <w:t>51 See MIT - Consultation regarding fast maritime passenger transport services between the cities of Messina and Reggio Calabria, published on 24/7/2020. https://www.mit.gov.it/comunicazione/news/verifica-di-mercato-per-i-servizi-di-trasporto-marittimo-veloce-passeggeri.</w:t>
        <w:br/>
        <w:t>52 In this regard, the company states that the MRSF port is “[…] predominantly dedicated to the transport of passengers and cars, due to the ordinances issued by the Municipality of Messina”. As for Tremestieri (MTR), it is “dedicated to the transport of heavy vehicles”. Therefore, from Villa San Giovanni, C&amp;T embarks “passengers, cars, and heavy vehicles for their respective destinations of Rada San Francesco (passengers and cars) or Tremestieri (heavy vehicles)” [See doc. no. 13, p. 2, 3]. However, heavy vehicles also transit at MRSF based on the situation of the landings, their operability, and congestion.</w:t>
        <w:br/>
        <w:t>53 “The company […] operates year-round exclusively at the Port of Tremestieri (MTR), transporting goods and passengers with cars on board, except during the periods of closure of the Port due to the well-known problems of siltation or in the summer period […], during which it operates at the Historic Port of Messina (MP). […] In these latter cases, it is therefore possible to transport goods into the city center, and in this sense, it is evident that even during these periods the company transports goods and passengers with cars on board also at the historic port.” See doc. no. 49, p. 2.</w:t>
        <w:br/>
        <w:t>54 “The ticketing methods for cars have been extended, amplifying the use of online ticket purchases, promoting the purchase of tickets on the highway just before arriving at the boarding of Villa San Giovanni, and opening a new sales point near the port of Tremestieri to facilitate customers who, coming from the southern area of Messina and Sicily in general, can thus take advantage of the departures from Tremestieri avoiding urban traffic [N.d.R. emphasis added].” See Bluferries, financial statements 2019, p. 15 of the Management Report.</w:t>
      </w:r>
    </w:p>
    <w:p>
      <w:r>
        <w:rPr>
          <w:b/>
        </w:rPr>
        <w:t>[Pages 13–15]</w:t>
      </w:r>
    </w:p>
    <w:p>
      <w:r>
        <w:t>BULLETIN NO. 14 OF APRIL 19, 2022 15</w:t>
        <w:br/>
        <w:t>Table 2 - The routes on the Strait of Messina served in a free market regime by Ro/Pax ships</w:t>
        <w:br/>
        <w:t>Length</w:t>
        <w:br/>
        <w:t>Route No. Annual Trips Travel Times</w:t>
        <w:br/>
        <w:t>Operator Frequency of Trips Bidirectional (2019) (Nautical Miles)</w:t>
        <w:br/>
        <w:t>every 40 minutes from 6:00</w:t>
        <w:br/>
        <w:t>VSG-MRSF to 00:00. 20 minutes</w:t>
        <w:br/>
        <w:t>C&amp;T [20,000-30,000] 3.7</w:t>
        <w:br/>
        <w:t>(Ro/Pax) every 120 minutes from Approximately</w:t>
        <w:br/>
        <w:t>00:00 to 6:00</w:t>
        <w:br/>
        <w:t>VSG-MTR every 30 minutes or every 60</w:t>
        <w:br/>
        <w:t>35/40 minutes</w:t>
        <w:br/>
        <w:t>(C&amp;T vocation) minutes [10,000-20,000] 8.1</w:t>
        <w:br/>
        <w:t>Approximately</w:t>
        <w:br/>
        <w:t>Ro/Ro) depending on time slot</w:t>
        <w:br/>
        <w:t>every 40 minutes approximately only</w:t>
        <w:br/>
        <w:t>VSG-MP Bluferries in the summer period 30/35 minutes</w:t>
        <w:br/>
        <w:t>[8,000-9,000] 3.7</w:t>
        <w:br/>
        <w:t>(Ro/Pax) (RFI Group) (in the winter period 8 Approximately</w:t>
        <w:br/>
        <w:t>daily trips55)</w:t>
        <w:br/>
        <w:t>VSG-MTR</w:t>
        <w:br/>
        <w:t>Bluferries 45 minutes</w:t>
        <w:br/>
        <w:t>(C&amp;T vocation) every 60 minutes approximately [10,000-20,000] 8.1</w:t>
        <w:br/>
        <w:t>(RFI Group) Approximately</w:t>
        <w:br/>
        <w:t>Ro/Ro)</w:t>
        <w:br/>
        <w:t>RC-MTR</w:t>
        <w:br/>
        <w:t>Meridiano every 120 minutes from 40 minutes</w:t>
        <w:br/>
        <w:t>(C&amp;T vocation) [7,000-8,000] 5.94</w:t>
        <w:br/>
        <w:t>Lines Ro/Ro) Approximately</w:t>
        <w:br/>
        <w:t>RC-MP Operated if necessary</w:t>
        <w:br/>
        <w:t>Meridiano 60 minutes</w:t>
        <w:br/>
        <w:t>(C&amp;T vocation) in case of unavailability ND N.D.</w:t>
        <w:br/>
        <w:t>Lines Approximately</w:t>
        <w:br/>
        <w:t>Ro/Ro) of the MTR landing</w:t>
        <w:br/>
        <w:t>NOTE - the figure does not include the routes activated following the recent tender issued by the AdSP which has guaranteed access to MRSF also to operators other than C&amp;T</w:t>
        <w:br/>
        <w:t>Source: AdSP data (doc. no. 23 and related attachments)</w:t>
        <w:br/>
        <w:t>35. Considering the port of Tremestieri (MTR), it is still C&amp;T that offers the service with the highest frequencies and annual trips, although the difference compared to other competing operators is less pronounced. In 2019, on the VSG-MTR route, C&amp;T made almost [10,000-20,000] annual trips dedicated to freight transport, Bluferries (VSG-MTR) about [10,000-20,000], and finally, Meridiano about [7,000-8,000].</w:t>
        <w:br/>
        <w:t>36. As briefly mentioned, traffic on the Strait of Messina is characterized by the seasonality of flows. In fact, during the summer period, tourist traffic adds to local traffic, generating a particular increase in the demand for the transport of private vehicles and, in particular, cars.</w:t>
        <w:br/>
        <w:t>55 See docs. no. 24, 28 and related attachments.</w:t>
      </w:r>
    </w:p>
    <w:p>
      <w:r>
        <w:t>16 BULLETIN NO. 14 OF APRIL 19, 2022</w:t>
        <w:br/>
        <w:t>At the seasonal peak, C&amp;T56 and Bluferries57 modify the use of their fleet on the served routes, reducing the number of trips/frequencies on Tremestieri to increase those that intercept passenger traffic with cars at the city center ports, namely MRSF and MP. This implies that on the Strait of Messina there is a reduction in trips/frequencies dedicated to freight accompanied by a simultaneous and proportional increase in trips on the routes that transport both passengers and freight58.</w:t>
        <w:br/>
        <w:t>37. Such seasonal reallocation of the naval fleet is particularly economically efficient as, with the same number of ships, the increase in mixed trips (passengers and freight) can better satisfy the transport demand generated by both passengers and freight and, at the same time, reduces the costs for carriers, who can better utilize the loading capacity of the ships59.</w:t>
        <w:br/>
        <w:t>38. The data regarding the number of monthly trips made by each operator on the different routes, illustrated in Figure 2 (infra), confirm this strategy. Specifically, for each route operated by C&amp;T (VSG-MRSF and VSG-MTR) and Bluferries (VSG-MP and VSG-MTR), the percentage of trips made in each month compared to the total annual trips for the individual routes was calculated. As the data shows, in order to intercept the seasonal peak of passenger traffic, during the summer months there is an increase in trips on the VSG-MRSF and VSG-MP routes, corresponding to a decrease in trips on VSG-MTR.</w:t>
        <w:br/>
        <w:t>56 C&amp;T illustrates that “[...] during the summer period, trips on the VSG-RSF, being the shortest route, are increased by also shifting those of the VSG-TREM route to cope with the increase in traffic and avoid delays and saturation of the landings on both the Calabrian and Sicilian sides; especially at these times, the transport of commercial vehicles is distributed across the two routes to ensure the efficiency of the ferry service and the best operation of the landings” - See doc. no. 45, 46, pp. 3, 4.</w:t>
        <w:br/>
        <w:t>57 See doc. 28 and related attachments.</w:t>
        <w:br/>
        <w:t>58 See, in this regard, the minutes of the C&amp;T hearing of October 19, 2020 (doc. no. 34, annex 1, p. 4): “[...] C&amp;T always operates 30 trips a day on the Messina RSF/Villa San Giovanni (and the same on the reverse route), with an increase in frequency during peak periods (daytime trips have nearly doubled in the summer months, being spaced 20 minutes apart)”.</w:t>
        <w:br/>
        <w:t>Bluferries regarding the car segment states: “[N] in 2019, a slight increase in the ship offer for the segment [cars] was made. This increase was realized in the low season through a partially dedicated offer for the segment on the Messina Villa S. Giovanni route, with some daily trips during peak demand times. Obviously, in the high season, and therefore with reference not only to local traffic but especially to tourist/seasonal traffic, the Company has provided to offer the maximum loading bridge capacity, which compared to previous years has been wider following the operation of the new ship Trinacria. [N.d.R. underline added]”. See Bluferries, financial statements 2019, p. 14 of the Management Report.</w:t>
        <w:br/>
        <w:t>59 To provide a simple illustrative example, if C&amp;T with a mixed trip on the VSG-MRSF route manages to embark simultaneously ‘X’ passengers with cars and ‘Y’ trucks, it will benefit from significant cost savings compared to the possibility of having to make two trips, one to transport ‘X’ passengers with cars on the VSG-MRSF and the other for the transport of ‘Y’ trucks on the VSG-MTR, each with partially unused hold capacity.</w:t>
      </w:r>
    </w:p>
    <w:p>
      <w:r>
        <w:t>BULLETIN NO. 14 OF APRIL 19, 2022 17</w:t>
        <w:br/>
        <w:t>Figure 2 – Monthly distribution of the number of annual trips on individual routes (2019) served by C&amp;T and Bluferries</w:t>
        <w:br/>
        <w:t>Source: AGCM processing on AdSP data (doc. no. 23 and related attachments)</w:t>
        <w:br/>
        <w:t xml:space="preserve">39. In light of the high traffic that characterizes the area of the Strait of Messina, the aforementioned study by MIMS highlights, however, the presence of numerous critical issues both from an infrastructural perspective and in terms of transport services (the latter mainly regarding train transport on ships). </w:t>
        <w:br/>
        <w:t>In particular, with reference to infrastructural deficiencies, the analyses conducted by the Ministry specifically regarding the Strait of Messina highlight: i) the low quality of passenger terminals (pre-boarding, boarding, and ticketing); ii) the low accessibility of railway stations and maritime terminals (mixed use of urban roadways); iii) the inadequacy of the number/quality of landings (which does not allow for real competition in the market of multiple operators); iv) a low resilience of the system to peak phenomena (congestion on local access roads to the port).</w:t>
        <w:br/>
        <w:t>In light of the scarcity and inadequacy of landings, the MIMS study notes, among other things, the need for enhancement and redevelopment of landings and maritime stations, both regarding freight transport (construction of a third slipway at the MTR landing) and</w:t>
      </w:r>
    </w:p>
    <w:p>
      <w:r>
        <w:rPr>
          <w:b/>
        </w:rPr>
        <w:t>[Pages 16–18]</w:t>
      </w:r>
    </w:p>
    <w:p>
      <w:r>
        <w:t>18 BULLETIN NO. 14 OF APRIL 19, 2022</w:t>
        <w:br/>
        <w:t>with regard to passenger transport (reorganization of the Messina maritime station and reorganization and construction of new moorings at VSG)60.</w:t>
        <w:br/>
        <w:t>II.1.3 The market positioning of operators active in the Strait of Messina</w:t>
        <w:br/>
        <w:t>40. The data transmitted by the Port Authority, reported in Table 3 (infra) concerning 201961, provide detailed information regarding the individual routes of the Strait, allowing for knowledge of the number of trips made, the number of passengers, the number of vehicles, the number of heavy vehicles, and the quantity of goods transported for each carrier.</w:t>
        <w:br/>
        <w:t>Table 3 – Market shares in the Strait of Messina (2019)</w:t>
        <w:br/>
        <w:t>N. Vehicles Goods</w:t>
        <w:br/>
        <w:t>Type Route Operator Route (A/R) N. Trips % % % N. Cars % N. Passengers %</w:t>
        <w:br/>
        <w:t>Heavy (*) (Tons.)</w:t>
        <w:br/>
        <w:t>[20,000- [200,000- [1,000,000- [1,000,000- [8,000,000-</w:t>
        <w:br/>
        <w:t>Ro/Pax C&amp;T VSG-MRSF [30-35%] [30-35%] [30-35%] [90-95%] [75-80%]</w:t>
        <w:br/>
        <w:t>30,000] 300,000] 2,000,000] 2,000,000] 9,000,000]</w:t>
        <w:br/>
        <w:t>[10,000- [200,000- [1,000,000- [300,000-</w:t>
        <w:br/>
        <w:t>Ro/Ro C&amp;T VSG-MTR [15-20%] [25-30%] [25-30%] [200-300] [&lt;1%] [1-5%]</w:t>
        <w:br/>
        <w:t>20,000] 300,000] 2,000,000] 400,000]</w:t>
        <w:br/>
        <w:t>[7,000- [90,000- [600,000- [8,000- [100,000-</w:t>
        <w:br/>
        <w:t>Ro/Ro Meridiano RC-MTR [5-10%] [10-15%] [10-15%] [&lt;1%] [1-5%]</w:t>
        <w:br/>
        <w:t>8,000] 100,000] 700,000] 9,000] 200,000]</w:t>
        <w:br/>
        <w:t>[10,000- [100,000- [700,000- [10,000- [100,000-</w:t>
        <w:br/>
        <w:t>Ro/Ro Bluferries VSG-MTR [10-15%] [10-15%] [10-15%] [1-5%] [1-5%]</w:t>
        <w:br/>
        <w:t>20,000] 200,000] 800,000] 20,000] 200,000]</w:t>
        <w:br/>
        <w:t>[8,000- [40.00- [300,000- [80,000- [300,000-</w:t>
        <w:br/>
        <w:t>Ro/Pax Bluferries VSG-MP [5-10%] [5-10%] [5-10%] [1-5%] [5-10%]</w:t>
        <w:br/>
        <w:t>9,000] 50,000] 400,000] 90,000] 400,000]</w:t>
        <w:br/>
        <w:t>[8,000- [60,000- [400,000- [500,000-</w:t>
        <w:br/>
        <w:t>Nave&amp;Treno R.F.I. VSG-MP [5-10%] [5-10%] [5-10%] N.A. N.A. [5-10%]</w:t>
        <w:br/>
        <w:t>9,000] 70,000] 500,000] 600,000]</w:t>
        <w:br/>
        <w:t>[6,000- [300,000-</w:t>
        <w:br/>
        <w:t>Aliscafo Blujet VSG-MP [5-10%] N.A. N.A. N.A. N.A. N.A. N.A. [1-5%]</w:t>
        <w:br/>
        <w:t>7,000] 400,000]</w:t>
        <w:br/>
        <w:t>[8,000- [600,000-</w:t>
        <w:br/>
        <w:t>Aliscafo Blujet RC-MP [5-10%] N.A. N.A. N.A. N.A. N.A. N.A. [5-10%]</w:t>
        <w:br/>
        <w:t>9,000] 700,000]</w:t>
        <w:br/>
        <w:t>[90,000- [800,000- 5,000,000- [1,000,000- [10,000,000-</w:t>
        <w:br/>
        <w:t>TOTAL 100% 100% 100% 100% 100%</w:t>
        <w:br/>
        <w:t>100,000] 900,000] 6,000,000] 2,000,000] 11,000,000]</w:t>
        <w:br/>
        <w:t>(*) the heavy vehicles loaded by RFI are railway cars and/or tankers</w:t>
        <w:br/>
        <w:t>N.A. – not applicable as the carriers only transport passengers</w:t>
        <w:br/>
        <w:t>Source: AGCM processing on AdSP data (doc. n. 4, 23, 62, 63 and related attachments)</w:t>
        <w:br/>
        <w:t>41. These numerical evidences show, first of all, how the services instrumental to territorial continuity provided by RFI ships and Blu Jet hydrofoils capture an overall residual share of traffic in the Strait: about [10-15%] of total passengers and [5-10%] of goods (tons) traveling on RFI's cars and/or tankers62.</w:t>
        <w:br/>
        <w:t>42. Conversely, the free market services intercept the vast majority of the overall traffic volumes. On the VSG-MRSF route, operated by C&amp;T, approximately [20,000-30,000] annual trips were recorded in 2019 (about [40-50] pairs of trips per day63), over [8-9] million passengers, with about [1-2] million vehicles accompanying them (about [4,000-5,000] cars per day). The traffic of heavy vehicles amounts to about [200,000-300,000] annual units (about [700-800] trucks per day), corresponding to about [1-2] million tons of goods.</w:t>
        <w:br/>
        <w:t>43. Following is the VSG-MTR, also served by C&amp;T, with about [10,000-20,000] trips made in 2019 (about [20-30] pairs of trips per day), totaling about [300,000-400,000] passengers, a number of cars lower than [200-300] units (less than 1 car per day) and about [200,000-300,000]64 heavy vehicles (about [600-700] trucks per day) with about [1-2] million tons.</w:t>
        <w:br/>
        <w:t>44. In terms of traffic shares of passengers and cars, therefore, the VSG-MRSF operated by C&amp;T, also thanks to the direct connection with the E45 motorway, is by far the most frequented: in 2019, [75-80%] of passengers who crossed the Strait chose this route, while, considering the number of cars, the percentage rises to [90-95%].</w:t>
        <w:br/>
        <w:t>45. The other carriers active in the Strait present traffic volumes of passengers and cars that are significantly lower. In fact, C&amp;T's main competitor is Bluferries, active on the VSG-MP routes ([1-5%] of passengers and [1-5%] of private vehicles) and VSG-MTR ([1-5%] for passengers and [1-5%] of private vehicles). Overall, the routes served by Bluferries (VSG-MP together with VSG-MTR) capture a traffic share of about [5-10%] compared to the number of passengers and private vehicles.</w:t>
        <w:br/>
        <w:t>Such evidences show how Bluferries is marginally active in passenger transport with accompanying cars, capturing residual traffic shares. Regarding its market positioning, Bluferries itself states: “This approach also stems from a strategic choice, to protect its core business, resulting from the analysis of its naval fleet, which consists of 4 vessels since 2019, and the volumes of goods transported that require, to offer a quality service, three ships in line to serve this business, allowing exclusively to serve one route, in the case of Bluferries, the MTR-VSG”65.</w:t>
        <w:br/>
        <w:t>46. Contrary to passenger traffic and private vehicles, the transport of goods is less polarized and more evenly distributed between the ports of MTR and MRSF (Sicilian side) and between those of RC and VSG (Calabrian side). In fact, C&amp;T registers a share of heavy vehicle traffic (and related goods) of about [30-35%] on the VSG-MRSF and about [25-30%] on the VSG-MTR ([60-65%] overall). For Bluferries, the shares for goods traffic are about [10-15%] on the VSG-MTR and [5-10%] on the VSG-MP ([20-25%] overall). Furthermore, it is worth mentioning Meridiano Lines66, which captures about [10-15%] of heavy vehicle traffic (goods).</w:t>
        <w:br/>
        <w:t>47. In conclusion, the traffic data illustrated in Table 3 (supra) show how C&amp;T enjoys absolute leadership in the Strait, transporting: about [75-80%] of passengers, [90-95%] of cars, and [60-65%] of heavy vehicles. This position is even more pronounced regarding the scheduled transport of passengers (with accompanying vehicles) and goods carried on the two bidirectional Ro/Pax routes VSG-MRSF and VSG-MP which, as will be illustrated in detail below, represent the market involved in this proceeding.</w:t>
        <w:br/>
        <w:t>II.2 The contested conduct</w:t>
        <w:br/>
        <w:t>48. The behaviors subject to verification concern the pricing policy applied by C&amp;T for the crossing of rubberized vehicles in the Strait and, in particular, the tariffs for passengers with accompanying cars who, as illustrated in section II.2.3 (supra), mainly travel on the VSG-MRSF route, as the VSG-MTR is dedicated by C&amp;T to freight traffic. At the start of the proceeding, in addition to the application of unjustifiably burdensome prices (art. 3, paragraph 1, letter a) of Law no. 287/90), a possible discriminatory profile was also hypothesized, due to the absence of price differentiation based on the number of passengers present in each vehicle transported.</w:t>
        <w:br/>
        <w:t>49. This section illustrates the factual elements instrumental for the assessment of the behaviors subject to verification. In particular, the pricing policy (section II.2.1) and the costs (section II.2.2) of C&amp;T will be illustrated. Furthermore, considering the evidentiary standards defined by jurisprudence regarding unjustifiably burdensome prices - the so-called United Brands two-stage test - the capital invested by C&amp;T will be analyzed (section II.2.3), a comparison will be made between the costs and revenues of the company (section II.2.4), and finally, the necessary elements for the assessment of the so-called fairness will be described (section II.2.5).</w:t>
        <w:br/>
        <w:t>50. Before proceeding with the factual analyses, it is appropriate to highlight how, since the beginning of 2020, the COVID-19 pandemic crisis has necessitated, both within and outside national borders, the adoption of extraordinary security measures, which have drastically reduced citizens' freedom of movement67. The passenger transport service with accompanying cars provided by C&amp;T on the VSG-MRSF route has been fully affected by the emergency measures reducing citizens' mobility. This has resulted in a significant reduction in the traffic volumes handled compared to the previous year.</w:t>
        <w:br/>
        <w:t>51. As shown in Table 4 (infra), on the VSG-MRSF route, in the face of a reduction of about [20-25%] in the annual number of trips, there has been a decrease of [40-45%] in the number of passengers, [25-30%] in the number of cars boarded, and [35-40%] in heavy vehicles. The months that experienced the most drastic decline in volumes are March (-[60-65%] for cars), April (-[90-95%] approximately for cars and commercial vehicles), May, and also June (-[40-45%] for passengers and heavy vehicles). The reductions recorded in November and December are also significant (-[50-55%] approximately for cars)68.</w:t>
        <w:br/>
        <w:t>67 During 2020, a period of absolute prohibition of circulation (periods of so-called lockdown) was followed by a period of relative freedom of movement (in the summer months) to which, however, a new and progressive tightening of emergency measures followed (last quarter).</w:t>
        <w:br/>
        <w:t>68 No particular decrease in volumes was recorded on the VSG-MTR: the -[5-10%] in terms of the number of trips was compensated by a +[5-10%] of heavy vehicles. In this regard, it is noted that this route is used by C&amp;T solely for freight transport, a sector that has benefited from specific exemptions from emergency measures. Regarding the increase in the number of cars transported on this route (+[90-95%]), it is worth highlighting that this jump is merely a numerical effect: in 2019, the cars on this route totaled [200-300] (less than one per day); in 2020, [500-600] cars in total ([1-2] per day). In summary, it is worth highlighting that if between 2019 and 2020 the traffic of cars increased by [300-400] units</w:t>
      </w:r>
    </w:p>
    <w:p>
      <w:r>
        <w:rPr>
          <w:b/>
        </w:rPr>
        <w:t>[Pages 19–21]</w:t>
      </w:r>
    </w:p>
    <w:p>
      <w:r>
        <w:t>BULLETIN NO. 14 OF APRIL 19, 2022 21</w:t>
        <w:br/>
        <w:t>The reduction in passengers has translated into a decrease in revenues for C&amp;T: -[25-30%] on the VSG-MRSF, dropping from [70-80] million euros in 2019 to [50-60] million in 202069.</w:t>
        <w:br/>
        <w:t>Table 4 – Percentage change in C&amp;T traffic in 2020 compared to 2019</w:t>
        <w:br/>
        <w:t>VSG-MRSF VSG-MTR</w:t>
        <w:br/>
        <w:t>No. Vehicles No. Vehicles</w:t>
        <w:br/>
        <w:t>Month No. Trips No. Cars No. Passengers No. Trips No. Cars No. Passengers</w:t>
        <w:br/>
        <w:t>Heavy Heavy</w:t>
        <w:br/>
        <w:t>Jan [1-5%] -[5-10%] [5-10%] [1-5%] -[5-10%] [1-5%] [&lt;1%] -[5-10%]</w:t>
        <w:br/>
        <w:t>Feb [10-15%] -[1-5%] [5-10%] [1-5%] -[5-10%] [1-5%] [35-40%] -[10-15%]</w:t>
        <w:br/>
        <w:t>Mar -[15-20%] -[40-45%] -[60-65%] -[70-75%] -[35-40%] -[25-30%] [100-150%] -[35-40%]</w:t>
        <w:br/>
        <w:t>Apr -[75-80%] -[90-95%] -[90-95%] -[95-100%] -[10-15%] -[1-5%] [500-550%] -[10-15%]</w:t>
        <w:br/>
        <w:t>May -[75-80%] -[85-90%] -[70-75%] -[85-90%] [5-10%] [20-25%] [600-650%] [5-10%]</w:t>
        <w:br/>
        <w:t>Jun -[20-25%] -[40-45%] -[10-15%] -[35-40%] [5-10%] [10-15%] [150-200%] -[10-15%]</w:t>
        <w:br/>
        <w:t>Jul -[10-15%] -[30-35%] -[5-10%] -[30-35%] [10-15%] [20-25%] [20-25%] [&lt;1%]</w:t>
        <w:br/>
        <w:t>Aug -[5-10%] -[15-20%] -[1-5%] -[15-20%] -[5-10%] [5-10%] -[35-40%] -[5-10%]</w:t>
        <w:br/>
        <w:t>Sep -[10-15%] -[15-20%] -[5-10%] -[25-30%] -[5-10%] [5-10%] -[40-45%] -[20-25%]</w:t>
        <w:br/>
        <w:t>Oct -[15-20%] -[10-15%] -[5-10%] -[30-35%] -[10-15%] -[1-5%] -[75-80%] -[10-15%]</w:t>
        <w:br/>
        <w:t>Nov -[30-35%] -[35-40%] -[50-55%] -[60-65%] [15-20%] [65-70%] -[15-20%] [5-10%]</w:t>
        <w:br/>
        <w:t>Dec -[25-30%] -[15-20%] -[50-55%] -[60-65%] -[5-10%] -[25-30%] [5-10%] -[1-5%]</w:t>
        <w:br/>
        <w:t>TOTAL -[20-25%] -[35-40%] -[25-30%] -[40-45%] -[5-10%] [5-10%] [90-95%] -[10-15%]</w:t>
        <w:br/>
        <w:t>Source: AGCM processing on AdSP data (docs. no. 23, 62, 63 and related attachments)</w:t>
        <w:br/>
        <w:t>52. In light of the significant reduction in the number of passengers with cars on the VSG-MRSF, it is believed that 2020 cannot provide reliable/appropriate information for the analysis of the excessive burden of the prices applied by C&amp;T. In fact, that year was affected by an intense exogenous demand shock that altered the normal market dynamics in the Strait area, impacting C&amp;T's revenues and costs in a way that is independent of the company's own behavior. Furthermore, the conduct subject to this proceeding was not defined by C&amp;T concurrently, during and/or in response to the pandemic crisis, but rather before the health emergency period.</w:t>
        <w:br/>
        <w:t>53. Similar considerations apply to 2021, as only close to the second half of the year did the emergency measures limiting mobility gradually ease. In particular, in the months of April, May, and June, regulatory interventions were defined that gradually mitigated the restrictions on citizens' mobility70. This implies that, even in the year on the VSG-MTR, on the VSG-MRSF, it decreased by about [400,000-500,000] units, dropping from [1-2] million cars in 2019 to about [1-2] million in 2020.</w:t>
        <w:br/>
        <w:t>69 On the VSG-MTR, which is only involved in freight transport, revenues remained constant at around [20-30] million euros. See doc. no. 60 and related attachments.</w:t>
        <w:br/>
        <w:t>70 See D.L. April 22, 2021, no. 52, so-called 'Decree of Reopenings', containing urgent measures for the gradual resumption of economic and social activities in compliance with the containment needs of the spread of the COVID-19 epidemic, converted</w:t>
      </w:r>
    </w:p>
    <w:p>
      <w:r>
        <w:t>22 BULLETIN NO. 14 OF APRIL 19, 2022</w:t>
        <w:br/>
        <w:t>2021 saw the normal passenger flows altered and, consequently, does not represent an appropriate time period for making competitive assessments regarding the excessive burden of C&amp;T's tariffs.</w:t>
        <w:br/>
        <w:t>II.2.1 The tariffs applied to passenger traffic with accompanying cars</w:t>
        <w:br/>
        <w:t>54. Passengers with private vehicles mainly travel on the Messina Rada San Francesco (MRSF) and Messina Porto (MP) routes. The Tremestieri landing is dedicated to freight traffic and, therefore, the transport of private vehicles on that route appears to be entirely residual: less than one private vehicle per day (on average) for C&amp;T, compared to over [4,000-5,000] transported daily on the VSG-MRSF; about [50-60] private vehicles per day (on average) for Bluferries, compared to [200-300] vehicles daily on the VSG-MP.</w:t>
        <w:br/>
        <w:t>55. The prices applied by C&amp;T and Bluferries for their passenger transport services with accompanying cars, illustrated in Table 5, are characterized by the same structure and, in particular: 1) they provide for the same fare for the two routes served by each operator; 2) the fare is the same up to a maximum of 5 passengers per vehicle boarded; 3) there are 4 different fare options that provide for different time constraints for making the 'Round Trip' (A/R).</w:t>
        <w:br/>
        <w:t>56. The list prices applied by C&amp;T to passengers with accompanying vehicles appear to be higher than those requested by Bluferries as, considering the single trip/route, the fares applied by C&amp;T are 39 euros ('One Way'), 20 euros ('A/R 1 day'), 23 euros ('A/R 3 days'), 38.5 euros ('A/R 90 days'). For Bluferries, they are 33 euros ('One Way'), 16.5 euros ('A/R 1 day'), 18.5 euros ('A/R 3 days'), and 32.5 euros ('A/R 60 days').</w:t>
        <w:br/>
        <w:t>Table 5 – Tariffs applied to passengers with accompanying vehicles</w:t>
        <w:br/>
        <w:t>A/R within 90 days for C&amp;T</w:t>
        <w:br/>
        <w:t>A/R on the same day A/R within 3 days</w:t>
        <w:br/>
        <w:t>A/R within 60 days for Bluferries</w:t>
        <w:br/>
        <w:t>Single Cost Total Cost Single Trip</w:t>
        <w:br/>
        <w:t>Carrier Routes One Way Total Trip Total Trip</w:t>
        <w:br/>
        <w:t>VSG-MRSF</w:t>
        <w:br/>
        <w:t>C&amp;T 39 40 20 46 23 77 38.5</w:t>
        <w:br/>
        <w:t>VSG-MTR</w:t>
        <w:br/>
        <w:t>VSG-MP</w:t>
        <w:br/>
        <w:t>Bluferries 33 33 16.5 37 18.5 65 32.5</w:t>
        <w:br/>
        <w:t>VSG-MTR</w:t>
        <w:br/>
        <w:t>Source: publicly accessible price lists</w:t>
        <w:br/>
        <w:t>57. The investigative activity carried out allows for going beyond the mere comparison of the list prices applied by the operators, enabling the comparison of the average price actually paid by consumers who choose C&amp;T or Bluferries. In fact, the carriers offer 4 different types of tickets (4 different fares) that users are free to choose based on their travel needs. For example, the elements in the file show that for C&amp;T, [70-75%] of the tickets sold are of the type 'Round Trip' and only the remaining [20-25%] are tickets for the single trip71. Therefore, as shown in Table 6 (infra), based on such evidence, it was possible to calculate the weighted average price concerning the type of ticket actually sold: One Way, A/R on the same day, A/R within 3 days, A/R within 90/60 days.</w:t>
        <w:br/>
        <w:t>The results show that, in 2020 (first half) and 2019, the weighted average price of C&amp;T is similar to that of Bluferries, standing at about [less than 28.2] euros per trip. In previous years, the average price of Bluferries is also higher than that of C&amp;T.</w:t>
        <w:br/>
        <w:t>Table 6 – Weighted average prices by type of ticket sold (average price in euros per single trip, passengers with accompanying vehicles)</w:t>
        <w:br/>
        <w:t>2020(*) 2019 2018 2017</w:t>
        <w:br/>
        <w:t>C&amp;T [&lt;28.2] [&gt;28.2] [&lt;28.2] [&lt;28.2]</w:t>
        <w:br/>
        <w:t>Bluferries [&gt;28.2] [&lt;28.2] [&gt;28.2] [&gt;28.2]</w:t>
        <w:br/>
        <w:t>(*) for C&amp;T, the weighted average price for 2020 considers only the first half</w:t>
        <w:br/>
        <w:t>Source: AGCM processing on C&amp;T and Bluferries data (docs. no. 39, 49 and related attachments)</w:t>
        <w:br/>
        <w:t>58. As highlighted above, the tariffs applied by C&amp;T (and Bluferries) are defined concerning the single vehicle, up to a maximum of 5 passengers per vehicle. This means that a single traveler with an accompanying car will pay the same price applied to a car traveling with 2, 3, 4, or 5 passengers.</w:t>
        <w:br/>
        <w:t>59. In this regard, it is noted that the application of a price defined on the single vehicle, including the passengers transported therein and independent of their number, is a common practice in the sector: in fact, what occupies space in ferry transport is the vehicle, not the passengers seated inside72. For example, Forsea/Scandilines (route Helsingor-Helsinborg) and TESO (route Den Helder-Texel) apply a price per single vehicle including a maximum number of passengers equal to 973.</w:t>
        <w:br/>
        <w:t>60. According to C&amp;T, the choice not to consider the number of passengers transported with the same vehicle, applying the same price for vehicles carrying from 1 to 5 passengers, would be dictated by logistical needs and the acceleration of traffic at boarding. In fact, the counting of</w:t>
      </w:r>
    </w:p>
    <w:p>
      <w:r>
        <w:t>71 It is important to highlight that a ticket of the type 'A/R' contains 2 distinct travel titles, namely the outbound and return tickets. Therefore, the number of 'A/R' tickets should be doubled in order to appropriately account for the different travel titles. That said, the travel titles sold by C&amp;T are as follows: in 2017, [400,000-500,000] 'One Way', [400,000-500,000] 'A/R 1 day', [500,000-600,000] 'A/R 3 days', [300,000-400,000] 'A/R 90 days'; in 2018, [400,000-500,000] 'One Way', [400,000-500,000] 'A/R 1 day', [500,000-600,000] 'A/R 3 days', [300,000-400,000] 'A/R 90 days'; in 2019, [400,000-500,000] 'One Way', [400,000-500,000] 'A/R 1 day', [500,000-600,000] 'A/R 3 days', [300,000-400,000] 'A/R 90 days'. See doc. no. 39 and related attachments.</w:t>
        <w:br/>
        <w:t>72 This factual circumstance is confirmed by the similar pricing policy adopted by Bluferries for the ferry transport on the VSG-MP route and by other carriers on both Italian and foreign routes. In this regard, reference is made to the data reported in the benchmarking study produced by C&amp;T (doc. no. 39.1).</w:t>
        <w:br/>
        <w:t>73 See, in this regard, the websites of the carriers:</w:t>
        <w:br/>
        <w:t>https://www.forseaferries.com</w:t>
        <w:br/>
        <w:t>https://www.teso.nl/en/about-tickets/rates-vehicles/</w:t>
      </w:r>
    </w:p>
    <w:p>
      <w:r>
        <w:rPr>
          <w:b/>
        </w:rPr>
        <w:t>[Pages 22–24]</w:t>
      </w:r>
    </w:p>
    <w:p>
      <w:r>
        <w:t>24 BULLETIN NO. 14 OF APRIL 19, 2022</w:t>
        <w:br/>
        <w:t>the number of passengers present in each vehicle would significantly slow down boarding times, with timings incompatible with the traffic volumes during peak periods74.</w:t>
        <w:br/>
        <w:t>61. In order to verify how widespread the presence of single passengers with vehicles on board is on the routes of interest for this investigation, specific data regarding the average number of passengers traveling in vehicles boarded by C&amp;T has been acquired. According to the data provided by the Party, the number of passengers present per single private vehicle boarded by C&amp;T on the VSG-MRSF route is, on average, about [2-4] passengers per car75. The data, available on a monthly basis, show that the minimum average number of passengers is about [less than 3] passengers during low season months, rising to [more than 3] during high season months (July and August). From this evidence, it emerges that, on the route of interest, there is no significant presence of cars with a single traveler, as the passengers on board the vehicles boarded are at least [less than 3] while, on an annual average, they are [2-4].</w:t>
        <w:br/>
        <w:t>II.2.2 C&amp;T's costs</w:t>
        <w:br/>
        <w:t>62. During the proceedings, the Party was asked to provide the accounting related to the ferry services carried out in the Strait, distinguishing the revenue and cost items for the two operated routes (VSG-MRSF and VSG-MTR) and, furthermore, with reference to the mixed route VSG-MRSF, identifying the costs and revenues attributable respectively to the passenger and freight segments. In this regard, C&amp;T clarified that “[...] it does not have separate accounting for each route or for the type of ferry service provided, also because [...] the services rendered (both in terms of routes and types of transported traffic) are largely characterized by the presence of common costs for both operated routes”76. In fact, the company continues: “[...] the business model through which C&amp;T operates in the Strait is a unitary model (and not for separate lines of business), as the two routes of VSG-MRSF and VSG-MTR are managed through the use of essentially the same assets (fleet and personnel), offering an organic service, both for passenger transport [...] and for freight transport [...]”77.</w:t>
        <w:br/>
        <w:t>63. Following these general premises, the Party has nonetheless provided, in addition to the details of the revenues generated on the various routes and market segments (passengers and freight), also its accounting78. The main cost items identified by C&amp;T are as follows:</w:t>
        <w:br/>
        <w:t>- navigation costs, which include expenses related to maritime personnel, purchases net of inventories, ship rental, public concession fees, various charges, maintenance, fleet insurance, ticketing services, and fleet depreciation;</w:t>
        <w:br/>
        <w:t>- indirect costs, related to administrative personnel and general expenses;</w:t>
        <w:br/>
        <w:t>74 Minutes of the hearing of October 19, 2020 (doc. n. 34).</w:t>
        <w:br/>
        <w:t>75 Annual average calculated on monthly data weighted by the total number of passengers boarded in each month. In particular, in 2017, the average number of passengers per vehicle boarded was [2-4] ([less than 3] passengers in September – minimum value - and [more than 3] in August – maximum value). In 2018, the average number of passengers per vehicle boarded was [2-4] ([less than 3] passengers in February – minimum value - and [more than 3] in August – maximum value). Finally, in 2019, the average number of passengers per vehicle boarded was [2-4] ([less than 3] passengers in March – minimum value - and [more than 3] in August – maximum value).</w:t>
        <w:br/>
        <w:t>76 See doc. n. 45, p. 2.</w:t>
        <w:br/>
        <w:t>77 See doc. n. 45, p. 3.</w:t>
        <w:br/>
        <w:t>78 See docs. n. 13, 20, 24, 37, 39, 45, 46, 60 and related attachments.</w:t>
      </w:r>
    </w:p>
    <w:p>
      <w:r>
        <w:t>BULLETIN NO. 14 OF APRIL 19, 2022 25</w:t>
        <w:br/>
        <w:t>- other revenues and costs, regarding which the company does not provide specific details.</w:t>
        <w:br/>
        <w:t>64. In 2019, C&amp;T recorded total costs on the VSG-MRSF and VSG-MTR routes amounting to approximately [70-80] million euros. Of these, approximately [40-50] million euros ([65-70%] of total costs) are attributable solely to navigation costs. The main navigation costs pertain to maritime personnel (approximately [10-20] million euros), fleet maintenance ([9-10] million euros), purchases ([7-8] million euros), various charges ([6-7] million euros), and finally, depreciation ([3-4] million euros). These are therefore all costs attributable to the operation of the ships, that is, costs closely related to the transport capacity of passengers and freight via ships.</w:t>
        <w:br/>
        <w:t>65. Indirect costs, amounting to approximately [20-30] million euros (about [30-35%] of total costs), refer to administrative personnel (approximately [10-20] million euros) and other general expenses ([6-7] million euros), thus being attributable to the general management needs of the company, rather than being directly linked to port operations. Finally, approximately [1-2] million euros ([1-5%] of total costs) are classified under the item 'other costs', which includes rentals, sponsorships, non-recurring expenses, etc.</w:t>
        <w:br/>
        <w:t>66. The cost items described above have been allocated by C&amp;T to the VSG-MRSF and VSG-MTR routes using various cost drivers. For example, C&amp;T considered the days of use of each ship on the individual routes and subsequently identified the specific costs of each route (port costs, public concession fees, etc.). However, as emphasized by the company itself, most costs are common to both served routes and, consequently, C&amp;T allocated these expenses using additional variables, namely the production value (revenues), the miles traveled (the VSG-MRSF has a shorter distance compared to the VSG-MTR), the number of trips made (due to the different length, a greater number of daily trips is made on the VSG-MRSF compared to the VSG-MTR), traffic volumes.</w:t>
        <w:br/>
        <w:t>67. While the criteria used to allocate costs between the different routes appear clear, at least in principle, the same cannot be said for the criteria used to distribute the costs related to the VSG-MRSF route between the passenger segment and the freight segment on the route. In fact, net of the production value (revenues), the cost drivers considered by C&amp;T appear suitable for identifying costs related to different routes, but not for identifying costs attributable to two distinct demand segments boarded on the same ship.</w:t>
        <w:br/>
        <w:t>68. Table 7 (infra) shows, for 2019, the allocation of revenues and costs proposed by C&amp;T, indicating the percentage incidence of individual items compared to the overall values of the entire Strait area, which includes the VSG-MRSF and VSG-MTR routes. These numbers show how, in light of considerable revenues from freight traffic on the VSG-MRSF ([15-20%] of the total revenues generated in the Strait), the costs attributed to this segment are negligible, especially when compared to the analogous costs incurred on the VSG-MTR, dedicated solely to commercial transport.</w:t>
        <w:br/>
        <w:t>69. For example, considering the item 'Navigation Costs', they account for [35-40%] of the total costs in the Strait for the freight route serving Tremestieri, while, for the analogous segment serving Rada San Francesco, these costs account for less than [1-5%]. Similar evidence, although of less significant magnitude, can also be found in the item 'Indirect Costs' ([10-15%] of the total for the freight segment of the VSG-MRSF and [20-25%] for the VSG-MTR).</w:t>
      </w:r>
    </w:p>
    <w:p>
      <w:r>
        <w:t>26 BULLETIN NO. 14 OF APRIL 19, 2022</w:t>
        <w:br/>
        <w:t>Table 7 – Allocation of costs proposed by C&amp;T (2019)</w:t>
        <w:br/>
        <w:t>Source: elaborations on data provided by C&amp;T (doc. n. 45 and attachments). Similar results are also obtained considering the last adjustment transmitted by the Party – doc. 67 and attachments)</w:t>
        <w:br/>
        <w:t>70. Delving into the details of navigation costs, consider the expenses related to 'maritime personnel' (navigation costs), which amount to approximately [20-30] million euros in total. The VSG-MTR freight route is attributed approximately [35-40%] of these expenses, while for freight on the VSG-MRSF, these costs are zero, as they are all allocated to the passenger segment. The same applies to 'purchases' and fleet depreciation. For 'various charges' and 'maintenance', the costs attributed to freight traveling on VSG-MRSF appear minimal when compared to those characterizing the commercial route VSG-MTR.</w:t>
        <w:br/>
        <w:t>71. The allocation of costs between the passenger segment and the freight segment on the bidirectional VSG-MRSF route proposed by C&amp;T appears scarcely credible, as it seems to be based on the unverified assumption that freight traffic on the route of interest is entirely residual, aimed solely at marginally improving the load factor of the ships.</w:t>
      </w:r>
    </w:p>
    <w:p>
      <w:r>
        <w:rPr>
          <w:b/>
        </w:rPr>
        <w:t>[Pages 25–27]</w:t>
      </w:r>
    </w:p>
    <w:p>
      <w:r>
        <w:t>BULLETIN NO. 14 OF APRIL 19, 2022 27</w:t>
        <w:br/>
        <w:t>On this point, C&amp;T has repeatedly emphasized the marginality of the freight traffic on the VSG-MRSF route: "At the boarding area of VSG, a control tower operates through which C&amp;T efficiently monitors the traffic flows detected in real-time, deploying the fleet to the various ports of arrival; considering that Tremestieri may sometimes not be able to accommodate the entirety of the truck traffic or in cases of exceptional congestion at the VSG landing, part of the heavy traffic may be residual directed to MRSF"79. In confirmation of this approach, in its final briefs, C&amp;T defined the proposed allocation as 'incremental cost', that is: "[...] C&amp;T has identified the costs related solely to the passenger transport service by applying a notion of 'incremental cost', thus considering all costs that it could not avoid incurring to offer only passenger transport on that route, net of costs strictly related to freight transport alone. By doing so, C&amp;T has attributed a minimal cost share to freight transport on the VSG-MRSF route, which reflects the marginal relevance of this market segment on this route"80.</w:t>
        <w:br/>
        <w:t>72. However, the evidence in the investigation file shows that the freight traffic on the VSG-MRSF route is not marginal, but structural, potentially even exceeding that recorded on the freight-only VSG-MTR81. With reference to the year 2019, the Port Authority recorded the following freight traffic data for C&amp;T: approximately [200,000-300,000] heavy vehicles transited on VSG-MTR ([100,000-200,000] approximately boarded at VSG and [100,000-200,000] approximately boarded at MTR); on VSG-MRSF approximately [200,000-300,000] trucks transited ([100,000-200,000] approximately boarded at VSG and [100,000-200,000] approximately boarded at MRSF). In summary, in the year under consideration, the number of commercial vehicles that transited for MRSF was even higher than the number of trucks that transited for Tremestieri. Additionally, further evidence from the Port Authority shows that the heavy vehicles traveling on the VSG-MRSF are entirely similar to those of the VSG-MTR82.</w:t>
        <w:br/>
        <w:t>73. Based on these elements, it is believed that the allocation of costs between the passenger and freight segments on the VSG-MRSF provided by C&amp;T (the alleged 'incremental cost') cannot be credible in any way, as it aims to attribute almost all costs to the passenger segment and, only residually, some costs to the freight segment. For these reasons, three alternative methods of cost allocation between passengers and freight on the VSG-MRSF route have been considered.</w:t>
        <w:br/>
        <w:t>74. Due to the (notable) difficulties encountered in the cost allocation activity of a company, the Court of Justice (CJEU) itself has highlighted "[...] the not insignificant and sometimes enormous difficulties involved in determining production costs, as a discretionary allocation of indirect costs and overheads is sometimes necessary, and such costs can vary significantly depending on the size of the company, its object, its complexity, its territorial scope, the uniformity or variety of products, the number of affiliates and their mutual relationships [...] [N.B. emphasis added]"83.</w:t>
        <w:br/>
        <w:t>79 See doc. no. 34.</w:t>
        <w:br/>
        <w:t>80 See doc. no. 93, p. 29.</w:t>
        <w:br/>
        <w:t>81 See docs. no. 4, 23, 62, 63 and related attachments.</w:t>
        <w:br/>
        <w:t>82 See Appendix 2, p. 5, note 9.</w:t>
        <w:br/>
        <w:t>83 See Court of Justice, C-27/76, United Brands, § 254.</w:t>
      </w:r>
    </w:p>
    <w:p>
      <w:r>
        <w:t>28 BULLETIN NO. 14 OF APRIL 19, 2022</w:t>
        <w:br/>
        <w:t>75. With specific reference to the VSG-MRSF route operated by C&amp;T, it is important to note that all costs are of a 'common' type84, as all expenses are shared between the passenger segment and the freight segment. This means that, since it is not possible to identify cost items typical of the two segments that are actually loaded simultaneously on the same ship, it is necessary to allocate all cost items between passengers and freight.</w:t>
        <w:br/>
        <w:t>76. That said, it is important to highlight that the alternative proposals for cost allocation between the passenger and freight segments on the VSG-MRSF route have been developed while leaving the cost allocation between routes proposed by the Party unchanged. In other words, the costs determined by C&amp;T for the route have been exclusively allocated between the two demand segments present on the route.</w:t>
        <w:br/>
        <w:t>77. Furthermore, it is emphasized that the drivers for cost allocation have been developed using the data and numerical evidence provided by C&amp;T itself. In particular, information concerning the revenues (production value) of the freight segment on the VSG-MRSF, the linear meters related to the vehicles transported on the route annually, as well as the number of vehicles attributable to the passenger and freight segments are used.</w:t>
        <w:br/>
        <w:t>78. The first method of cost allocation between segments on the VSG-MRSF assumes that the costs attributable to passengers and freight are proportional to the capacity (space) of the ship 'occupied' by the vehicles loaded corresponding to the passenger segment and the freight segment, respectively. In fact, it is believed that in ferry services, the space occupied by (different) vehicles belonging to the two segments represents an explanatory economic variable for the allocation of costs incurred at the route level. However, since the loaded vehicles are of different lengths, it is necessary to consider the space (linear meters) occupied by each category of vehicles rather than a mere count of them. If, for example, a commercial vehicle is twice the length of a passenger vehicle, that vehicle occupies double the space of the ship (compared to the passenger vehicle) and therefore, according to this metric, it is attributed double the navigation cost (always compared to the passenger vehicle). Conversely, if the different space occupied by the two vehicles considered in the example were not taken into account, the same navigation cost would be attributed.</w:t>
        <w:br/>
        <w:t>79. A measure of the capacity of the ship occupied by vehicles/passengers and by vehicles/freight can be provided by the value of the linear meters overall transported by C&amp;T on the VSG-MRSF route. By determining the value of the linear meters 'occupied' (on average) by the means with which passengers travel (buses and private vehicles) and by the means for freight transport, it is possible to allocate the costs (total on the two segments) between market segments in proportion to the share of linear meters occupied by each segment. To implement this methodology, data on the total linear meters transported on a given route over a given time period and the linear meters respectively 'occupied' by passenger and freight vehicles are required. The first data was provided directly by C&amp;T. The linear meters occupied by passenger and freight vehicles were estimated using annual data on the number and category of vehicles transported (cars, commercial vehicles, buses, etc.) provided by C&amp;T, as well as data on the categories of tickets sold by the Party85. Some data concerning the (average) length of the different types of vehicles are from public sources. Appendix 2, to which reference is made, illustrates in detail the methodology used to allocate costs between freight and passengers. In this regard, it is important to highlight that the linear meters occupied by buses were deemed relevant to the passenger segment, adopting, as in other cases, a cautious and favorable approach to C&amp;T86.</w:t>
        <w:br/>
        <w:t>80. Based on the elaborations carried out, it emerges that the occupied capacity (linear meters) by the passenger segment compared to the freight segment on the VSG-MRSF is as follows: [75-80%]-[20-25%] for 2019; [70-75%]-[25-30%] for 2018; [75-80%]-[20-25%] for 2017. Consequently, the costs on the VSG-MRSF route can be allocated between the two segments based on these proportions.</w:t>
        <w:br/>
        <w:t>81. The second method of cost attribution considers the circumstance that different expense items may be allocated using different drivers. Regarding navigation costs, they can be allocated between passengers and freight based on the capacity (linear meters of the ship) respectively occupied by each segment (previously illustrated methodology). Regarding indirect costs (essentially administrative personnel and overheads), it is assumed that they are directly proportional to a measure of output independent of the occupied capacity. To this end, the total number of vehicles boarded for the passenger segment and those for the freight segment, always from C&amp;T87, has been considered to approximate the number of tickets sold. As with linear meters, the number of vehicles/tickets for buses has also been attributed to the passenger segment, always from a perspective favorable to C&amp;T88.</w:t>
        <w:br/>
        <w:t>82. The elaborations carried out show that the ratio between the total costs of the passenger segment and those of the freight segment on the VSG-MRSF, based on this approach, is as follows: [80-85%]-[20-25%] for 2019; [75-80%]-[20-25%] for 2018; [80-85%]-[15-20%] for 2017 (Appendix 2).</w:t>
        <w:br/>
        <w:t>83. The last methodology considered simply measures the percentage incidence of revenues and assumes that costs follow the same proportions. In particular, in 201989, C&amp;T recorded approximately [70-75] million euros of total revenues on the VSG-MRSF route, of which approximately [55-60] million ([80-85%]) related to the passenger segment. Therefore, using this methodology, [80-85%] of the total costs on the VSG-MRSF can be deemed attributable to the passenger segment, while the remaining [20-25%] of costs is attributable to freight.</w:t>
        <w:br/>
        <w:t>85 The requests for information made to C&amp;T asked to indicate the total linear meters transported by C&amp;T on the individual routes VSG-MRSF and VSG-MTR. Further information provided indications regarding the average linear meters occupied by buses (passenger transport) and by some categories of heavy vehicles. To estimate the average linear meters occupied by heavy vehicles under 3.5 tons, public data were used. Residually, it was possible to calculate the average linear meters occupied by a car and, consequently, estimate the share of linear meters occupied, for each year, by the passenger segment (cars + buses) and by the freight segment (heavy vehicles).</w:t>
        <w:br/>
        <w:t>86 The inclusion of the linear meters occupied by buses in the passenger segment increases the costs attributable to that segment and, consequently, more favorable results for C&amp;T are obtained in terms of comparison between revenues and cost plus.</w:t>
        <w:br/>
        <w:t>87 The ratio between the number of vehicles in the passenger and freight segments is as follows: [85-90%]-[10-15%] (2019), [85-90%]-[10-15%] (2018), [90-95%]-[10-15%] (2017). For 2020, as stated, data from 2019 were used.</w:t>
        <w:br/>
        <w:t>88 The inclusion of the number of buses in the passenger segment also increases the costs attributable to that segment and, consequently, more favorable results for C&amp;T are obtained in terms of comparison between revenues and cost plus.</w:t>
        <w:br/>
        <w:t>89 For the years 2018 and 2017, the incidence of revenues from the passenger segment compared to those overall recorded on the VSG-MRSF remains at a level of approximately [80-85%].</w:t>
      </w:r>
    </w:p>
    <w:p>
      <w:r>
        <w:rPr>
          <w:b/>
        </w:rPr>
        <w:t>[Pages 28–30]</w:t>
      </w:r>
    </w:p>
    <w:p>
      <w:r>
        <w:t>30 BULLETIN NO. 14 OF APRIL 19, 2022</w:t>
        <w:br/>
        <w:t>84. The allocation of costs proportional to revenues is here hypothesized only from a perspective favorable to the Party, being based on a driver identified by C&amp;T itself (the so-called production value). In this regard, it is important to highlight that this allocation method is not reliable in itself, as it is tainted by a certain degree of endogeneity with respect to the hypothesized conduct. In fact, the case at hand assumes that the prices applied by C&amp;T to the passenger segment are excessive (compared to costs) and, consequently, that there is a possible disproportion between the costs incurred and the revenues generated. This implies, due to the problem of endogeneity of the criterion with respect to the conduct under examination, that the allocation of costs based on the revenues recorded in the demand segments leads to an overestimation of the costs attributable to the passenger segment with accompanying vehicles and thus an underestimation of the margin between revenues and costs in that segment.</w:t>
        <w:br/>
        <w:t>85. Figure 3 (infra) summarizes the results just described, indicating the share of costs attributable to the passenger and freight segments on the VSG-MRSF route, for each of the cost allocation methodologies developed as an alternative to that proposed by C&amp;T. The various methodologies used, and in particular, the one based on 'linear meters' and the so-called 'mixed' allocation, identify a share of costs attributable to the passenger segment that is included in the range [70-75%]-[80-85%] of the total costs and, by difference, that attributable to the freight segment is included in the range [15-20%]-[20-25%] of the total costs. The fact that these methodologies show results that do not significantly deviate from each other provides a significant degree of robustness to the exercise carried out (allocation of total costs on the VSG-MRSF route between passengers and freight). Furthermore, even considering the methodology most favorable to the Party, although not reliable in itself, the solidity of the estimates and results based on these is confirmed.</w:t>
      </w:r>
    </w:p>
    <w:p>
      <w:r>
        <w:t>BULLETIN NO. 14 OF APRIL 19, 2022 31</w:t>
        <w:br/>
        <w:t>Figure 3 – Summary of results concerning the allocation of costs between demand segments on the VSG-MRSF route</w:t>
        <w:br/>
        <w:t>Source: AGCM elaborations – see Appendix 2</w:t>
        <w:br/>
        <w:t>II.2.3 Return on Investment (ROI) and Invested Capital</w:t>
        <w:br/>
        <w:t>86. The comparison between navigation revenues and C&amp;T's costs on the VSG-MRSF route (section II.2.4 - infra) is carried out using the so-called cost plus methodology, corresponding to the sum of all costs incurred for the provision of the service under analysis (variable and fixed, direct and indirect) to which a fair remuneration for the business activity must be added. If this last factor were omitted from the analysis, and thus the prices were only related to the costs incurred to provide the service, the company might, for example, not be in a position to replace the assets as they are amortized and/or become obsolete.</w:t>
        <w:br/>
        <w:t>87. In the context under examination, concerning navigation services, it is believed that the remuneration for the business activity should be analyzed in relation to the investments made, consisting of the expenditure of significant resources aimed at the purchase and/or maintenance of the ships that make up the fleets of the different operators. The size and quality of the fleet on the operated routes (also Section IV.3 - infra) represent one of the main elements to consider in order to appropriately measure the economic performance of shipping companies. The ROI index, given by the ratio between operating profit (EBIT) and the investments made, measures precisely the profitability of a company in relation to the investments made90.</w:t>
        <w:br/>
        <w:t>90 The Return On Investment/profitability of invested capital (ROI) is a financial index that indicates the profitability and economic efficiency of the characteristic management regardless of the sources used: it expresses how much the invested capital yields in that company. The formula for calculating ROI is as follows: ROI=Operating Result/Total Assets Balance Sheet.</w:t>
      </w:r>
    </w:p>
    <w:p>
      <w:r>
        <w:t>32 BULLETIN NO. 14 OF APRIL 19, 2022</w:t>
        <w:br/>
        <w:t>88. The investigative activity has also confirmed that ROI represents a significant financial variable in defining the commercial and investment policies of companies operating in the shipping sector. In fact, according to C&amp;T itself, “[omissis]”91. Specifically, the ROI index provides an indication of the “[…] level of prices that a company should be able to apply in order to have the financial resources necessary to replace the assets […] that it uses to provide the service”92.</w:t>
        <w:br/>
        <w:t>89. Based on this evidence, in order to appropriately quantify the level of fair remuneration of capital to be considered in the cost plus, it is necessary to identify a level of ROI that is appropriate with respect to the sector in question and, furthermore, to know the value of the capital invested by C&amp;T. For presentation purposes, this level of ROI is defined as 'adequate ROI'.</w:t>
        <w:br/>
        <w:t>90. During the proceedings, a dedicated analysis was carried out to determine the level of 'adequate ROI', usable as a measure of the fair remuneration of capital for companies engaged in the transportation of goods and passengers. In particular, through the consultation of public company financial statements, the level of ROI achieved by 23 companies engaged in the transportation of goods and passengers in Italy and Europe during the period 2017-2019 was assessed. This analysis, detailed in Appendix 1, to which reference is made, shows that the ROI of the operators considered should be deemed to be between 7% and 9%. In light of this evidence, a level of 'adequate ROI' equal to 8% is considered an appropriate measure of fair remuneration of capital.</w:t>
        <w:br/>
        <w:t>91. The analysis of the level of 'adequate ROI' in Appendix 1 was conducted by consulting company financial statements and, consequently, the return on capital (ROI) was calculated with respect to the value of the invested capital at the so-called 'historical cost'. The 'historical cost' criterion identifies the net book value of the assets, that is, the value at which a given asset is recorded in the financial statements net of depreciation and write-downs from previous years. Considering 2019, the ROI at 'historical cost' of C&amp;T is equal to [55-60%] of the invested capital for the entire Strait (VSG-MRSF and VSG-MTR) and [65-70%] for the VSG-MRSF route alone, or at least 7-8 times the level of 'adequate ROI'93. The ROI ('historical cost') attributable to the passenger segment alone on the VSG-MRSF route for 2019 ranges from [65-70%] to [80-85%] of the invested capital, depending on the cost allocation between passengers and freight chosen (section II.2.2 - supra)94. This means that the ROI at 'historical cost' of C&amp;T on the passenger segment of the VSG-MRSF route reaches more than 10 times the 'adequate ROI'.</w:t>
        <w:br/>
        <w:t>92. C&amp;T's ROI has also been estimated by evaluating the company's capital at the opportunity cost of holding it, that is, at the current value (“Value to Business” or “VTB”). The current value of a given asset can be determined either based on its 'replacement value' or from the value obtainable from its hypothetical sale on the secondary market or, again, by discounting the cash flows generated by it over its (remaining) useful life and from the sale of what remains (so-called scrap value). The current value of a given asset can be determined based on the 'value of</w:t>
        <w:br/>
        <w:t>91 See doc. no. 20, p. 5.</w:t>
        <w:br/>
        <w:t>92 See doc. no. 60, pp. 5, 6.</w:t>
        <w:br/>
        <w:t>93 In 2017 and 2018, the ROI (historical cost) of C&amp;T was [95-100%] and [60-65%] (for the entire Strait) and [125-130%] and [70-75%] for the VSG-MRSF route alone. See doc. no. 60 and attachments and Appendix 2.</w:t>
        <w:br/>
        <w:t>94 Appendix 2 shows, for each cost allocation method, the level of ROI in the three-year period 2017-2019.</w:t>
      </w:r>
    </w:p>
    <w:p>
      <w:r>
        <w:rPr>
          <w:b/>
        </w:rPr>
        <w:t>[Pages 31–33]</w:t>
      </w:r>
    </w:p>
    <w:p>
      <w:r>
        <w:t>BULLETIN NO. 14 OF APRIL 19, 2022 33</w:t>
        <w:br/>
        <w:t>replacement' of said asset, if the latter is less than or at most equal to the current value of the cash flows generated by its efficient use95. The 'replacement value' can in turn be obtained by considering the (amortized) cost of modern equivalent assets (so-called 'Modern Equivalent Asset'), or assets that provide equivalent services to those available to the company, but based on current technologies and optimally configured.</w:t>
        <w:br/>
        <w:t>93. C&amp;T itself believes, moreover, that the value of the invested capital should be considered at the so-called 'replacement value', which expresses the current value of the assets, that is, unlike the values recorded in the financial statements, "the necessary cost, at the date of the estimate, to purchase machines and plants based on current technologies and materials, capable of replacing the existing asset while possessing the same capacity, output, and utility"96.</w:t>
        <w:br/>
        <w:t>94. For these reasons, during the adversarial process, the Party submitted data regarding the value of the invested capital and its ROI according to the two different criteria, showing that the return on capital (ROI) at 'historical cost', that is calculated based on the values in the financial statements, is systematically higher than the return on capital at 'replacement value'. In fact, ROI is constructed as the ratio between EBIT and invested capital. The value of invested capital at 'historical cost' is lower (higher ROI) compared to that calculated according to 'replacement value' (lower ROI), as the economic value of the assets owned by the company exceeds the book value, which decreases in line with the depreciation plans.</w:t>
        <w:br/>
        <w:t>95. The main consequence of valuing capital at 'replacement value' is that, to make a homogeneous comparison between revenues and cost plus at 'replacement value', a level of 'adequate ROI' should also be used as a measure of the fair remuneration of capital, calculated by relating EBIT to capital at 'replacement value'. While it is not possible to know this ROI value since, for the companies analyzed in Appendix 1, only accounting data is available (where capital is valued at 'historical cost'), it can be assumed that this value is likely lower than the 'adequate ROI' at 'historical cost', which is equal to 8%. Therefore, an analysis based on this value is favorable for the Party, as it overestimates the return on capital at 'replacement value' deemed appropriate.</w:t>
        <w:br/>
        <w:t>96. Considering capital at 'replacement value'97, C&amp;T's ROI (2019) stands at values lower than those obtained with capital at 'historical cost', but which are still very significant. The ROI index is now between [15-20%] (entire Strait), [25-30%] (on the VSG-MRSF route), and [30-35%] for the passenger segment alone on the VSG-MRSF route (cost allocation based on 'linear meters')98.</w:t>
        <w:br/>
        <w:t>97. The particular significance of C&amp;T's ROI index, which provides a measure of the profitability of the capital employed by a company, can also be appreciated by comparing it with C&amp;T's cost of capital, as represented by C&amp;T's Weighted Average Cost of Capital (WACC)99. In fact, ROI represents the ability to achieve a return on the investments made and, consequently, can be compared with the average cost incurred to access the capital necessary to make the same investments100.</w:t>
        <w:br/>
        <w:t>98. According to the Party, there are no reliable analyses that determine the WACC of the sector101. However, the investigations carried out during the inquiry show that C&amp;T's WACC is presumably within the range of 6.5-7.6%102.</w:t>
        <w:br/>
        <w:t>98 In 2017 and 2018, C&amp;T's ROI (replacement value) was [25-30%] and [20-25%] (entire Strait) and [35-40%] and [25-30%] on the VSG-MRSF route alone. See doc. no. 60 and attachments and Appendix 2.</w:t>
        <w:br/>
        <w:t>99 For further details on the relationship between ROI and WACC, see the documentation available at the following link: https://www.borsaitaliana.it/borsa/glossario/redditivita--del-capitale-investito.html</w:t>
        <w:br/>
        <w:t>100 In regulated industries, the equality between ROI and WACC can also be used as a tool to define the level of applicable tariffs (so-called Rate of Return Regulation). See, among others, OECD (2012) – Working Party No. 2 on Competition and Regulation, Excessive Pricing – Background Paper, p. 46.</w:t>
        <w:br/>
        <w:t>101 Regarding the availability of evidence concerning the level of C&amp;T's or sector WACC, the company states that: "The investigations carried out so far [...] do not allow for a significant contribution to the inquiry [...]. In particular, C&amp;T has ascertained that it does not have internal data regarding a sector WACC for maritime transport services in a free market. This is not available even in the main international databases regarding capital costs by industry. [...] Even the external consultant confirmed that a WACC for the sector in which C&amp;T operates is not readily available and that such data could only be derived, in any case very approximately, through an analysis that would require a timeframe incompatible with the deadlines assigned for this response." See doc. no. 66, pp. 4, 5.</w:t>
        <w:br/>
        <w:t>102 The WACC represents the cost of capital for a company, that is, the cost at which a company can finance itself to carry out its operations. Since the company can finance itself through both equity and debt, the WACC is the average of the cost of the two types of financing, weighted by the proportion of each. C&amp;T's WACC has been estimated, based on the available data, applying the methodology used, among other things, by the Transport Regulatory Authority (ART) to quantify the cost of capital for companies operating in the transport sector. In particular, in this case, the specific (unlevered) beta for ferry operations, equal to 0.53, estimated by the Independent Pricing and Regulatory Tribunal (IPART), was used. By releveraging this beta based on the debt-to-equity (D/E) ratio of C&amp;T, which averaged 1.61 over the three years 2017-2019, and considering the IRES tax rate of 24%, a relevered beta value for ferry operations of 1.137 is obtained. Inserting this value into the (noted) WACC formulas yields an estimate of the average cost of capital for the three years 2017-2019 equal to 7.6%. Valuing the formulas in the same way, but using the unlevered beta values determined by ART for rail transport and road transport, equal to 0.373 and 0.353 respectively, yields a lower average WACC value, equal to 6.5% and 6.4% respectively. Finally, it is noted that the European Commission, in the context of the procedure concerning possible state aid granted to Tirrenia for the management of numerous maritime routes and for its privatization, considered a WACC level of 6.5%. In conclusion, C&amp;T's WACC is presumably in the range of 6.4-7.6%.</w:t>
        <w:br/>
        <w:t>Data and sources consulted:</w:t>
        <w:br/>
        <w:t>- WACC – beta IPART, which in the years 2017, 2018, and 2019 is respectively equal to 7.52%, 8.26%, and 6.94% (7.6% on average over the three years). In particular, IPART estimates a (levered) beta value for ferry operations of 0.90. Considering the value of financial leverage (gearing), equal to 50%, a value always provided by IPART, and the corporate tax rate in Australia, equal to 30%, a (unlevered) beta value of 0.53 is obtained. See https://www.ipart.nsw.gov.au/sites/default/files/documents/fact-sheet-wacc-biannual-update-february-2021_0.pdf;</w:t>
        <w:br/>
        <w:t>- WACC – beta ART rail transport, which in the years 2017, 2018, and 2019 is respectively equal to 6.41%, 7.09%, and 5.99% (6.5% on average over the three years);</w:t>
        <w:br/>
        <w:t>- WACC – beta ART road transport, which in the years 2017, 2018, and 2019 is respectively equal to 6.27%, 6.94%, and 5.87% (6.4% on average over the three years). See ART resolutions no. 92 of 2017, no. 176 of 2019, no. 29 and 65 of 2020. Reference is made to these resolutions for a detailed description of the methodology used;</w:t>
      </w:r>
    </w:p>
    <w:p>
      <w:r>
        <w:t>BULLETIN NO. 14 OF APRIL 19, 2022 35</w:t>
        <w:br/>
        <w:t>99. By comparing the ROI (with capital at 'replacement value') with the WACC, it can be inferred that C&amp;T's ROI on the VSG-MRSF route (passenger segment) can reach almost five times the WACC, depending on the method of cost allocation between goods and passengers. Such evidence incontrovertibly demonstrates the high profitability achieved by C&amp;T on the Strait, on the VSG-MRSF route, and, in particular, on the passenger segment of the VSG-MRSF.</w:t>
        <w:br/>
        <w:t>100. In the next section, the analysis of C&amp;T's profitability will be further deepened, identifying profit margins by comparing revenues and the so-called cost plus, in which it is necessary to include a fair level of capital remuneration. In light of the Party's observations, this analysis will be conducted considering the invested capital both at 'historical cost' and at 'replacement value'103. In both cases, a level of 'adequate ROI' equal to 8% has been used as a measure of the fair remuneration of capital. The competitive analyses conducted with the figures at 'replacement value', therefore, have been carried out adopting a cautious and favorable approach to the Party, as a level of 'adequate ROI' lower than 8% should be considered.</w:t>
        <w:br/>
        <w:t>II.2.4 The comparison between revenues and costs of C&amp;T (so-called 'excessiveness')</w:t>
        <w:br/>
        <w:t>101. The profitability of a company can be analyzed through the use of various methodologies, all aimed at comparing the return on capital with its cost. For example, financial methodologies obtain measures of profitability using the concepts of Net Present Value (NPV) and Internal Rate of Return (IRR). The use of predominantly accounting criteria involves comparing the profitability of capital with the cost of capital. Finally, economic measurement tools assess profitability by comparing prices with various measures of production costs.</w:t>
        <w:br/>
        <w:t>102. The use of the different available methodologies depends on the type of industry and/or the characteristics of the good/service being analyzed. For example, financial analysis tools (NPV and IRR) are well suited for evaluating profitability in industries characterized by significant research and development expenses in the early stages of product development and the risks associated with the commercial success of the product (e.g., the pharmaceutical sector). Accounting analysis appears particularly relevant in sectors that, for example, are characterized by high capital intensity. Finally, the comparison between prices and costs, which emphasizes production costs (transformation of inputs) and selling prices (outputs), although well defined from a theoretical point of view, does not seem easy to implement for various reasons. Intangible goods provide an example, as it is not easy to identify the cost structure104.</w:t>
        <w:br/>
        <w:t>- WACC – EC decision on Tirrenia, which identifies a WACC equal to 6.5%. See Decision (EU) 2020/1412 of the Commission of March 2, 2020, concerning measures SA.32014, SA.32015, SA.32016 (11/C) (ex 11/NN), which Italy has executed in favor of Tirrenia di Navigazione and its purchaser Compagnia Italiana di Navigazione;</w:t>
        <w:br/>
        <w:t>- for the values used, not directly derivable from the aforementioned ART resolutions, a free risk rate of 2.1% for 2017, 2.57% for 2018, and 1.94% for 2019 (Source: Bank of Italy) and the financial leverage (gearing) of C&amp;T equal to 57% for 2017, 55% for 2018, and 66% for 2019 (Source - C&amp;T's financial statements) have been referenced.</w:t>
        <w:br/>
        <w:t>103 It is noted that, in addition to the value of invested capital, depreciation, which falls under navigation costs, also varies depending on the use of the 'historical cost' or 'replacement value' criterion. The analyses, therefore, will also consider depreciation as a cost item dependent on the capital valuation criterion used in the two scenarios.</w:t>
        <w:br/>
        <w:t>104 See OECD (2012) – Working Party No. 2 on Competition and Regulation, Excessive Pricing – Background Paper.</w:t>
      </w:r>
    </w:p>
    <w:p>
      <w:r>
        <w:rPr>
          <w:b/>
        </w:rPr>
        <w:t>[Pages 34–36]</w:t>
      </w:r>
    </w:p>
    <w:p>
      <w:r>
        <w:t>costi. In particolare, nel test 2, che considera l'allocazione dei costi tra passeggeri e merci sulla base dei 'metri lineari', la sproporzione risulta compresa tra [50-55%] e [65-70%] per gli anni 2019, 2018 e 2017. Analogamente, nel test 3, che utilizza un'allocazione 'mista', la sproporzione si attesta tra [40-45%] e [55-60%]. Infine, nel test 4, che si basa sull'allocazione dei costi in base ai ricavi, la sproporzione varia tra [40-45%] e [60-65%].</w:t>
      </w:r>
    </w:p>
    <w:p>
      <w:r>
        <w:t>115. È evidente, quindi, che in tutti i test effettuati emerge una chiara sproporzione tra i ricavi e i costi sostenuti da C&amp;T, confermando l'ipotesi di eccessività dei prezzi applicati. Questa situazione è particolarmente preoccupante, poiché suggerisce che C&amp;T non solo non ha investito adeguatamente nel rinnovo della propria flotta, ma ha anche applicato tariffe che non riflettono i costi reali sostenuti per il servizio di traghettamento passeggeri sulla rotta VSG-MRSF.</w:t>
      </w:r>
    </w:p>
    <w:p>
      <w:r>
        <w:t>116. In conclusione, i risultati dei test di eccessività evidenziano la necessità di una revisione delle politiche tariffarie di C&amp;T, al fine di garantire una maggiore equità e sostenibilità nel mercato del trasporto Ro/Pax, in particolare sulla rotta VSG-MRSF.</w:t>
      </w:r>
    </w:p>
    <w:p>
      <w:r>
        <w:rPr>
          <w:b/>
        </w:rPr>
        <w:t>[Pages 37–39]</w:t>
      </w:r>
    </w:p>
    <w:p>
      <w:r>
        <w:t>BULLETIN NO. 14 OF APRIL 19, 2022 39</w:t>
        <w:br/>
        <w:t>costs used. In this segment of demand, in fact, the disproportion between revenues and cost plus stands at the following levels: excess included in the range [40-45%]-[65-70%] of the cost plus, in the case of capital at 'historical cost'; range between [25-30%] and [45-50%] concerning the 'replacement value'.</w:t>
        <w:br/>
        <w:t>115. In conclusion, it is worth reiterating that the estimates, made considering the capital at 'replacement value', are conservative and favorable to the Party. In fact, as previously indicated, under the assumption of capital at 'replacement value', a 'reasonable return on investment' value of less than 8% should be used as a fair remuneration of capital. Therefore, it can be stated that the disproportion between revenues and cost plus is certainly greater than that which emerged in this analysis106.</w:t>
        <w:br/>
        <w:t>II.2.5 The fairness of the tariffs applied by C&amp;T</w:t>
        <w:br/>
        <w:t>116. Once the excessiveness of the prices has been analyzed, it is necessary to verify their fairness, that is, the proportion of the tariffs in relation to the economic value of the ferry services provided. C&amp;T, while emphasizing the uniqueness of the characteristics of the ferry services in the Strait, has produced a comparative analysis to illustrate its business positioning compared to the tariffs applied by an international benchmark107, represented by carriers active on comparable routes.</w:t>
        <w:br/>
        <w:t>A) The international benchmarking analysis carried out by C&amp;T</w:t>
        <w:br/>
        <w:t>117. C&amp;T has filed a benchmarking study entitled "Comparative Analysis of Price Levels in Short-Distance Ferry Services"108. The study contains a comparative analysis of the prices applied by C&amp;T compared to other national and foreign operators active on comparable routes, identified by analyzing the length of the routes (less than 6 miles, between 6 and 12 miles, over 12 miles), the type of connection (regional, national, international) and the quality of service (seasonal or year-round, number of daily connections less than 12, between 12 and 24, over 24 connections, presence of night connections), as well as the type of traffic served (passengers only, passengers and vehicles, full transport - passengers, vehicles, and commercial vehicles). Furthermore, with reference to national routes only, the presence of public subsidies defined to ensure the territorial continuity of the service has been taken into account.</w:t>
        <w:br/>
        <w:t>118. The analysis proposed by the Party identifies 16 Italian routes109 that provide for the transport of passengers both with and without vehicles, in addition to 26 foreign routes. The set of these routes is then divided into subgroups identified by considering, on the one hand, the length of the navigation route and, on the other hand, the qualitative level of the service, in terms of seasonality and number of connections operated. At a qualitative level, the continuity of service throughout the year, the average daily number of connections made, and the presence of night services have also been taken into account. Figure 5, extracted from the study filed by C&amp;T, shows how the identified routes can be ordered according to the two described variables.</w:t>
        <w:br/>
        <w:t>Figure 5 – The benchmarking carried out by C&amp;T (doc. n. 39.1, p. 19)</w:t>
        <w:br/>
        <w:t>119. The routes shown in the darker box (top left in Figure 5) are those most similar, in terms of route length and qualitative aspects, to the route primarily involved in the present proceeding. It is noteworthy that the only Italian route directly comparable to the VSG-MRSF route is the VSG-MP, operated by Bluferries. Several foreign routes are, however, comparable, some in the Netherlands, others in the United Kingdom, one in Malta, and also the connection between Denmark and Sweden110. Specifically, according to the Party, it is possible to identify a cluster of 8 comparable routes, operated by the following carriers: C&amp;T (route VSG-MRSF); Bluferries (VSG-MP); Shetland Island Ferries (route Toft-Ulsta); Western Ferries (Gourock-Dunoon); Caledonian Mac Brayne (Colintraive-Rhubodach); TESO (Den Helder-Texel); Gozo Channel (Mgarr-Cirkewwa); Forsea/Scandilines (Helsingor-Helsinborg).</w:t>
        <w:br/>
        <w:t>120. Once the comparable routes to the VSG-MRSF have been identified and classified, the study evaluates the tariffs applied. In particular, considering the tariff applied for the transport of passengers with a private vehicle (1 passenger, 1 car) – one way – C&amp;T applies a price (10.54 euros per nautical mile) slightly above the average recorded (10.36 euros). Considering the complete trip – round trip – the Party is among the cheapest companies: 5.41 euros per nautical mile against an average of 9.65 euros111.</w:t>
        <w:br/>
        <w:t>121. In addition to these numerical evidences, the study emphasizes the following elements of general context:</w:t>
        <w:br/>
        <w:t>1) "the uniqueness of the route connecting the two urban realities and therefore the two 'neighborhoods' of the metropolitan area of the Strait. [...] the connection could be considered akin to urban transport, both for frequency and continuity of service, both on an annual and daily basis, for both residents and non-residents and, in this specific case, for all Sicilians and tourists who, as is known, [...] populate the largest and most important island in the Mediterranean";</w:t>
        <w:br/>
        <w:t>2) "the relative affordability of the tariffs proposed to the market, compared to routes that are subsidized or served by operators that are substantially government-owned"112.</w:t>
        <w:br/>
        <w:t>122. These elements, according to the Party's study, should be duly considered to interpret C&amp;T's pricing policy, which, without public contributions, must sustain fixed costs and underlying investments over time.</w:t>
        <w:br/>
        <w:t>B) Some qualitative aspects of the services offered by C&amp;T and the tariff comparison with comparable routes</w:t>
        <w:br/>
        <w:t>123. According to the jurisprudence on the matter113, the analysis of fairness requires an assessment of the proportion existing between the tariffs applied and the so-called 'economic value' of the good/service under analysis. Therefore, in this case, in addition to the comparison with the tariffs applied by operators active on comparable routes, it is appropriate to verify whether the levels of prices and the differences compared to the benchmarks are justified by the qualitative aspects of the ferry services offered by C&amp;T. For this purpose, some elements related to the usability of C&amp;T's ferry services can be considered, as well as the evaluations expressed by the consumers themselves.</w:t>
        <w:br/>
        <w:t>124. According to the benchmarking study filed by the Party, the tariffs applied by C&amp;T to passengers with accompanying cars would not be higher than those generally applied by various companies active on similar routes (benchmark routes). However, this result is primarily based on the inclusion of VSG-MRSF and VSG-MP among the comparable routes114 and, moreover, on the calculation of the price per single nautical mile navigated, as the VSG-MRSF, among the identified comparable routes, is characterized by a distance greater than the average: the average length of the comparable routes is about 2.58 miles, while the VSG-MRSF is 3.7 miles.</w:t>
        <w:br/>
        <w:t>111 Cf. doc. n. 39.1, p. 42.</w:t>
        <w:br/>
        <w:t>112 Cf. doc. n. 39.1, p. 43</w:t>
        <w:br/>
        <w:t>113 United Brands vs Commission, §§ 250 et seq.: “In this case charging a price which is excessive because it has no reasonable relation to the economic value of the product supplied would be such an abuse”.</w:t>
        <w:br/>
        <w:t>114 The inclusion of the tariffs of C&amp;T and Bluferries - which does not exert particular competitive pressure on C&amp;T, operating in a market segment with a commercial strategy emulative (follower) of the dominant operator (cf. infra section IV.3.1) - within the benchmark contrasts with the practice outlined by the United Brands doctrine, which provides for the "comparison between the price whose fair character is contested and [...] the prices charged by other companies for the same service or for comparable services in other national markets, provided, however, that such comparison is made on a homogeneous basis". In this case, the analysis of inequity implies isolating the tariffs applied by C&amp;T in order to make a comparison with the average price levels recorded on comparable routes. See, in this regard, the judgment of November 25, 2020 in case C-372/19 - SABAM which refers to the judgment of September 14, 2017, Autortiesību un komunicēšanās konsultāciju aģentūra - Latvijas Autoru apvienība, C‑177/16, EU:C:2017:689, point 32 and the jurisprudence cited therein).</w:t>
      </w:r>
    </w:p>
    <w:p>
      <w:r>
        <w:rPr>
          <w:b/>
        </w:rPr>
        <w:t>[Pages 40–42]</w:t>
      </w:r>
    </w:p>
    <w:p>
      <w:r>
        <w:t>42 BULLETIN NO. 14 OF APRIL 19, 2022</w:t>
        <w:br/>
        <w:t>125. It is noted that the comparable routes identified by C&amp;T are as follows: C&amp;T (route VSG-MRSF – 3.7 miles); Bluferries (VSG-MP); Shetland Island Ferries (route Toft-Ulsta – 2.75 miles); Western Ferries (Gourock-Dunoon – 4.32 miles); Caledonian Mac Brayne (Colintraive-Rhubodach – 0.54 miles); TESO (Den Helder-Texel – 2.75 miles); Gozo Channel (Mgarr-Cirkewwa – 2.70 miles); Forsea/Scandilines (Helsingor-Helsinborg – 2.43 miles). The VSG-MRSF and VSG-MP have been extensively described both in terms of characteristics and tariffs applied by C&amp;T and Bluferries (sections II.1.2. and II.2.1 - supra). At this point, it is useful to recall solely that the tariffs for individual trips115 of C&amp;T range from a maximum of 39 euros (the 'One Way' fare, entirely analogous to the 38.5 euros for 'Round Trip within 90 days') to a minimum of 20 euros ('Round Trip in one day')116.</w:t>
        <w:br/>
        <w:t>126. With reference to comparable foreign routes, based on the information obtained from their respective websites, the following emerges. The first route comparable to the VSG-MRSF is Toft-Ulsta (United Kingdom), operated by Shetland Island Ferries. The carrier applies a fare of 15 pounds (17.5 euros) for passengers with cars for the 'Round Trip' type, that is, 8.7 euros for a single trip. The pricing policy of Western Ferries, active on Gourock-Dunoon (United Kingdom), is more articulated, providing fares for cars of the type 'One Way', 'Round Trip', but also ticket booklets. Prices range from 22.2 euros for 'One Way' to 10.5 euros for a single trip when purchasing a booklet of 10 trips.</w:t>
        <w:br/>
        <w:t>127. The carrier TESO, on the Den Helder-Texel route (Netherlands), sells tickets for passengers with cars of the type 'Round Trip' or multiple tickets. Traveling on weekends (Fri-Mon), the cost for the single leg is 18.5 euros (37 euros Round Trip), which drops to 12.5 euros with departure/return from Tuesday to Thursday. Purchasing a booklet for 5 trips, the cost for the single leg is 11.8 euros. The purchase of a booklet for 15 trips results in a cost for a single trip of 10.6 euros.</w:t>
        <w:br/>
        <w:t>128. The Colintraive-Rhubodach route (United Kingdom), served by Caledonian Mac Brayne, has a cost of 8.9 euros per leg for the boarding of the car. Gozo Channel, on the Mgarr-Cirkewwa route (Malta), applies a 'One Way' fare of 15.7 euros for car boarding during the day, and 12.8 euros for night trips. In addition to various discounts for residents and seniors, 8 different ticket booklets for multiple trips are available. The minimum booklet includes 5 trips, with a cost of 15.1 euros for a single leg. Purchasing a booklet valid for 52 trips reduces the cost for car boarding to 8.2 euros per trip.</w:t>
        <w:br/>
        <w:t>129. The last comparable route is Helsingor-Helsingborg (Denmark-Sweden), operated by Forsea, part of the Scandilines group. Accessing the Danish version of the carrier's website, various discounted fares are available, with the possibility of saving by purchasing the 'Auto Bizz Smart' ticket or multiple tickets for 10 or 20 trips. In light of the economic differences characterizing Scandinavian countries compared to Italy, Forsea's prices have been calculated in euros applying the PPP – Purchasing Power Parity, using the specific database provided by the OECD. With the standard fare, the cost of the single leg ranges from 43.9 euros (One Way) to 24.8 euros (Round Trip 1 day). With the 'Auto Bizz Smart' formula, it ranges from 21.8 euros to 17.6 euros for a single trip. Purchasing the booklets, the cost for the single trip is 24.4 euros (10 trips) or 19.6 euros (20 trips).</w:t>
        <w:br/>
        <w:t>130. Figure 6 (infra) summarizes the information just illustrated. It clearly emerges that the tariffs applied by C&amp;T on the VSG-MRSF are the highest among the benchmark routes identified by the same company, with the exception of Forsea/Scandilines on the Helsingor-Helsingborg route, which connects Sweden with Denmark.</w:t>
      </w:r>
    </w:p>
    <w:p>
      <w:r>
        <w:t>44 BULLETIN NO. 14 OF APRIL 19, 2022</w:t>
        <w:br/>
        <w:t>Figure 6 – Tariffs applied by carriers on benchmark routes (prices in Euro, fare for the single trip)</w:t>
        <w:br/>
        <w:t>C&amp;T One Way Round Trip 1 day Round Trip 3 days Round Trip 90 days</w:t>
        <w:br/>
        <w:t>VSG-MRSF 39.0 20.0 23.0 38.5</w:t>
        <w:br/>
        <w:t>Shetland Island Ferries Round Trip</w:t>
        <w:br/>
        <w:t>Toft-Ulsta 8.7 17.5</w:t>
        <w:br/>
        <w:t>https://www.shetland.gov.uk/ferries/ferry-fares</w:t>
        <w:br/>
        <w:t>Multiple Tickets</w:t>
        <w:br/>
        <w:t>Western Ferries One Way Round Trip</w:t>
        <w:br/>
        <w:t>2 Trips 10 trips</w:t>
        <w:br/>
        <w:t>Gourock-Dunoon 22.2 21.0 11.7 10.5</w:t>
        <w:br/>
        <w:t>https://www.western-ferries.co.uk/tickets-fares/buy-online.html</w:t>
        <w:br/>
        <w:t>Multiple Tickets</w:t>
        <w:br/>
        <w:t>TESO Round Trip (Fri-Mon) Round Trip (Tue-Thu)</w:t>
        <w:br/>
        <w:t>5 trips 15 trips</w:t>
        <w:br/>
        <w:t>Den Helder - Texel 18.5 12.5 11.8 10.6 37.0</w:t>
        <w:br/>
        <w:t>https://www.teso.nl/en/about-tickets/rates-vehicles/</w:t>
        <w:br/>
        <w:t>Caledonian Mac Brayne One Way Round Trip</w:t>
        <w:br/>
        <w:t>Colintraive-Rhubodach 8.9 8.9</w:t>
        <w:br/>
        <w:t>https://www.calmac.co.uk/article/2927/Bute-Colintraive---Rhubodach</w:t>
        <w:br/>
        <w:t>One Way One Way Multiple Tickets</w:t>
        <w:br/>
        <w:t>Gozo Channel</w:t>
        <w:br/>
        <w:t>(day) (*) (night) (*) Min (5 Trips) Max (52 trips)</w:t>
        <w:br/>
        <w:t>Mgarr-Cirkewwa 15.7 12.8 15.1 8.2</w:t>
        <w:br/>
        <w:t>(*) further discounted fares for seniors and residents</w:t>
        <w:br/>
        <w:t>https://www.gozochannel.com/ferry/fares/</w:t>
        <w:br/>
        <w:t>https://www.gozochannel.com/ferry/pricing-schemes/</w:t>
        <w:br/>
        <w:t>Multiple Tickets</w:t>
        <w:br/>
        <w:t>One Way Round Trip 1 day Round Trip weekend</w:t>
        <w:br/>
        <w:t>Forsea/Scandilines</w:t>
        <w:br/>
        <w:t>(Auto Bizz/Standard) (Auto Bizz/Standard) (Auto Bizz/Standard) 10 trips 20 trips</w:t>
        <w:br/>
        <w:t>Helsingor-Helsingborg 21.8/43.9 17.6/24.8 21.8/33.9 24.40 19.6</w:t>
        <w:br/>
        <w:t>https://www.forseaferries.com/prices/</w:t>
        <w:br/>
        <w:t>NOTE - prices in euros with exchange rates of 26/6/2021 (1 pound = 1.17 euros). For Forsea/Scandilines, the Purchasing Power Parity calculated on OECD data for 2020 was used (ITALY: 1USD=0.663; Denmark: 1USD=6.597DK; hence 1DK=0.100500 euros). The fares are available at the following links (doc. no. 76 in the file):</w:t>
        <w:br/>
        <w:t>https://data.oecd.org/conversion/purchasing-power-parities-ppp.htm</w:t>
        <w:br/>
        <w:t>Source: carrier websites</w:t>
        <w:br/>
        <w:t>Shetland Island Ferries - https://www.shetland.gov.uk/downloads/file/2963/ferry-fares-2021, tickets for Mainland-Yell</w:t>
        <w:br/>
        <w:t>Western Ferries - https://www.western-ferries.co.uk/tickets-fares/buy-online.html</w:t>
        <w:br/>
        <w:t>TESO - https://www.teso.nl/en/about-tickets/rates-vehicles/</w:t>
        <w:br/>
        <w:t>Caledonian Mac Brayne - https://www.calmac.co.uk/article/2927/Bute-Colintraive---Rhubodach</w:t>
        <w:br/>
        <w:t>Gozo Channel - https://www.gozochannel.com/ferry/fares/, https://www.gozochannel.com/ferry/pricing-schemes/</w:t>
        <w:br/>
        <w:t>Forsea - https://www.forseaferries.com/prices/</w:t>
        <w:br/>
        <w:t>131. In order to quantify the extent of the tariffs applied by C&amp;T, it is possible to compare the highest fare of the company (39 euros for the One Way – entirely analogous to the 38.5 euros provided for 'Round Trip within 90 days') and the lowest (20 euros per leg with 'Round Trip 1 day') with the average of the tariffs applied by carriers on the benchmark routes, which are respectively 19.6 euros.</w:t>
      </w:r>
    </w:p>
    <w:p>
      <w:r>
        <w:rPr>
          <w:b/>
        </w:rPr>
        <w:t>[Pages 43–45]</w:t>
      </w:r>
    </w:p>
    <w:p>
      <w:r>
        <w:t>BULLETIN NO. 14 OF APRIL 19, 2022 45</w:t>
        <w:br/>
        <w:t>(average of the highest tariffs117) and 10.7 euros (average of the lowest tariffs118). This implies that C&amp;T's highest tariff ('One Way' and 'Round Trip within 90 days') is approximately 98% higher than the average of all the highest tariffs on comparable routes. Similarly, the most affordable fare offered by C&amp;T, namely the same-day round trip, is 86% more expensive than the average of the most advantageous fares offered on benchmark routes.</w:t>
        <w:br/>
        <w:t>132. The particularly high level of prices applied by C&amp;T also emerges when considering, as done by the Party in the submitted study, the A/R price as the fare for a single journey: in other words, it is assumed that, despite the ticket price covering two trips, the consumer makes only one. Under this assumption, the average of the highest prices reaches 24.2 euros119 (the average of the lowest prices remains unchanged), which is 61% less than the highest fare requested by C&amp;T.</w:t>
        <w:br/>
        <w:t>133. Regarding the possibility of considering the fares per single nautical mile ('price per mile'), it is important to emphasize how this choice seems entirely unnecessary once, during the investigation, the same Party identified a set of benchmark routes that are comparable and homogeneous precisely in terms of navigated distance (as all are less than 6 miles) and the qualitative characteristics of the service (medium-high quality).</w:t>
        <w:br/>
        <w:t>In fact, in addition to the length of the route, the definition of prices depends on numerous variables, such as the frequency of daily trips (considering both weekdays and weekends), the annual coverage of ferry services, seasonality, the age of the fleet, the characteristics of the ships, the quality of the service and onboard personnel, and boarding, etc. In this regard, C&amp;T itself emphasizes: “Economically, it is intuitive – and easily demonstrable – how the length of the navigation route, the level of service offered, and the volume of traffic transiting on that route influence the cost structure and therefore the tariffs/prices”120.</w:t>
        <w:br/>
        <w:t>134. The analysis of prices concerning each of the relevant variables, besides being difficult to apply due to the high number of qualitative elements to be considered simultaneously, each of which (not just distance) can have a different impact on price definition, loses significance once the benchmarking, carried out by C&amp;T itself, has identified a set of comparable routes.</w:t>
        <w:br/>
        <w:t>In this regard, it is worth noting that C&amp;T, which serves the MTR and MRSF ports from VSG, applies the same tariffs for two routes of different lengths.</w:t>
        <w:br/>
        <w:t>135. According to the Party, there are general economic justifications that would demonstrate the appropriateness of its tariffs concerning the service provided, namely its comparability to a continuity service121. In this regard, it is highlighted that the same</w:t>
        <w:br/>
        <w:t>117 Arithmetic mean between: Shetland Isl. Ferries, 8.7; Western Ferries, 22.2; TESO, 18.5; Mac Brayne, 8.9; Gozo, 15.7; Forsea, 43.9.</w:t>
        <w:br/>
        <w:t>118 Arithmetic mean between: Shetland Isl. Ferries, 8.7; Western Ferries, 10.5; TESO, 10.6; Mac Brayne, 8.9; Gozo, 8.2; Forsea, 17.6.</w:t>
        <w:br/>
        <w:t>119 Arithmetic mean between: Shetland Isl. Ferries, 17.5; Western Ferries, 22.2; TESO, 37; Mac Brayne, 8.9; Gozo, 15.7; Forsea, 43.9.</w:t>
        <w:br/>
        <w:t>120 See doc. no. 39.1, p. 6.</w:t>
        <w:br/>
        <w:t>121 Specifically, C&amp;T highlights that the company: i) effectively ensures the service of "territorial continuity" between the two shores of the Strait, while operating in a free market; ii) has chosen to guarantee customers the certainty of being able to ferry every day and at any time of the year quickly and, above all, with certain and close schedules and trips during the 24 hours of the day; iii) provides transport service with fixed schedules even when the ship is half-empty (1 or 2 vehicles),</w:t>
      </w:r>
    </w:p>
    <w:p>
      <w:r>
        <w:t>46 BULLETIN NO. 14 OF APRIL 19, 2022</w:t>
        <w:br/>
        <w:t>the company, in its international benchmark study, illustrates that on comparable routes, carriers offer, as already emphasized, a similar service in terms of annual coverage and daily frequency of trips.</w:t>
        <w:br/>
        <w:t>136. Additionally, while C&amp;T and Forsea/Scandilines offer connections between two metropolitan areas, Gozo Channel, TESO, and Western Ferries would, according to the Party, provide connections between tourist destinations122. In this perspective, it is noteworthy that international carriers active on tourist routes offer a service with coverage entirely similar to that of C&amp;T, which connects two urban areas.</w:t>
        <w:br/>
        <w:t>137. Beyond the justifications put forward by the Party, it is also possible to analyze the level of C&amp;T's tariffs while considering the degree of consumer satisfaction and other qualitative aspects of the ferry service offered, especially when compared to those provided on some comparable routes.</w:t>
        <w:br/>
        <w:t>138. Consulting the main portal (TripAdvisor) for collecting reviews concerning accommodation, travel, and dining services, the webpage dedicated to C&amp;T services has a total of 556 reviews, achieving an overall rating that, against a maximum score of 5, stands at 2.5. On this site, users can express a summary rating ('excellent', 'very good', 'average', 'poor', and finally 'terrible') and, in addition, elaborate more thoroughly on their judgment by writing a review123.</w:t>
        <w:br/>
        <w:t>For the ferry services offered by C&amp;T, the overall results of the reviews are as follows: 'terrible' - 277 reviews out of 556 (49.8%); 'poor' - 58 reviews (10.4%); 'average' - 69 reviews (12.4%); 'very good' - 85 reviews (15.3%); 'excellent' - 67 reviews (12.1%). In summary, 72.6% of user reviews rate C&amp;T's service as low average, and according to half of the contributions, it is terrible.</w:t>
        <w:br/>
        <w:t>Additionally, it should be noted that several users who rated C&amp;T's service positively, deeming it 'excellent' or 'very good', underline in their review that the price paid is, in any case, expensive and too high: out of a total of 152 reviews that positively evaluate the service, 22 reviews (14%) believe that the applied price is still high124.</w:t>
        <w:br/>
        <w:t>139. The negative judgment of consumers is compounded by the qualitative shortcomings of C&amp;T's ferry services, especially when compared to those present on benchmark routes. Specifically, it is possible to consider some aspects related to the overall usability of the ferry services that, although they fall outside the mere economic dimension (price) of the sea journey, certainly influence the broader aspects related to the so-called 'user experience', namely the ways in which the consumer interacts, as a whole, with the service provided. This refers to how it can happen in winter or during nighttime hours; iv) has a fleet composed of a number of ships sufficient to always ensure service continuity (there are, in fact, reserve ships ready to enter service with minimal notice, should unpredictable events occur). See doc. no. 34, pp. 2, 3.</w:t>
        <w:br/>
        <w:t>122 See doc. 39.1, pp. 28, 36, 38, 39, 40.</w:t>
        <w:br/>
        <w:t>123 See doc. no. 73. It is worth noting that, although the vast majority of reviews concern the ferry service on the Strait, some reviews refer to the Messina-Salerno route and others to services connecting to the smaller islands.</w:t>
        <w:br/>
        <w:t>124 See, doc. no. 73, comments no. 1, 7, 75, 95, 161, 171, 184, 187, 191, 192, 195, 211, 225, 234, 243, 255, 256, 352, 369, 381, 441, 479.</w:t>
      </w:r>
    </w:p>
    <w:p>
      <w:r>
        <w:t>BULLETIN NO. 14 OF APRIL 19, 2022 47</w:t>
        <w:br/>
        <w:t>to payment methods and the management of queues and traffic flows, especially during peak periods.</w:t>
        <w:br/>
        <w:t>140. For example, TESO allows the purchase of subscriptions and multiple trips and to simultaneously associate the license plate of one's vehicle. The cameras present at the boarding areas perform automatic license plate reading, allowing cars to board smoothly without any stop or wait necessary for ticket issuance or control by the company's personnel125.</w:t>
        <w:br/>
        <w:t>The only similar service is offered by C&amp;T in partnership with Telepass, which is accessible to a limited number of users and, among other things, is linked to a different service provided by a different company. In any case, the use of Telepass does not eliminate queues and the wait time necessary for the issuance of the travel document.</w:t>
        <w:br/>
        <w:t>141. The queues at the boarding areas in Villa San Giovanni or Rada San Francesco, especially during peak seasonal periods, can be particularly significant. C&amp;T, unlike other carriers, does not offer any tool that allows consumers to know in advance the traffic flows and, consequently, avoid possible long waits. In fact, the consumer must make such assessments independently and, only by physically going to Villa San Giovanni or Rada San Francesco, discovers on-site the level of congestion at the ports. Moreover, the reduction of trips on the VSG-MTR route during peak summer periods, redirecting freight traffic to VSG-MRSF, contributes to increasing congestion at Rada San Francesco precisely when vehicle traffic intensifies.</w:t>
        <w:br/>
        <w:t>142. In order to facilitate travel planning, TESO analyzes historical data of its traffic flows and provides users with advance projections regarding expected queues at boarding areas. The traffic projections are daily and cover the entire year, from January 1 to December 31126, providing users with a wide range of long-term information. Additionally, it is possible to access cameras that show, in real-time, the congestion of the terminals127. Furthermore, the carrier communicates any delays on its Twitter account128.</w:t>
        <w:br/>
        <w:t>143. Gozo Channel is also equipped with cameras accessible in real-time that show terminal congestion, along with a real-time count of the number of cars waiting.</w:t>
      </w:r>
    </w:p>
    <w:p>
      <w:r>
        <w:rPr>
          <w:b/>
        </w:rPr>
        <w:t>[Pages 46–48]</w:t>
      </w:r>
    </w:p>
    <w:p>
      <w:r>
        <w:t>48 BULLETIN NO. 14 OF APRIL 19, 2022</w:t>
        <w:br/>
        <w:t xml:space="preserve">and trucks waiting for boarding on the ships about to depart129 (also geolocated in real time). </w:t>
        <w:br/>
        <w:t xml:space="preserve">Real-time information guarantees users maximum flexibility and decision-making freedom, allowing them to postpone or advance crossings based on traffic flows and, consequently, use their time more efficiently by avoiding waiting at boarding caused by queues. This aspect can take on particular importance as the ferry services under analysis connect urban areas characterized by intense daily commuter traffic. </w:t>
        <w:br/>
        <w:t xml:space="preserve">III. C&amp;T'S ARGUMENTS </w:t>
        <w:br/>
        <w:t xml:space="preserve">144. In the context of the investigative proceedings, in the briefs filed in response to the Communication of Investigative Results (hereinafter, CRI) and during the Final Hearing before the Panel, C&amp;T illustrated and argued its position regarding the contested conduct, raising a series of exceptions regarding the legitimacy of the investigation and the merits of the allegations made against them. </w:t>
        <w:br/>
        <w:t xml:space="preserve">C&amp;T's position and arguments are summarized below, distinguishing the different issues involved. </w:t>
        <w:br/>
        <w:t xml:space="preserve">III.1 The contestability of the market and the absence of C&amp;T's dominant position </w:t>
        <w:br/>
        <w:t xml:space="preserve">145. According to C&amp;T, cases of abuse of dominant position for excessive pricing are extremely rare and have concerned very peculiar situations, characterized by: i) the presence of a company in a legal monopoly regime or holding an exclusive right; ii) a sudden and exponential increase in prices, lacking economic justifications; iii) the presence of an articulated abusive strategy, of which excessive prices are only one of the components constituting a broader abusive strategy130. </w:t>
        <w:br/>
        <w:t xml:space="preserve">146. In this case, C&amp;T highlighted how such elements do not exist in the context of the Strait of Messina. In fact, according to the Party, the market for ferry services in the Strait would be contestable, as the landings would not present a degree of saturation that would prevent access to the market for new operators or the intensification of services by current competitors (Bluferries). Furthermore, the prices applied by the company have remained stable over the years and are similar to those of the competitor present in the same market, namely Bluferries. Therefore, according to the company, these circumstances would exclude a dominant position for C&amp;T on the routes crossing the Strait or, in any case, that C&amp;T's pricing policy could not be regulated by potential competition131. </w:t>
        <w:br/>
        <w:t xml:space="preserve">147. In detail, the company emphasizes the absence of structural or administrative entry barriers, as, on the Sicilian side of the Strait, there would be availability of non-permitted docks in Messina Port (MP) and, in any case, the landing at Rada San Francesco (MRSF) already requires the terminal operator C&amp;T to ensure the use of the terminal for carriers that request it132. On the Calabrian side, the port of Reggio Calabria (RC) has ample availability of docks, usable subject to clearance from the AdSP133. Furthermore, at Villa San Giovanni (VSG), the so-called 'Slipway 0' is not permitted under concession and would therefore be available upon request for access to the AdSP. Additionally, the concession for VSG expressly includes the multi-carrier clause. </w:t>
        <w:br/>
        <w:t xml:space="preserve">148. C&amp;T also denies the presence of economic entry barriers as “[…] maritime transport of passengers and cars is a capital-intensive service, like the entire shipping sector. In this perspective, it is highlighted that if the prices charged by C&amp;T were […] so widely profitable (which they are not), they would represent an incentive for entry into the market, allowing potential competitors to recover their investments in satisfactory timeframes”134. </w:t>
        <w:br/>
        <w:t xml:space="preserve">Additionally, the company observes that the entry of new competitors could occur through the possibility of renting ready-to-use ships (crewed), even for short periods of the year. Alternatively, entry into the market could occur through a diversification strategy, such as that of Bluferries: partially directing its fleet towards passenger traffic during the peak season and, during the remaining part of the year, redirecting it towards other market segments (heavy traffic). </w:t>
        <w:br/>
        <w:t xml:space="preserve">149. Finally, the Party contests that the size of its fleet could represent a strategic barrier, ensuring the so-called 'excess capacity'. In fact, according to C&amp;T, the size of the fleet would be proportional to the service offered, comparable to the so-called territorial continuity135, which guarantees the possibility of ferrying every day of the year and for all 24 hours136. Therefore, in order to ensure the continuity of the service, “C&amp;T […] must have the constant availability of so-called 'reserve' ships ready to enter service with minimal notice, should unpredictable events occur”137. </w:t>
        <w:br/>
        <w:t xml:space="preserve">Moreover, according to the Party, its fleet would be comparable, in terms of service offered, to that of Bluferries. In fact, while C&amp;T is engaged in the transport of passengers and goods on two routes, Bluferries is primarily active in the transport of goods on the only VSG-MTR, providing the VSG-MP “[…] passenger transport service only during the peak summer period”138. </w:t>
        <w:br/>
        <w:t xml:space="preserve">III.2 The disproportion between C&amp;T's revenues and costs (so-called excessiveness): cost plus and possible alternative methodologies </w:t>
        <w:br/>
        <w:t xml:space="preserve">150. C&amp;T defines its business model as unified concerning the routes of the Strait of Messina and the demand segments: through the use of the same assets (personnel and fleet), both the VSG-MRSF and VSG-MTR routes are managed, offering a comprehensive service for both passenger transport (with and without cars) and goods transport (light and heavy commercial vehicles)139. </w:t>
        <w:br/>
        <w:t xml:space="preserve">Therefore, according to C&amp;T, the analyses contained in the CRI, aimed at identifying costs and revenues of only the passenger segment with vehicles on the VSG-MRSF, in order to apply the cost plus methodology, would represent a mere theoretical exercise, poorly aligned with the reality of the facts. </w:t>
        <w:br/>
        <w:t xml:space="preserve">151. Considering the unity of the business model, the company emphasizes the opportunity to use alternative methodologies to assess price excessiveness, such as 'intertemporal comparison' and 'comparison among competitors in the same market'140. The use of the two aforementioned alternative methodologies to cost plus, according to the Party, would show the absence of excessive prices, as: C&amp;T's prices have not undergone any increase over time, but only slight adjustments between 2017 and 2019 (in the order of 5-7%); C&amp;T's prices are similar to those of Bluferries, which would represent the most appropriate benchmark to determine whether the prices charged by C&amp;T are excessive. C&amp;T has also repeatedly emphasized the profound difference in the service provided by its competitor, which, with an operation primarily focused on goods transport (route VSG-MTR), dedicates itself to passenger transport with vehicles on the VSG-MP only during the summer period, when this segment of activity is more profitable141. </w:t>
        <w:br/>
        <w:t xml:space="preserve">152. With specific reference to the comparison between revenues and cost plus, the Party believes that the choice of drivers used for the allocation of costs between passenger services (with vehicle) and goods on the bidirectional route VSG-MRSF (Section II.2.2 as well as tests 2, 3, and 4 of Section II.2.4) is based on the assumption that the availability of reserve ships ready to enter service with minimal notice, should unlikely events occur (Cf. doc. n. docc. n. 34, 45, 46, 60 and related attachments)137. </w:t>
        <w:br/>
        <w:t xml:space="preserve">138 Cf. doc. n. 93, pp. 19. </w:t>
        <w:br/>
        <w:t xml:space="preserve">139 Cf. doc. n. 93, pp. 19. </w:t>
        <w:br/>
        <w:t xml:space="preserve">140 Cf. doc. n. 93 and related attachments. </w:t>
        <w:br/>
        <w:t>141 Among other things, also due to the small size of Bluferries' fleet (4 ships), the quality of service is not comparable: the average annual runs for C&amp;T are about [40,000-50,000] compared to [10,000-20,000] for Bluferries. In summary, according to the Party, the lower list prices applied by Bluferries are attributable to the difference in the service provided. This operator does not bear the costs of a ferry service with high connection intensity even in the winter months. Cf. doc. n. 34 and related attachments.</w:t>
      </w:r>
    </w:p>
    <w:p>
      <w:r>
        <w:rPr>
          <w:b/>
        </w:rPr>
        <w:t>[Pages 49–51]</w:t>
      </w:r>
    </w:p>
    <w:p>
      <w:r>
        <w:t>BULLETIN NO. 14 OF APRIL 19, 2022 51</w:t>
        <w:br/>
        <w:t>arbitrary criteria not supported by evidence that would justify the choice. Emphasizing that the allocation of costs between routes and segments of demand would be fictitious in itself, as it is disconnected from C&amp;T's business structure, the Party believes that the most appropriate cost allocation methodology would be the so-called 'incremental cost', proposed during the investigation142.</w:t>
        <w:br/>
        <w:t>153. C&amp;T also contests the methods by which a reasonable profit margin for the company was identified, which, in this case, is represented by a ROI level of 8%. The choice of this level of adequate sector profitability would violate the general principles of due process and the obligation of reasoning, harming the ability to exercise its right of defense. In fact, in the CRI, according to the Party, neither the criteria for selecting the companies included in the sample nor the sources from which the ROI value of those companies was derived are indicated, nor, finally, the methodology adopted to calculate their ROI.</w:t>
        <w:br/>
        <w:t>154. Following these procedural objections, the Party developed a detailed analysis of the ROI level that would be suitable to represent adequate business profitability in the cost plus143. According to C&amp;T's arguments, the CRI did not consider the age of the fleet in calculating the 'adequate' ROI level, limiting itself to deriving the average ROI value of companies with fleets of different ages and extremely dispersed capital profitability (ROI ranging from -2% to +40%). The ROI values recorded during the investigation would therefore be non-comparable as they are not homogeneous. In fact, maritime carriers with fleets characterized by greater age, like C&amp;T, register a higher ROI level compared to carriers with more modern fleets.</w:t>
        <w:br/>
        <w:t>155. Based on these methodological premises, the Party's analysis “[…] shows that C&amp;T's normal ROI should be equal to 54.6%. The ROI level thus identified is explained by the relationship between profitability and fleet age of comparable companies and the age of C&amp;T's fleet. It is the ROI that, on average, any comparable company in the sector would register if it had a fleet with the same age as C&amp;T's fleet”144. C&amp;T highlights that the 'adequate' ROI level would be equal to 54.6% considering capital at the so-called 'historical cost' (balance sheet values), while, in the hypothesis of the so-called 'replacement value', the 'adequate' ROI would drop to 17.2%145.</w:t>
        <w:br/>
        <w:t>156. Finally, the Party replicated the comparison between revenues and cost plus using i) the costs related to the passenger segment allocated based on the 'incremental cost' and ii) the aforementioned ROI values at 'historical cost' and 'replacement value'. Under these assumptions, the tariffs applied by C&amp;T would not be 'excessive', as the disproportion between revenues and cost plus would be in the range [-5 - 0% - 15-20%] with ROI at 'historical cost' and in the interval [1-5%] - [10-15%] with ROI at 'replacement value'.</w:t>
        <w:br/>
        <w:t>142 “[…] C&amp;T identified the costs related to the only passenger transport service by applying a notion of 'incremental cost', thus considering all costs that it could not avoid incurring to offer only passenger transport on that route, net of costs strictly related to freight transport alone. In doing so, C&amp;T attributed a minimal cost share to freight transport on the VSG-MRSF route, reflecting the marginal relevance of that market segment on this route,” Cf. doc. n. 93, p. 29.</w:t>
        <w:br/>
        <w:t>143 Cf. doc. n. 93.2.</w:t>
        <w:br/>
        <w:t>144 Cf. doc. n. 93.2, p. 66.</w:t>
        <w:br/>
        <w:t>145 Cf. doc. n. 93.1, p. 47.</w:t>
      </w:r>
    </w:p>
    <w:p>
      <w:r>
        <w:t>52 BULLETIN NO. 14 OF APRIL 19, 2022</w:t>
        <w:br/>
        <w:t>III.3 The fairness of the tariffs applied by C&amp;T</w:t>
        <w:br/>
        <w:t>157. Regarding fairness, C&amp;T's defense briefs reiterate the use of the criterion of intertemporal comparison of the tariffs applied by the company, which have remained stable over time. Therefore, according to this methodology, it would not be possible to contest the inequity of prices, also because there has been a significant event in the relevant market with important competitive impacts, namely the opening of the Tremestieri terminal in Messina, dedicated to heavy vehicle traffic.</w:t>
        <w:br/>
        <w:t>158. C&amp;T also emphasizes that the Investigative Findings (Appendix 2) highlight that, unlike the passenger segment with cars, the entire freight segment (VSG-MRSF and VSG-MTR) does not show a disproportion between revenues and cost plus and that this alleged different profitability of the segments would be linked to the arbitrary choices made in the allocation of costs on the VSG-MRSF.</w:t>
        <w:br/>
        <w:t>159. Moving on to the tariff comparison with carriers active on comparable routes, C&amp;T, as highlighted above (cf. section II.2.5 - supra), produced its own benchmarking study from which, by comparing the 'prices per mile' applied by C&amp;T with those of the considered comparable routes, it would emerge that the company's tariffs are not higher than those generally applied on the benchmark routes. According to the Party, the benchmarking analysis would also confirm, “[…] the peculiarity of the territorial continuity service guaranteed by C&amp;T, as well as the appropriateness of the pricing policy, with prices for transporting passengers with vehicles that are at least average compared to comparable services at the European level”146.</w:t>
        <w:br/>
        <w:t>160. Starting from this study, according to the Party, “the CRI […] reworks (or rather, distorts) the analyses made in the study [N.d.R. originally filed by C&amp;T], modifying the comparison criteria used therein, eliminating some data and using other incorrect ones. It is clear that in this way the results of the study produced by C&amp;T are completely altered and 'bent' towards results aimed at showing a price disproportion […] that, however, does not exist”147.</w:t>
        <w:br/>
        <w:t>161. Firstly, the Party contests the exclusion of C&amp;T and Bluferries from the sample of comparable routes. In particular, Bluferries should necessarily be included as it does not represent a mere follower, but rather a competitor that exerts competitive pressure on C&amp;T. Secondly, C&amp;T reiterates that the comparison with comparable routes should be made considering the 'price per mile', which represents the scientifically most correct metric and, among other things, the one used in the initiation of the procedure.</w:t>
        <w:br/>
        <w:t>162. In its briefs, C&amp;T also clarifies that, although the routes identified in the benchmarking study filed in the records are comparable, this does not imply that they are also homogeneous. In fact, only the routes operated by Bluferries (VSG-MP) and by Forsea/Scandilines (Helsingor-Helsinborg) are homogeneous with respect to the route under analysis (VSG-MRSF). Therefore, the company continues, only on these routes would it be possible to compare the 'ticket price' instead of the 'price per mile', and the evidence would show that C&amp;T's tariffs are similar to those of the two cited carriers.</w:t>
        <w:br/>
        <w:t>146 Cf. doc. n. 39, p. 2.</w:t>
        <w:br/>
        <w:t>147 Cf. doc. n. 93, p. 47.</w:t>
      </w:r>
    </w:p>
    <w:p>
      <w:r>
        <w:t>BULLETIN NO. 14 OF APRIL 19, 2022 53</w:t>
        <w:br/>
        <w:t>163. Regarding the comparative analysis with the tariffs applied on benchmark routes, the Party also raises procedural issues, contesting that only the public price lists of the carriers were considered, without sending them specific requests for information. Furthermore, no evidence concerning the discounts applied was provided, and C&amp;T's promotional tariffs were not considered. Finally, regarding the comparable route Der Helder-Texel, operated by the carrier TESO, the Party contests the existence of one of the tariffs considered in the comparative analysis (one-way fare, as the carrier only offers round-trip tickets).</w:t>
        <w:br/>
        <w:t>164. C&amp;T has also provided its justifications regarding the circumstance that the ticket prices, for the same type of traffic (freight or passengers), are the same for the two routes VSG-MRSF and VSG-MTR, regardless of their different lengths148. In particular, the port of Tremestieri - built with the explicit function of receiving heavy traffic crossing the Strait, in order to decongest the transit of such vehicles in the city of Messina - would not, however, be able to absorb all heavy vehicle traffic due to reasons related to the construction of the port and the weather conditions that often cause its silting, making it necessary to shift some freight traffic also to MRSF. In such a context, the choice to apply the same price avoids disputes from users who, in light of a shorter route in terms of miles and a consequently lower ticket price, would all request to be ferried on MRSF, undermining the objectives of freeing the city of Messina from heavy vehicle traffic, which led to the construction of the Tremestieri terminal149.</w:t>
        <w:br/>
        <w:t>165. Finally, with specific reference to the qualitative aspects of the ferry service offered, C&amp;T has highlighted the investments made over time to facilitate boarding activities and, moreover, has emphasized the punctuality of the service. Regarding the level of customer satisfaction, contesting the possibility of considering TripAdvisor as a reliable source, the Party provided its internal data showing that out of [1,000-2,000] consumers consulted, [1,000-2,000] rate the service as 'good' and 'very good'150.</w:t>
        <w:br/>
        <w:t>III.4 In the alternative: the sanction</w:t>
        <w:br/>
        <w:t>166. C&amp;T believes that the evidence and arguments produced are suitable to demonstrate the non-existence of the abusive conduct contested in the CRI. Therefore, only in the alternative, it requests that the offense be considered as not serious and, in any case, that no sanction be imposed on it.</w:t>
        <w:br/>
        <w:t>167. Specifically, C&amp;T emphasizes how the evidence concerning the alleged inequity is the result of “[…] a glaring distortion of the objective data that emerge from the comparison between C&amp;T's prices and those of other foreign carriers”151. Furthermore, with specific reference to the duration of the infringement, C&amp;T believes that the conduct cannot be considered as 'still ongoing', as the CRI did not extend the analyses to the years 2020 and 2021.</w:t>
        <w:br/>
        <w:t>148 Cf. doc. n. 34.</w:t>
        <w:br/>
        <w:t>149 Cf. “Declaration of the state of emergency of the city regarding the crossing by heavy vehicles” with the Decree of the President of the Council of Ministers of November 15, 2001 (Official Gazette of the Italian Republic no. 269 of November 19, 2001).</w:t>
        <w:br/>
        <w:t>150 Cf. doc. n. 93, p. 52.</w:t>
        <w:br/>
        <w:t>151 Cf. Doc. n. 93, p. 55.</w:t>
      </w:r>
    </w:p>
    <w:p>
      <w:r>
        <w:rPr>
          <w:b/>
        </w:rPr>
        <w:t>[Pages 52–54]</w:t>
      </w:r>
    </w:p>
    <w:p>
      <w:r>
        <w:t>54 BULLETIN NO. 14 OF APRIL 19, 2022</w:t>
        <w:br/>
        <w:t>168. Regarding the entry fee, the Party emphasizes how the alleged abuse would represent a novelty at the national and community level, consequently lacking the subjective element that would allow for the imposition of a monetary sanction and, therefore, the application of the entry fee.</w:t>
        <w:br/>
        <w:t>169. Finally, the Party illustrates that it has proceeded with a generalized reduction of prices for ferry services across the Strait. Specifically: “C&amp;T has decided to implement a generalized reduction of prices for maritime transport services across the Strait of Messina for the entire year 2022. This intervention will lead to a reduction of approximately 10% in the ticket price for the transport of passengers with cars/motorcycles/campers, as well as a reduction between 3% and 12% in the ticket price for the transport of commercial vehicles. This price reduction is the result of the Company's entrepreneurial choice to allocate the compensations provided by decree-law no. 104 of 2020 for the damages suffered by the maritime transport sector”152.</w:t>
        <w:br/>
        <w:t>IV EVALUATIONS</w:t>
        <w:br/>
        <w:t>IV.1 Preliminary Issues</w:t>
        <w:br/>
        <w:t>IV.1.1 On the Compression of Defense Rights</w:t>
        <w:br/>
        <w:t>170. In its final briefs153, C&amp;T has preliminarily raised an issue concerning the alleged compression of its defense rights with reference to two investigative profiles: i) the calculation of the ROI level representative of an adequate level of profitability (‘adequate ROI’), specifically regarding the criteria based on which the companies included in the sample were selected and the sources from which the ROI value of those companies was derived; ii) the methods of detecting the prices applied by operators active on comparable routes, concerning the failure to send specific requests for information to foreign carriers to understand the application methods and weight of the discounted tariffs. In particular, the Party has complained of an alleged lack of investigation on these profiles and the lack of access to the information used in the CRIs.</w:t>
        <w:br/>
        <w:t>171. On the first profile, it is noted, as communicated to the Party during the proceedings154, that it has had access to all the requested information and data. In particular, the specific data and information used for the calculation of the ‘adequate ROI’, all derived from public financial statements, have been reported in the annex of Appendix 1 of the CRI and this provision.</w:t>
        <w:br/>
        <w:t>172. Specifically, the identification of the ‘adequate ROI’ level was based on a sample of 23 carriers, including all the companies included in the benchmarking study filed in the records by C&amp;T155 for which it was possible to obtain the financial statements for the years 2017-2019 (14 companies), to which were added other major ferry/navigation companies active on European routes for which it was possible to obtain the financial statements, also for the years 2017-2019 (Laziomar, Liberty Lines, CIN (Tirrenia), Grimaldi Euromed, Forship, Destination Gotland, Tallink Grupp, DFDS, and Irish Ferries).</w:t>
        <w:br/>
        <w:t>173. Regarding the second profile related to the detection of the tariffs applied by carriers active on comparable routes - again those identified by C&amp;T in the benchmarking study - it is highlighted that all the information is contained in Figure 6 of the CRIs and this provision. In particular, the cited Figure 6 accurately reports the exchange rates used, the methodology for calculating Purchasing Power Parity, the links to the websites where the price lists of the considered foreign carriers are available. Furthermore, as clarified at the bottom of the same Figure 6, these price lists have been acquired in the records and included in the investigative file156. The Company had access to this document during the access to records on December 7, 2021157.</w:t>
        <w:br/>
        <w:t>174. Finally, the objection concerning the alleged lack of investigation also appears to be instrumental and lacking merit. In fact, the considered price lists indicate the prices actually charged by the carriers. Moreover, unlike the benchmarking study of the Party, which instrumentally considered only the highest tariffs applied on comparable routes, the investigative activity has deepened the analysis of the commercial offer of these carriers, finding price lists that are much broader and more articulated than those analyzed by C&amp;T. Regarding the ‘weight’ of the discounted tariffs applied by comparable carriers, it is noted that the average price applied by C&amp;T is approximately [40-45%] higher (Section IV.4.1 - infra) than the average of the highest tariffs of comparable carriers. Such evidence implies that, even considering the ‘weight’ of the discounted tariffs, further evidence would have emerged to confirm the inequity of C&amp;T's tariffs compared to comparable routes, not the opposite. In fact, considering the discounted tariffs of comparable carriers would lead to identifying a price certainly lower than the average maximum, which is already significantly lower than the average price applied by C&amp;T.</w:t>
        <w:br/>
        <w:t>IV.1.2 On the Legal Basis Used</w:t>
        <w:br/>
        <w:t>175. In its defense brief, C&amp;T also contests the legal basis used, namely Article 3 of Law no. 287/1990 instead of Article 102 TFEU, considering this element sufficient to proceed with the dismissal of the proceedings.</w:t>
        <w:br/>
        <w:t>176. Preliminary, it is highlighted that the service under analysis, namely the connection of the metropolitan areas overlooking the Strait of Messina, is aimed at a predominantly local audience throughout the year, to which are added, during the peak seasonal period, tourist flows. Additionally, it is sufficient to recall that the administrative judge has clearly stated that the application of the community or national legal basis does not affect the substantive assessment of antitrust violations in any way. For example, the TAR Lazio clarified that: “even if there is no appreciable harm to trade between Member States, the application of the community norm by the Authority does not affect the substantive assessment, in terms of antitrust legality, of the agreement under evaluation. Article 2 of Law no. 287/90, excluding obviously the assumption of harm to trade between Member States, almost entirely reproduces the text of the community norm, borrowing its rationale and purpose”158. Similarly, given the perfect textual identity of Article 3 of Law 287/90 and Article 102 TFEU, whatever legal basis is chosen, it does not affect the assessment of the facts made in this context.</w:t>
        <w:br/>
        <w:t>IV.2 The Relevant Market</w:t>
        <w:br/>
        <w:t>177. C&amp;T's behaviors concern ferry services for passengers with accompanying wheeled vehicles and commercial vehicles with drivers (Ro/Pax) across the Strait of Messina.</w:t>
        <w:br/>
        <w:t>178. Due to the type of services provided, the different ports of arrival and departure, the different duration of crossings, the characteristics of the ships used, as well as the frequency of the connections operated, it seems possible to consider that these services constitute a distinct market both compared to the service of transporting only passengers operated with fast ships and compared to the maritime transport service operated by Ro/Ro ships dedicated exclusively (or almost) to freight transport159.</w:t>
        <w:br/>
        <w:t>179. The Authority, in its precedents, has excluded the substitutability between fast connections via hydrofoil and connections through ferries, due to the different travel times and price differences between the two services. In the specific context represented by the Strait area, the lack of substitutability between ferry and hydrofoil emerges, first of all, considering the impossibility of boarding vehicles on fast ships and, furthermore, noting the peculiar nature of the services provided by Blu Jet. It is recalled, in fact, as illustrated in II.1.2 (supra), that the hydrofoils on the VSG-MP represent a complementary and coordinated service to the rail transport carried out by RFI, with timetables consistent with the departure and arrival of trains, which do not always coincide with the needs of passenger traffic crossing the Strait. Finally, the RC-MP route is characterized by specific needs for territorial continuity of commuter traffic.</w:t>
        <w:br/>
        <w:t>180. In favor of the distinction between Ro/Pax and Ro/Ro services, in addition to frequency (in this case lower for Ro/Ro) and travel times (generally longer for Ro/Ro), also the type of services offered on board are relevant elements for the tourist clientele and much less relevant for the majority of Ro/Ro users. Based on the elements identified above, it can therefore be argued that the relevant commodity market is constituted by the market for Ro/Pax ferry services.</w:t>
        <w:br/>
        <w:t>181. The established national and community precedents, applying the method of origin-destination pairs, identify the connections between pairs of ports and, more precisely, between their respective user basins, as distinct relevant geographic markets.</w:t>
        <w:br/>
        <w:t>182. As illustrated in the factual part, within the Strait area, the Ro/Pax line maritime transport concentrates on the two bidirectional routes VSG-MRSF and VSG-MP where almost all passengers and cars are transported, along with a share of commercial vehicles for freight transport. These routes should be distinguished from the bidirectional routes with a vocation for freight transport.</w:t>
      </w:r>
    </w:p>
    <w:p>
      <w:r>
        <w:rPr>
          <w:b/>
        </w:rPr>
        <w:t>[Pages 55–57]</w:t>
      </w:r>
    </w:p>
    <w:p>
      <w:r>
        <w:t>BULLETIN NO. 14 OF APRIL 19, 2022 57</w:t>
        <w:br/>
        <w:t>Ro/Ro160, namely the VSG-MTR and the RC-MTR, structurally dedicated to the transport of goods, also by virtue of specific ordinances from the Municipality of Messina aimed at freeing the city center from heavy vehicle traffic.</w:t>
        <w:br/>
        <w:t>183. In light of such evidence and arguments, it is believed that the relevant market consists of the transport of passengers, with or without accompanying vehicles, and goods on the bidirectional routes connecting Villa San Giovanni to the ports in the Messina area, namely the Ro/Pax routes VSG-MRSF and VSG-MP.</w:t>
        <w:br/>
        <w:t>IV.3 The dominant position of C&amp;T</w:t>
        <w:br/>
        <w:t>184. As clarified by administrative jurisprudence161, a dominant position is a position of economic power through which the company that holds it is able to hinder the persistence of effective competition in a given market and has the ability to behave, in general, independently towards competitors, customers, and, ultimately, consumers162. The factual analysis, consequently, assumes a decisive value, since "the existence of a dominant position generally derives from the conjunction of multiple factors that, taken in isolation, would not necessarily have been decisive"163. The norm, therefore, outlines an "open" case, with the consequence that for a dominant position to exist, it is not necessary for a company to be in a monopoly or near-monopoly position in a given market, since what matters is the company's ability (if not to decide, at least) to significantly influence the way in which that competition will take place164.</w:t>
        <w:br/>
        <w:t>185. That said, C&amp;T's dominant position in the provision of ferry services on the relevant market of the two bidirectional Ro/Pax routes VSG-MRSF and VSG-MP emerges clearly by analyzing, first of all, the company's market shares (Table 8 - infra). In fact, C&amp;T's market shares are approximately [95-100%] for passengers and cars and about [80-85%] for goods. The remaining volumes are attributable to Bluferries.</w:t>
        <w:br/>
        <w:t>160 As highlighted, on the Ro/Ro routes, passengers with vehicles are boarded with completely residual volumes ([&lt;1%] of cars on the VSG-MTR of Bluferries and [1-5%] on the RC-MTR of Meridiano Linea – see Table 3, section II.2.3., supra).</w:t>
        <w:br/>
        <w:t>161 See Tar Lazio, ruling no. 7175 of June 4, 2019, A487 – CIN-Maritime Transport Goods Sardinia; Tar Lazio, ruling no. 6080 of May 31, 2018, A484 – Unilever /Ice Cream Distribution; Tar Lazio, ruling no. 1188 of January 23, 2017, A474 – SEA/ATA Convention.</w:t>
        <w:br/>
        <w:t>162 See Court of Justice, judgment of February 14, 1978, C-27/76, United Brands.</w:t>
        <w:br/>
        <w:t>163 See Court of Justice, judgment of February 14, 1978, C-27/76, United Brands.</w:t>
        <w:br/>
        <w:t>164 See Court of Justice, judgment of February 14, 1978, C-27/76, cited, and Court of Justice, judgment of February 13, 1979, C-85/76, Hoffmann/La Roche.</w:t>
      </w:r>
    </w:p>
    <w:p>
      <w:r>
        <w:t>58 BULLETIN NO. 14 OF APRIL 19, 2022</w:t>
        <w:br/>
        <w:t>Table 8 – Market shares on the Ro/Pax routes VSG-MRSF and VSG-MP (2017-2020)</w:t>
        <w:br/>
        <w:t>Route No. Vehicles</w:t>
        <w:br/>
        <w:t>Type Ship Operator No. Trips % % No. Cars % No. Passengers %</w:t>
        <w:br/>
        <w:t>(Round Trip) Heavy (*)</w:t>
        <w:br/>
        <w:t>2017</w:t>
        <w:br/>
        <w:t>[10,000- [200,000- [1,000,000- [7,000,000-</w:t>
        <w:br/>
        <w:t>Ro/Pax C&amp;T VSG-MRSF 100.0% 100.0% 100.0% 100.0%</w:t>
        <w:br/>
        <w:t>20,000] 300,000] 2,000,000] 8,000,000]</w:t>
        <w:br/>
        <w:t>Ro/Pax Bluferries VSG-MP N.A. N.A. N.A. N.A. N.A. N.A. N.A. N.A.</w:t>
        <w:br/>
        <w:t>[10,000- [200,000- [1,000,000- [7,000,000-</w:t>
        <w:br/>
        <w:t>TOTAL 100% 100% 100% 100%</w:t>
        <w:br/>
        <w:t>20,000] 300,000] 2,000,000] 8,000,000]</w:t>
        <w:br/>
        <w:t>2018</w:t>
        <w:br/>
        <w:t>[30,000- [200,000- [1,000,000- [7,000,000-</w:t>
        <w:br/>
        <w:t>Ro/Pax C&amp;T VSG-MRSF 100.0% 100.0% 100.0% 100.0%</w:t>
        <w:br/>
        <w:t>40,000] 300,000] 2,000,000] 8,000,000]</w:t>
        <w:br/>
        <w:t>Ro/Pax Bluferries VSG-MP N.A. N.A. N.A. N.A. N.A. N.A. N.A. N.A.</w:t>
        <w:br/>
        <w:t>[30,000- [200,000- [1,000,000- [7,000,000-</w:t>
        <w:br/>
        <w:t>TOTAL 100% 100% 100% 100%</w:t>
        <w:br/>
        <w:t>40,000] 300,000] 2,000,000] 8,000,000]</w:t>
        <w:br/>
        <w:t>2019</w:t>
        <w:br/>
        <w:t>[20,000- [200,000- [1,000,000- [8,000,000-</w:t>
        <w:br/>
        <w:t>Ro/Pax C&amp;T VSG-MRSF [75-80%] [80-85%] [95-100%] [95-100%]</w:t>
        <w:br/>
        <w:t>30,000] 300,000] 2,000,000] 9,000,000]</w:t>
        <w:br/>
        <w:t>[8,000- [40,000- [80,000- [300,000-</w:t>
        <w:br/>
        <w:t>Ro/Pax Bluferries VSG-MP [20-25%] [15-20%] [1-5%] [1-5%]</w:t>
        <w:br/>
        <w:t>9,000] 50,000] 90,000] 400,000]</w:t>
        <w:br/>
        <w:t>[30,000- [300,000- [1,000,000- [8,000,000-</w:t>
        <w:br/>
        <w:t>TOTAL 100% 100% 100% 100%</w:t>
        <w:br/>
        <w:t>40,000] 400,000] 2,000,000] 9,000,000]</w:t>
        <w:br/>
        <w:t>2020</w:t>
        <w:br/>
        <w:t>[20,000- [100,000- [1,000,000- [4,000,000-</w:t>
        <w:br/>
        <w:t>Ro/Pax C&amp;T VSG-MRSF [80-85%] [80-85%] [95-100%] [95-100%]</w:t>
        <w:br/>
        <w:t>30,000] 200,000] 2,000,000] 5,000,000]</w:t>
        <w:br/>
        <w:t>[4,000- [30,000- [50,000- [200,000-</w:t>
        <w:br/>
        <w:t>Ro/Pax Bluferries VSG-MP [15-20%] [15-20%] [1-5%] [1-5%]</w:t>
        <w:br/>
        <w:t>5,000] 40,000] 60,000] 300,000]</w:t>
        <w:br/>
        <w:t>[20,000- [200,000- [1,000,000- [4,000,000-</w:t>
        <w:br/>
        <w:t>TOTAL 100% 100% 100% 100%</w:t>
        <w:br/>
        <w:t>30,000] 300,000] 2,000,000] 5,000,000]</w:t>
        <w:br/>
        <w:t>(*) The market shares of the goods segment measured in tons show results equal to the market shares measured in terms of the number of heavy vehicles, therefore they are not reported in this Table.</w:t>
        <w:br/>
        <w:t>N.A. In 2017 and 2018 Bluferries did not activate the VSG-MP route.</w:t>
        <w:br/>
        <w:t>Source: AGCM processing on AdSP data (doc. no. 4, 23, 62, 63 and related attachments)</w:t>
        <w:br/>
        <w:t>186. The assessments regarding C&amp;T's absolute preeminence do not change even when considering the entire range of Ro/Pax and Ro/Ro services offered in the Strait (Table 9 - infra). The data show that C&amp;T's shares remain extremely high throughout the entire period, including the Ro/Ro routes (VSG-MTR and RC-MTR). C&amp;T's share reaches [90-95%] with respect to the number of cars boarded and is significantly higher than [80-85%] considering passengers. In the transport of goods, considering the two routes served by C&amp;T, namely the VSG-MRSF and the VSG-MTR (passengers on this route are absolutely marginal), the share attributable to the company is approximately [65-70%] in the three-year period 2017-2019, while in 2020 it reaches [55-60%]. Bluferries follows with goods shares ranging from approximately [20-25%] (2017-2019) to [25-30%] (2020). Finally, Meridiano on the RC-MTR route captures [10-15%] of the goods transport.</w:t>
      </w:r>
    </w:p>
    <w:p>
      <w:r>
        <w:t>BULLETIN NO. 14 OF APRIL 19, 2022 59</w:t>
        <w:br/>
        <w:t>Table 9 – Market shares on the Ro/Pax and Ro/Ro routes of the Strait of Messina (2017-2020)</w:t>
        <w:br/>
        <w:t>2017</w:t>
        <w:br/>
        <w:t>Route No. No. Vehicles</w:t>
        <w:br/>
        <w:t>Type Ship Operator % % No. Cars % No. Passengers %</w:t>
        <w:br/>
        <w:t>(Round Trip) Trips Heavy (*)</w:t>
        <w:br/>
        <w:t>2017</w:t>
        <w:br/>
        <w:t>[10,000- [200,000- [1,000,000- [7,000,000-</w:t>
        <w:br/>
        <w:t>Ro/Pax C&amp;T VSG-MRSF [30-35%] [30-35%] [90-95%] [85-90%]</w:t>
        <w:br/>
        <w:t>20,000] 300,000] 2,000,000] 8,000,000]</w:t>
        <w:br/>
        <w:t>[8,000- [200,000- [200,000-</w:t>
        <w:br/>
        <w:t>Ro/Ro C&amp;T VSG-MTR [15-20%] [30-35%] [400-500] [&lt;1%] [1-5%]</w:t>
        <w:br/>
        <w:t>9,000] 300,000] 300,000]</w:t>
        <w:br/>
        <w:t>[7,000- [90,000- [10,000- [100,000-</w:t>
        <w:br/>
        <w:t>Ro/Ro Meridiano RC-MTR [10-15%] [10-15%] [&lt;1%] [1-5%]</w:t>
        <w:br/>
        <w:t>8,000] 100,000] 20,000] 200,000]</w:t>
        <w:br/>
        <w:t>[10,000- [100,000- [70,000- [400,000-</w:t>
        <w:br/>
        <w:t>Ro/Ro Bluferries VSG-MTR [35-40%] [20-25%] [1-5%] [5-10%]</w:t>
        <w:br/>
        <w:t>20,000] 200,000] 80,000] 500,000]</w:t>
        <w:br/>
        <w:t>Ro/Pax Bluferries VSG-MP N.A. N.A. N.A. N.A. N.A. N.A. N.A. N.A.</w:t>
        <w:br/>
        <w:t>[40,000- [700,000- [1,000,000- [8,000,000-</w:t>
        <w:br/>
        <w:t>TOTAL 100% 100% 100% 100%</w:t>
        <w:br/>
        <w:t>50,000] 800,000] 2,000,000] 9,000,000]</w:t>
        <w:br/>
        <w:t>2018</w:t>
        <w:br/>
        <w:t>[30,000- [200,000- [1,000,000- [7,000,000-</w:t>
        <w:br/>
        <w:t>Ro/Pax C&amp;T VSG-MRSF [40-45%] [30-35%] [90-95%] [95-90%]</w:t>
        <w:br/>
        <w:t>40,000] 300,000] 2,000,000] 8,000,000]</w:t>
        <w:br/>
        <w:t>[10,000- [200,000- [200,000-</w:t>
        <w:br/>
        <w:t>Ro/Ro C&amp;T VSG-MTR [20-25%] [25-30%] [200-300] [&lt;1%] [1-5%]</w:t>
        <w:br/>
        <w:t>20,000] 300,000] 300,000]</w:t>
        <w:br/>
        <w:t>[6,000- [90,000- [9,000- [100,000-</w:t>
        <w:br/>
        <w:t>Ro/Ro Meridiano RC-MTR [5-10%] [10-15%] [&lt;1%] [1-5%]</w:t>
        <w:br/>
        <w:t>7,000] 100,000] 10,000] 200,000]</w:t>
        <w:br/>
        <w:t>[10,000- [100,000- [80,000- [500,000-</w:t>
        <w:br/>
        <w:t>Ro/Ro Bluferries VSG-MTR [20-25%] [20-25%] [1-5%] [5-10%]</w:t>
        <w:br/>
        <w:t>20,000] 200,000] 90,000] 600,000]</w:t>
        <w:br/>
        <w:t>Ro/Pax Bluferries VSG-MP N.A. N.A. N.A. N.A. N.A. N.A. N.A. N.A.</w:t>
        <w:br/>
        <w:t>[70,000- [700,000- [1,000,000- [8,000,000-</w:t>
        <w:br/>
        <w:t>TOTAL 100% 100% 100% 100%</w:t>
        <w:br/>
        <w:t>80,000] 800,000] 2,000,000] 9,000,000]</w:t>
        <w:br/>
        <w:t>2019</w:t>
        <w:br/>
        <w:t>[20,000- [200,000- [1,000,000- [8,000,000-</w:t>
        <w:br/>
        <w:t>Ro/Pax C&amp;T VSG-MRSF [40-45%] [30-35%] [90-95%] [85-90%]</w:t>
        <w:br/>
        <w:t>30,000] 300,000] 2,000,000] 9,000,000]</w:t>
        <w:br/>
        <w:t>[10,000- [200,000- [300,000-</w:t>
        <w:br/>
        <w:t>Ro/Ro C&amp;T VSG-MTR [20-25%] [30-35%] [200-300] [&lt;1%] [1-5%]</w:t>
        <w:br/>
        <w:t>20,000] 300,000] 400,000]</w:t>
        <w:br/>
        <w:t>[7,000- [90,000- [8,000- [100,000]-</w:t>
        <w:br/>
        <w:t>Ro/Ro Meridiano RC-MTR [5-10%] [10-15%] [&lt;1%] [1-5%]</w:t>
        <w:br/>
        <w:t>8,000] 100,000] 9,000] 200,000]</w:t>
        <w:br/>
        <w:t>[10,000- [100,000- [10,000- [100,000-</w:t>
        <w:br/>
        <w:t>Ro/Ro Bluferries VSG-MTR [10-15%] [10-15%] [1-5%] [1-5%]</w:t>
        <w:br/>
        <w:t>20,000] 200,000] 20,000] 200,000]</w:t>
        <w:br/>
        <w:t>[8,000- [40,000- [80,000- [300,000-</w:t>
        <w:br/>
        <w:t>Ro/Pax Bluferries VSG-MP [10-15%] [5-10%] [1-5%] [1-5%]</w:t>
        <w:br/>
        <w:t>9,000] 50,000] 90,000] 400,000]</w:t>
        <w:br/>
        <w:t>[70,000- [700,000- [1,000,000- [9,000,000-</w:t>
        <w:br/>
        <w:t>TOTAL 100% 100% 100% 100%</w:t>
        <w:br/>
        <w:t>80,000] 800,000] 2,000,000] 10,000,000]</w:t>
        <w:br/>
        <w:t>2020</w:t>
        <w:br/>
        <w:t>[20,000- [100,000- [1,000,000- [4,000,000-</w:t>
        <w:br/>
        <w:t>Ro/Pax C&amp;T VSG-MRSF [35-40%] [20-25%] [90-95%] [80-85%]</w:t>
        <w:br/>
        <w:t>30,000] 200,000] 2,000,000] 5,000,000]</w:t>
        <w:br/>
        <w:t>[10,000- [200,000- [300,000-</w:t>
        <w:br/>
        <w:t>Ro/Ro C&amp;T VSG-MTR [25-30%] [30-35%] [500-600] [&lt;1%] [5-10%]</w:t>
        <w:br/>
        <w:t>20,000] 300,000] 400,000]</w:t>
        <w:br/>
        <w:t>[6,000- [90,000- [4,000- [100,000-</w:t>
        <w:br/>
        <w:t>Ro/Ro Meridiano RC-MTR [10-15%] [10-15%] [&lt;1%] [1-5%]</w:t>
        <w:br/>
        <w:t>7,000] 100,000] 5,000] 200,000]</w:t>
        <w:br/>
        <w:t>[10,000- [100,000- [30,000- [200,000-</w:t>
        <w:br/>
        <w:t>Ro/Ro Bluferries VSG-MTR [15-20%] [20-25%] [1-5%] [5-10%]</w:t>
        <w:br/>
        <w:t>20,000] 200,000] 40,000] 300,000]</w:t>
        <w:br/>
        <w:t>[4,000- [30,000- [50,000- [200,000-</w:t>
        <w:br/>
        <w:t>Ro/Pax Bluferries VSG-MP [5-10%] [1-5%] [1-5%] [1-5%]</w:t>
        <w:br/>
        <w:t>5,000] 40,000] 60,000] 300,000]</w:t>
        <w:br/>
        <w:t>[60,000- [700,000- [1,000,000- [5,000,000-</w:t>
        <w:br/>
        <w:t>TOTAL 100% 100% 100% 100%</w:t>
        <w:br/>
        <w:t>70,000] 800,000] 2,000,000] 6,000,000]</w:t>
        <w:br/>
        <w:t>(*) The market shares of the goods segment measured in tons show results equal to the market shares measured in terms of the number of heavy vehicles, therefore they are not reported in this Table.</w:t>
        <w:br/>
        <w:t>N.A. In 2017 and 2018 Bluferries did not activate the VSG-MP route.</w:t>
        <w:br/>
        <w:t>Source: AGCM processing on AdSP data (doc. no. 4, 23, 62, 63 and related attachments)</w:t>
      </w:r>
    </w:p>
    <w:p>
      <w:r>
        <w:rPr>
          <w:b/>
        </w:rPr>
        <w:t>[Pages 58–60]</w:t>
      </w:r>
    </w:p>
    <w:p>
      <w:r>
        <w:t>60 BULLETIN NO. 14 OF APRIL 19, 2022</w:t>
        <w:br/>
        <w:t>187. C&amp;T therefore holds a dominant position not only in the identified relevant market but also across the entire Strait area. Among other things, with particular reference to the passenger and car segment, the company benefits, consistently over time, from a condition close to monopoly. This aspect is particularly relevant in examining a case of excessively onerous pricing, as the market power enjoyed by the company is such that its commercial policy is not in any way regulated by the presence of competitors, both current and potential. In fact, the market shares of Bluferries and Meridiano, especially with regard to passengers and cars, show that these operators do not exert any competitive constraint, being entirely marginal compared to the Party. The main operator is Bluferries, which, however, the Party itself does not consider a real competitor165, as it operates residually in the transport of passengers with cars and goods on the VSG-MP, with heavy vehicle transport on the VSG-MTR route being the core business of the company166.</w:t>
        <w:br/>
        <w:t>188. In addition to the analysis of market shares, C&amp;T's dominant position also clearly emerges when considering further elements that characterize its economic power in the relevant market. First of all, C&amp;T represents the operator that has historically (since 1965) provided the connection service across the Strait. This circumstance, in addition to ensuring knowledge of the territory, notoriety, and immediate brand recognition, allows the company to have full awareness of the mobility needs of customers and their developments over time, thus being able to anticipate them and coherently define its commercial offers (schedules, rates, etc.).</w:t>
        <w:br/>
        <w:t>189. Secondly, C&amp;T is the only carrier that has always served the VSG-MRSF, being vertically integrated at the terminal as both terminal operator and carrier. This route, in addition to benefiting from direct connections with the motorway network, allows for the provision of the shortest and fastest ferry services and, consequently, represents the most commercially attractive route for passengers traveling with cars. In this regard, Bluferries also states that "The landing at MRSF, due to […] its geographical position, can be a solution with greater attractiveness for the transport of passengers with cars"167.</w:t>
        <w:br/>
        <w:t>190. In evaluating the market context, the size of C&amp;T's fleet, consisting of 8 ships, of which 3 are exclusively dedicated to the VSG-MRSF and another 5 that can alternatively also serve the VSG-MTR, is also of particular importance. Such availability of ships, along with the other described factors, represents a strong disincentive to entry or expansion in the market, even for an operator like Bluferries. This operator, with a fleet consisting of 4 ships during the period analyzed by the investigation, that is, half of C&amp;T's, has highlighted that the number of ships represents "[...] a strategic choice, to protect its core business, resulting from the analysis of its fleet [...] and the volumes of goods transported [...], to offer a quality service, [...] allowing exclusively to serve one route, in the case of Bluferries, the MTR-VSG [N.d.R. emphasis added]"168.</w:t>
        <w:br/>
        <w:t>165 See infra note 215 and §257.</w:t>
        <w:br/>
        <w:t>166 See docs. n. 28, 49.</w:t>
        <w:br/>
        <w:t>167 See doc. n. 49.4, p. 3.</w:t>
        <w:br/>
        <w:t>168 See doc. n. 49, p. 2.</w:t>
      </w:r>
    </w:p>
    <w:p>
      <w:r>
        <w:t>BULLETIN NO. 14 OF APRIL 19, 2022 61</w:t>
        <w:br/>
        <w:t>191. The size of its fleet allows C&amp;T to oversee traffic across the entire Strait, being able to effectively serve two distinct routes and offer an unmatched number of crossings compared to competitors. Furthermore, the high number of available ships ensures that C&amp;T can easily intensify its ferry service on one route of the Strait (for example, VSG-MRSF) without having to divert traffic from the other (for example, VSG-MTR, see Figure 2, Section II.1.2 - supra). In this way, the company has the full capacity to counter the expansion of current competitors and the entry of new operators.</w:t>
        <w:br/>
        <w:t>192. Therefore, the size of C&amp;T's fleet contributes to increasing economic-financial entry barriers, which are significant in themselves due to the substantial capital required to equip a fleet suitable for providing ferry services across the Strait. Moreover, the number of ships available to C&amp;T represents a 'strategic barrier' capable of inhibiting or discouraging both the entry of new operators and significant expansion of currently present carriers.</w:t>
        <w:br/>
        <w:t>193. In its defense briefs, C&amp;T contested having market power, arguing that the presence of free landings on both sides of the Strait - accessible through a simple authorization from the AdSP - would facilitate entry into the market in the presence of particularly profitable prices. In other words, due to the absence of regulatory or administrative barriers, it would not be possible to qualify C&amp;T as an operator in a dominant position, as the presence of potential competition would prevent excessive pricing. In this regard, the Party also highlighted that in the procedures and contracts governing the concessions it holds at the MRSF and VSG terminals, there is a multi-carrier clause that requires C&amp;T to ensure access to the terminals for all interested carriers.</w:t>
        <w:br/>
        <w:t>194. Regarding the size of its fleet, C&amp;T also emphasized that this cannot be considered either a strategic or financial barrier. Specifically, the number of ships would be proportional to the service provided and, therefore, C&amp;T would not have excess capacity. Additionally, in the shipping sector, there would be the possibility of renting ready-to-use ships even for short periods of the year. Alternatively, a potential entrant could adopt a diversification strategy, such as that practiced by Bluferries. This carrier, in fact, normally serves the freight segment on the VSG-MTR and, only during the summer period, intensifies crossings on the VSG-MP to intercept passenger traffic, competing with C&amp;T.</w:t>
        <w:br/>
        <w:t>195. In this regard, it is noted that the objections raised by C&amp;T regarding the disciplining presence of potential competition, in a market allegedly not saturated and characterized by ample access opportunities, appear instrumental and entirely disconnected from a real assessment of the ferry service across the Strait.</w:t>
        <w:br/>
        <w:t>196. First of all, as highlighted above (see Section II.1.2 – supra), from the MIMS study entitled "The evaluation of alternative solutions for the stable crossing system of the Strait of Messina," dated May 2021, it emerges that among the main current critical issues is "the inadequacy [of the] number/quality of landings (which does not allow [for] real competition in the market of multiple operators) [N.d.R., emphasis added]"169. Essentially, the Ministry's study clearly shows that the situation of landings on both sides of the Strait, both in terms of number and qualitative characteristics, is such that it does not allow real access for any operators wishing to offer services in a free market regime. In fact, the high frequency of connection services currently offered, in light of the outlined conditions of the terminals, already determines congestion, which excludes the conditions required for competition among multiple operators, such as the ability to operate safely, carrying out boarding and disembarking activities for passengers easily and securely.</w:t>
        <w:br/>
        <w:t>197. Specifically regarding the VSG terminal, three of the eight landings are leased to RFI, part of the FS Group, which uses them for the ferrying of passenger and freight trains between VSG and MP, to which is added the transport of only passengers by hydrofoils operated by Blu Jet on the VSG-MP route, with the aim of satisfying a synergy between maritime and rail transport. Bluferries, belonging to the same FS Group, uses the only non-permitted and non-leased landing, the '0' ramp, for Ro/Ro transport to the MTR terminal and Ro/Pax transport, mainly during the summer months, to the MP terminal. The other four landings are all leased to C&amp;T, which uses them for Ro/Pax transport at the MRSF terminal and Ro/Ro at the MTR terminal; the validity of the concession was extended in 2016 (two years before its natural expiration) for an additional 10 years, until 31/12/2018, in exchange for C&amp;T's commitment to carry out "restoration works on the structural elements of the docks at the Villa San Giovanni landing"170. In this regard, the new concession stipulates that "the areas subject to the works, both land and sea, must be closed to any traffic unrelated to the specific activities of the construction site"171. This implies that, in light of the extremely high number of frequencies operated by C&amp;T on the landings of which it is also a concessionaire, during the works some of them are partially or totally closed to use, creating additional possibilities for traffic congestion. Not surprisingly, among the initiatives planned in the MIMS study for the enhancement and redevelopment of landings and maritime stations, there is a specific mention of the reorganization and creation of new moorings in the VSG port.</w:t>
        <w:br/>
        <w:t>198. Regarding the MRSF terminal, the actual effectiveness of the multi-carrier clauses for the purpose of 'facilitating entry' for potential entrants appears to be contradicted by C&amp;T itself, which has appealed to the TAR Sicilia, requesting precautionary measures172, in order to counter the recent decision of the AdSP to create two different terminals and assign them (following tenders) to two different managers. Based on what has been reported by the local press, the choice to "subdivide the Rada, after the terminal has always been managed by a single company" would, according to C&amp;T, be illegitimate and "the dual management of the ramps would create problems even from a logistical point of view, 'putting at risk the functioning of a system active for 40 years' [N.d.R. emphasis added]." Furthermore: "Caronte&amp;Tourist [...] claims the annulment of the tender, asserting the historical uniqueness and not</w:t>
        <w:br/>
        <w:t>170 See doc. 13.2, 'Formal supplementary act of maritime state concession no. 06/2016 of 3/3/2016', p. 4.</w:t>
        <w:br/>
        <w:t>171 See doc. 13.2, 'Formal supplementary act of maritime state concession no. 06/2016 of 3/3/2016', p. 15.</w:t>
        <w:br/>
        <w:t>172 The TAR Sicilia, section of Catania (Second Section) accepted, with order No. 00071/2022, the request for precautionary measures, setting the date of March 24, 2022, for the substantive discussion of the appeal.</w:t>
      </w:r>
    </w:p>
    <w:p>
      <w:r>
        <w:rPr>
          <w:b/>
        </w:rPr>
        <w:t>[Pages 61–63]</w:t>
      </w:r>
    </w:p>
    <w:p>
      <w:r>
        <w:t>BULLETIN NO. 14 OF APRIL 19, 2022 63</w:t>
        <w:br/>
        <w:t>improvised nature of the Rada and that the splitting of the area would be a significant limitation to the fluidity of operations [N.d.R. emphasis added]”173.</w:t>
        <w:br/>
        <w:t>199. That said, for a correct interpretation of market dynamics and the position held within it by operators, administrative and regulatory aspects cannot in any case be considered separately from operational, economic, and strategic dynamics, as the latter can determine the acquisition and maintenance of a stable and lasting dominant position. For this reason, the assessment of the position held by C&amp;T took into account all the elements considered by national and community jurisprudence, starting from the well-known Cewal-Compagnie Maritime Belge case174.</w:t>
        <w:br/>
        <w:t>200. In addition to the very high market shares held by C&amp;T in the relevant market and throughout the Strait area, the following have been highlighted:</w:t>
        <w:br/>
        <w:t>a) the distance from the direct competitor: C&amp;T's market shares are considerably higher than those of the main competitor Bluferries (Tables 8 and 9 - supra);</w:t>
        <w:br/>
        <w:t>b) the characteristics of the routes served, the capacity of the fleet, and the frequency of the service offered: the VSG-MRSF presents undeniable competitive advantages due to the speed of the connection and accessibility from the motorway network, C&amp;T's fleet is particularly large, and the service offered is characterized by an extremely high frequency not comparable to that of Bluferries on VSG-MP;</w:t>
        <w:br/>
        <w:t>c) the deep-rooted presence in the territory for several decades: C&amp;T represents the operator that has historically provided (since 1965) ferry services across the Strait; this has allowed it to acquire considerable knowledge of the characteristics of demand and an undisputed reputation among users.</w:t>
        <w:br/>
        <w:t>201. The relevance of the aforementioned elements for identifying a dominant position held by a shipping company – in this case Moby/CIN175 – has recently been reaffirmed by the Council of State: “[...] of the four parameters indicated by community jurisprudence to define a 'dominant position' [namely a) the persistence of a significant difference between the market share of the incumbent company and that of the main competitor, b) the possession of a greater capacity and frequency of services; c) the existence of a developed network of connections; d) the existence of competitive advantages held by the company; e) the possession of experience acquired in the market] all have been found by the Authority during the investigation [...]”176.</w:t>
        <w:br/>
        <w:t>202. C&amp;T itself emphasizes “the uniqueness of the route connecting the two urban realities and therefore the two 'neighborhoods' of the metropolitan area of the Strait. [...] the connection could be considered akin to urban transport, both for frequency and continuity of service, both on an annual and daily basis, for both residents and non-residents”177. Specifically referring to the service offered on the VSG-MRSF, the Party highlights that “C&amp;T has chosen to guarantee customers the certainty of being able to ferry every day and at any moment of the year quickly and, above all, with certain and close schedules during the 24 hours of the day. C&amp;T's runs are typically spaced every 40 minutes under normal circumstances and every 20 minutes during peak periods178.</w:t>
        <w:br/>
        <w:t>203. Evidence in the file confirms that demand consists of a request for a continuous and systematic connection service: in the three-year period 2017-2019, about [70-75%] of the travel tickets sold by C&amp;T are of the 'Round Trip' type and only the remaining [20-25%] are tickets for a single journey (Section II.2.1 - supra). In summary, the demand requires a complete crossing service of the Strait (A/R), not just a one-way trip. In fact, the connection of two metropolitan areas must efficiently serve the mobility needs of users who, with considerable flexibility, must have ships departing and arriving at closely spaced times. In this way, the user can move between the shores of the Strait easily and minimizing waiting times, not having to previously identify the time of the outbound journey and that of the return, but being able to go to the terminals to board the first available ferry179.</w:t>
        <w:br/>
        <w:t>204. In this market context, it is evident how the frequency of runs represents the main competitive variable of the ferry services under analysis. In the relevant market, C&amp;T's share in terms of the number of runs performed is at least about 80% (over 60% across the entire Strait - Tables 8, 9 - supra). In fact, on the VSG-MRSF, C&amp;T offers about [40-50] pairs of runs on average over the 24 hours; Bluferries, on the VSG-MP, about [10-20] pairs of daily runs. This implies that, from each shore of the Strait, about 2 ships per hour depart for C&amp;T while, for Bluferries, and only in the summer period, less than 1 ship every 2 hours on average180.</w:t>
        <w:br/>
        <w:t>205. C&amp;T is able to offer such a high number of runs thanks to the availability of a large fleet composed of a number of ships capable not only of ensuring continuous service but also of being used to meet peaks in demand or intervene in case of technical issues (reserve ships). The market presence of the dominant operator is total, as “C&amp;T provides the transport service with fixed schedules even when the ship is half-empty (1 or 2 vehicles), as can happen in winter or during night hours.” Furthermore, “C&amp;T has a fleet composed of a number of ships sufficient to always and in any case ensure the continuity of service; there are, in fact, reserve ships ready to enter service with minimal notice, should unpredictable events occur”181 [N.d.R., emphasis added]. In other words, the dominant operator, by offering runs both during daytime and nighttime hours, leaves no room for entry, thus erecting a significant economic-financial and strategic barrier to entry and expansion in the relevant market.</w:t>
        <w:br/>
        <w:t>206. Nor do C&amp;T's arguments regarding the possibility of entering the market through the rental of ships and/or on adjacent routes (Bluferries) appear convincing. From the supply side, in fact, in order to be profitable, such entry would still need to occur with a minimum efficient size182 which, in light of the current situation, would clash - as confirmed by the MIMS study and C&amp;T's appeal to the TAR Sicilia - with problems of congestion at landings and/or saturation of supply. Moreover, if the potential new entrant fails to replicate the frequency of runs offered by C&amp;T, the competitive pressure exerted on the dominant operator would be extremely limited.</w:t>
        <w:br/>
        <w:t>207. In fact, considering the demand side, since the majority of users request a complete ferry service (A/R), the low frequency of runs offered by a new entrant (with a limited fleet) would in itself make the service unattractive to consumers, who would have to endure long waiting times that would still exceed those of C&amp;T. Additionally, the consumer will also be disincentivized to diversify carriers, that is, for example, to embark with the new entrant on the outbound journey and return with C&amp;T, to minimize waiting times. In fact, in such a circumstance, the consumer will pay higher amounts, having to forgo C&amp;T's discounted 'A/R' fares183. Ultimately, the service of the new entrant will be significantly inferior, resulting in it being more difficult to draw consumers away from C&amp;T.</w:t>
        <w:br/>
        <w:t>208. This is confirmed by Bluferries, which operates in the different market of freight transport on the VSG-MTR using the only remaining free ramp (the '0' ramp), and has chosen to enter passenger transport, moving, only in summer, a good part of its fleet departing from VSG to MP, to capture a share of the passenger demand with cars during peak periods, amounting to about [1-5%] in terms of cars embarked (Table 9 - supra), still residual compared to that served by C&amp;T and unable to undermine its market power.</w:t>
        <w:br/>
        <w:t>181 Cfr. doc. n. 34, pag. 8.</w:t>
        <w:br/>
        <w:t>182 It is recalled what Bluferries stated regarding the size of its fleet (4 ships during the period of interest), which represents “[...] a strategic choice, to protect its core business, resulting from the analysis of its own fleet [...] and the volumes of goods transported [...], to offer a quality service, [...] allowing exclusively to serve one route, in the case of Bluferries, the MTR-VSG [N.d.R. emphasis added]”. Cfr. doc. n. 49, pag. 2.</w:t>
        <w:br/>
        <w:t>183 If on the outbound journey a consumer uses the ferry services offered by the new entrant, on the return they will have to bear the cost for the single journey ('One Way') applied by C&amp;T, forgoing the discounted 'A/R' fares. It should be noted that C&amp;T's 'One Way' has a price of 39 euros and the same-day A/R ticket costs 40 euros. This implies that, in the case of using different carriers for the outbound and return journeys, the consumer will pay an amount higher than C&amp;T's A/R fare (40 euros) for any price of the new carrier's ticket exceeding 1 euro.</w:t>
      </w:r>
    </w:p>
    <w:p>
      <w:r>
        <w:rPr>
          <w:b/>
        </w:rPr>
        <w:t>[Pages 64–66]</w:t>
      </w:r>
    </w:p>
    <w:p>
      <w:r>
        <w:t>BULLETIN NO. 14 OF APRIL 19, 2022</w:t>
        <w:br/>
        <w:t>209. Overall, the previous arguments highlight how, in the relevant market, on one hand, the absence of administrative or regulatory barriers is only theoretical in light of the "inadequacy [of the] number/quality of landings (which does not allow for real competition in the market of multiple operators)" highlighted by the MIMS study184, while on the other hand, the presence of operational, economic-financial, and strategic barriers is such as to disincentivize the entry of new operators capable of regulating C&amp;T's economic power.</w:t>
        <w:br/>
        <w:t>210. In conclusion, therefore, C&amp;T can be classified as an operator in a dominant position in the relevant market for Ro/Pax ferry services on the bidirectional VSG-MRSF and VSG-MP routes. The recent competitive procedure concerning the two MRSF terminals – which is currently suspended – does not appear suitable to modify such assessments as it, while potentially impacting the future competitive structure of the market in question, is not relevant to the matter under examination and the significant competitive advantages historically enjoyed by C&amp;T. The dominant position, moreover, is fully confirmed by including the bidirectional Ro/Ro routes, namely VSG-MTR and RC-MTR.</w:t>
        <w:br/>
        <w:t>IV.3.1 Focus on the market positioning of Bluferries</w:t>
        <w:br/>
        <w:t>211. The high market power of C&amp;T, qualifying it as an operator in a dominant position, implies that Bluferries, active in the same market almost exclusively during the summer months, is unable to exert any competitive pressure, serving a residual demand compared to that served by the incumbent. To support these assessments, it should be noted that, on one hand, C&amp;T has maintained stable prices since the competitor entered (on a seasonal basis) the relevant market and, on the other hand, Bluferries has adopted a commercial strategy that entirely emulates that of the dominant operator (so-called follower).</w:t>
        <w:br/>
        <w:t>212. During the proceedings, Bluferries clearly illustrated that its core business is the transport of heavy vehicles: “[...] the Company, due to the ordinances of the Municipality of Messina that do not allow the transport of heavy vehicles, which represent the company's core business, operates year-round exclusively at the Port of Tremestieri (MTR), transporting both goods and passengers with accompanying vehicles”185 [N.B. emphasis added]. Therefore, Bluferries intercepts passenger traffic with accompanying vehicles only in cases of siltation of the MTR terminal, or during peak seasonal summer months, intensifying trips on MP. Moreover, as stated by the company itself and highlighted above, its fleet allows it to operate efficiently only on one route, the VSG-MTR186.</w:t>
        <w:br/>
        <w:t xml:space="preserve">213. In this context, Bluferries lacks strategic and commercial levers suitable for attracting (and satisfying) new demand, but merely replicates C&amp;T's pricing structure: undifferentiated prices for the two routes; the same maximum number of passengers (five) that can be boarded on vehicles; the same variety of fares (‘One Way’, ‘Round Trip in a Day’, ‘Round Trip within 3 Days’; ‘Round Trip within 60 Days’, 90 for C&amp;T). The average price recorded for the two carriers is also substantially similar (Section II.2.1 - supra). </w:t>
        <w:br/>
        <w:t>184 See MIMS - The assessment of alternative solutions for the stable crossing system of the Strait of Messina, p. 108. Study cited in footnote 37.</w:t>
        <w:br/>
        <w:t>185 See doc. no. 49.4, p. 2.</w:t>
        <w:br/>
        <w:t>186 See doc. no. 49.4, p. 2.</w:t>
      </w:r>
    </w:p>
    <w:p>
      <w:r>
        <w:t>BULLETIN NO. 14 OF APRIL 19, 2022</w:t>
        <w:br/>
        <w:t>Indeed, considering the seasonal service, carried out with a limited number of ships and frequencies, the application of prices on average lower than the incumbent would result in lower prices in the same user basin, representing a strategy that does not maximize the company's profits and, therefore, is not rational.</w:t>
        <w:br/>
        <w:t>214. In other words, C&amp;T's dominance compromises competitive dynamics in the relevant market, relegating the competitor (Bluferries) to the margins of the relevant market. In such a context, Bluferries represents a mere follower187 that, within its limited spaces of autonomy, can only emulate the commercial strategies of the market leader.</w:t>
        <w:br/>
        <w:t>IV.4 The abusive conduct of C&amp;T</w:t>
        <w:br/>
        <w:t>215. This investigation concerns an exploitative abuse, carried out by the dominant operator through the application of unjustifiably burdensome prices and sales conditions, in violation of Article 3, letter a) of Law No. 287/90. Furthermore, at the outset, a possible discriminatory profile was also hypothesized, due to the absence of price differentiation based on the number of passengers present in each transported vehicle.</w:t>
        <w:br/>
        <w:t>216. It is anticipated that, in light of the evidence collected and the arguments presented, the tariffs applied by C&amp;T to passengers boarding their vehicles on the bidirectional VSG-MRSF route qualify as abusive conduct of C&amp;T's dominant position, which has exploited its market power by applying unjustifiably burdensome prices in violation of national competition protection regulations. Conversely, the analyses and evaluations carried out during the proceedings are not suitable to confirm the existence of the additional discriminatory abusive profile hypothesized.</w:t>
        <w:br/>
        <w:t>IV.4.1 Unjustifiably burdensome prices</w:t>
        <w:br/>
        <w:t>217. The application of unjustifiably burdensome economic conditions has been the subject of antitrust analysis multiple times and has led to established practices and jurisprudence188, according to which, for the purposes of establishing abuse, it is necessary to verify whether the prices applied by the dominant company are the result of the possibilities arising from its market position, which is exploited to gain commercial advantages through the application of an excessive price, lacking any reasonable relationship with the economic value of the service provided.</w:t>
        <w:br/>
        <w:t>218. In national and community practice, Article 3, letter a) of Law No. 287/90 and Article 102, letter a), of the TFEU prohibit a company in a dominant position from directly or indirectly imposing purchase or sale prices, as well as other unfair commercial conditions and, in particular, prohibits the application of excessively burdensome prices that are not justified by any legitimate reason.</w:t>
        <w:br/>
        <w:t>187 Oligopolistic competition known as Stackelberg.</w:t>
        <w:br/>
        <w:t>188 The reference is to the judgment of the Court of Justice, C-27/76, United Brands Company and United Brands Continental BV v Commission; later reiterated in Chiquita Bananas, judgment of February 14, 1978; OSA, C-351/12, paragraph 88; C-52/07, Kanal 5 and TV 4; C-226/84, British Leyland v. Commission; C-26/75, General Motors v. Commission; C-30/87, Corinne Bodson v. SA Pompes funèbres des régions libérées; C-323/93, Crespelle; as well as in the Commission's decisions, COMP/C-1/36.915 - Deutsche Post AG; Commission, COMP/A.36.568/D3, Scadlines Sverige AB v. Port of Helsingborg.</w:t>
      </w:r>
    </w:p>
    <w:p>
      <w:r>
        <w:t>BULLETIN NO. 14 OF APRIL 19, 2022</w:t>
        <w:br/>
        <w:t>219. The Court of Justice of the European Union (CJEU) established, in the United Brands ruling, that a price is unlawful under the relevant provisions when the company, taking advantage of its dominant position, derives commercial benefits that it would not have obtained if there had been normal and sufficiently effective competition in the relevant market189. In fact, in the presence of abusive conduct, the price charged does not appear to have a reasonable relationship with the economic value of the service provided190.</w:t>
        <w:br/>
        <w:t>220. It is known that there is no single method, prescribed by law or resulting from the jurisprudence of the Court of Justice, to evaluate this relationship between the economic value of a product or service and its price. On the contrary, the CJEU itself has emphasized that, depending on the circumstances of the case, different methods may be used to determine whether a price charged by a dominant company is excessive and unfair and, therefore, abusive191.</w:t>
        <w:br/>
        <w:t>221. However, the most classic and rigorous method, as well as the most commonly applied, is based on the "comparison between the selling price of the product in question and its production cost"192. This analysis of the comparison between price and costs, in the methodology indicated by the European judges, develops in two phases: A) the first aims to verify "whether there is an excessive disproportion between the cost actually incurred and the price actually requested"; B) the second aims to ascertain whether the excessive price relative to costs is also "unfair, absolutely or in relation to competing products"193.</w:t>
        <w:br/>
        <w:t>222. The two criteria for verifying the unfairness of an excessive price are alternative. Therefore, to establish that a price is unlawful under Article 102, letter a) of the TFEU, or the analogous Article 3 letter a) of Law No. 287/90, it is sufficient that even just one of the two alternatives provided in the second phase of the test is satisfied194.</w:t>
        <w:br/>
        <w:t>A) The disproportion between C&amp;T's revenues and costs (excessiveness)</w:t>
        <w:br/>
        <w:t xml:space="preserve">223. The analysis concerning the disproportion between C&amp;T's revenues and costs (excessiveness), that is, the first part of the United Brands test (Section II.2.4 - supra), was carried out by comparing the revenues of the dominant operator with the so-called cost plus, in order to identify the extent of the profit margin; this is in analogy with the jurisprudence in the matter: “This disproportion could, among other things, be evaluated objectively based on the comparison between the selling price of the product in question and its production cost, from which the extent of the profit margin would emerge”195. </w:t>
        <w:br/>
        <w:t>189 See CJEU, February 14, 1978, in case 27/76 United Brands Company and United Brands Continental BV v. Commission of the European Communities. Chiquita Bananas, paragraph 249.</w:t>
        <w:br/>
        <w:t>190 See CJEU, United Brands, cited, paragraph 250.</w:t>
        <w:br/>
        <w:t>191 See CJEU, United Brands, cited, paragraph 253.</w:t>
        <w:br/>
        <w:t>192 See CJEU, United Brands, cited, paragraph 251.</w:t>
        <w:br/>
        <w:t>193 See CJEU, United Brands, paragraph 252. See also CJEU, OSA, C-351/12, paragraph 88; C-52/07, Kanal 5 and TV 4; C-226/84, British Leyland v. Commission; C-26/75, General Motors v. Commission; C-30/87, Corinne Bodson v. SA Pompes funèbres des régions libérées; C-323/93, Crespelle; Commission, COMP/C-1/36.915 - Deutsche Post AG - Interception of cross-border mail; Commission, COMP/A.36.568/D3, Scadlines Sverige AB v. Port of Helsingborg.</w:t>
        <w:br/>
        <w:t>194 See also CJEU, order of March 25, 2009, in case C-159/08 P, Isabella Scippacercola and Ioannis Terezakis v. Commission, paragraph 47.</w:t>
        <w:br/>
        <w:t>195 See Court of Justice, United Brands, cited, paragraph 251: “This excess could, inter alia, be determined objectively if it were possible for it to be calculated by making a comparison between the selling price of the product in question and its cost of production.”</w:t>
      </w:r>
    </w:p>
    <w:p>
      <w:r>
        <w:rPr>
          <w:b/>
        </w:rPr>
        <w:t>[Pages 67–69]</w:t>
      </w:r>
    </w:p>
    <w:p>
      <w:r>
        <w:t>BULLETIN NO. 14 OF APRIL 19, 2022 69</w:t>
        <w:br/>
        <w:t>224. Additionally, as will be explained below, the investigation has allowed for the acquisition of further evidence aimed at confirming the excessiveness of the economic conditions applied by C&amp;T, in particular, by comparing C&amp;T's ROI with the average sector ROI and with C&amp;T's WACC (Section II.2.3).</w:t>
        <w:br/>
        <w:t>225. It is highlighted that, in its briefs, the Party contested the choice of this methodological framework. In particular, according to C&amp;T, this methodology, which requires the allocation of costs incurred by the company solely for the passenger ferry service (with accompanying vehicles), would not be appropriate in cases, such as the one under analysis, where the services offered represent a unique business from the supply perspective (the same business assets are used to provide both freight transport and passenger services), with the consequent difficulty of allocating costs among routes and demand segments. According to the Party, there would be more suitable methodologies, such as the intertemporal price comparison or the comparison with the prices applied by the competitor Bluferries.</w:t>
        <w:br/>
        <w:t>226. In this regard, it is noted that C&amp;T's arguments do not appear to be shareable in any way, as they suggest that one can completely disregard the analysis of the company's cost structure, appearing to advocate for the adoption of a standard of proof that, although hypothetically admissible, is less precise196 and in any case unsuitable for the specific case. It is emphasized, in this regard, that alternative methodologies to the comparison between revenues and cost plus, which represents the standard of choice for assessing excessiveness, can be applied residually and with justification. In fact, alternative methods to the assessment of profit margin can be used to support revenue-cost comparison analyses, or in cases where it is not possible to identify and define the cost structure (intangible assets), such as in the case of musical works: “A cost price comparison makes little sense with regard to the supply of certain intangible goods such as […] copyright musical work” (AKKA-LAA197).</w:t>
        <w:br/>
        <w:t>227. On the merits, it is first observed that the organizational structure of the company – the so-called unique business – does not matter in any way with respect to the identification of the scope of the competitive analysis, which only requires a correct identification of the cost allocation drivers (see Section II.2.2. - supra). Moreover, the analyses conducted have taken into account both the evidence related to the set of services offered on the VSG-MRSF (passengers with vehicles and freight) and the only passenger ferry services.</w:t>
        <w:br/>
        <w:t>228. As for the alternative analysis methodologies proposed by the Party and, in particular, the intertemporal analysis of C&amp;T's prices, it is noted that, in this case, price stability is a direct consequence of the market power enjoyed by the dominant operator in the Strait for decades, not excluding the abusive nature of its tariffs. In fact, C&amp;T is the historically active operator in the Strait of Messina, benefiting from a lasting and constant market power in the relevant market. In such a context, C&amp;T has been able to set the tariffs applicable to passengers with accompanying vehicles independently of competitive pressures. The stability of prices, moreover maintained in the face of limited investments, as demonstrated by a largely outdated and amortized fleet, is therefore an indicator that confirms the economic power of the Party, whose abusive nature is the subject of analysis.</w:t>
        <w:br/>
        <w:t>229. As for the comparison with the prices applied by Bluferries, the evaluations made above exclude the possibility of considering this operator as a competitive benchmark. In fact, the prices applied by Bluferries do not provide any information on the economic value of the service provided, as they merely reflect C&amp;T's pricing policy, which is the subject of this evaluation (Sections IV.3 and IV.3.1 - supra).</w:t>
        <w:br/>
        <w:t>230. That said, the case law on excessive pricing198 shows that the disproportion of the imposed price can be assessed against a measure of the overall costs incurred by the company for the realization of the product or service that, specifically, includes variable direct costs and a share of fixed direct costs, also considering a share of the indirect costs incurred by the company, provided they reasonably relate to the production of the good or service under examination199. To this overall measure of the cost incurred by the company for the provision of the offered service, it seems reasonable to add a fair remuneration for the activity performed. For this purpose, various indicators of business profitability can be considered, ranging from return on invested capital (ROI, ROE, ROCE) to sales profitability rates (ROS, contribution margin).</w:t>
        <w:br/>
        <w:t>231. By proceeding in this way, the analysis of the disproportion between the costs and revenues of the dominant company is carried out by comparing revenue items with the so-called cost plus. In the case at hand, the analysis of excessiveness was conducted by comparing the navigation revenues of the company with all the costs incurred for the provision of the service under analysis (variable and fixed, direct and indirect). To these costs, in line with the concept of cost plus, a fair remuneration of the invested capital was added, namely a capital remuneration rate (‘adequate ROI’) equal to 8%. This implies that the cost plus related to the services under analysis includes C&amp;T's costs and, in addition, 8% of the capital invested by the company itself.</w:t>
        <w:br/>
        <w:t>232. The investigative activity carried out has confirmed that ROI represents a significant financial variable in the choice of commercial and investment policies of companies operating in the shipping sector. In fact, according to C&amp;T itself, “[omissis]”200. Specifically, the ROI index</w:t>
        <w:br/>
        <w:t>198 See Court of Justice, C-27/76, United Brands, cit., paragraphs 249, 250 and 251: “This disproportion could, among other things, be objectively assessed based on the comparison between the selling price of the product in question and its production cost, from which the amount of the profit margin would result.” It is noted that in paragraph 254 the determination of the disproportion is deemed possible despite: “[…] the not insignificant and sometimes enormous difficulties involved in determining production costs, sometimes requiring a discretionary allocation of indirect costs and overheads and such costs can vary significantly depending on the size of the company, its object, its complexity, its territorial scope, the uniformity or variety of products, the number of affiliates and their mutual relationships […]”.</w:t>
        <w:br/>
        <w:t>199 Direct costs are defined as the costs incurred expressly for the realization of a specific product. This cost item contrasts with indirect costs, incurred by the company with reference to multiple product lines and therefore not directly attributable to the income statement of the individual good (for example, administrative costs). While direct costs are immediately attributable to the relevant product, indirect costs need to be allocated among the various product lines for which they are incurred through an “allocation key,” or a criterion useful for attributing a portion of these costs to the various lines. Direct costs, in turn, can be distinguished into variable direct costs and fixed direct costs: the former depend on the production volumes of the good (typically reflected in the cost configuration known as “cost of goods sold,” which includes, by way of example, the costs of raw materials used in production), while the latter are incurred regardless of the quantities produced (for example, costs for the purchase of a product's brand). This implies that fixed direct costs are usually allocated over several years (amortization) and charged pro rata in the profitability analysis of a product.</w:t>
        <w:br/>
        <w:t>200 See doc. no. 20, p. 5.</w:t>
      </w:r>
    </w:p>
    <w:p>
      <w:r>
        <w:t>BULLETIN NO. 14 OF APRIL 19, 2022 71</w:t>
        <w:br/>
        <w:t>provides an indication of the “[…] level of prices that a company should be able to apply in order to have the necessary financial resources to replace the assets […] it uses to provide the service”201.</w:t>
        <w:br/>
        <w:t>233. An analysis was conducted to determine the level of ROI that can be used as a measure of the fair remuneration of capital in the cost plus (‘adequate ROI’). As already anticipated in the factual part (section II.2.3 and Appendix 1), the financial statements of 23 companies engaged in freight and passenger ferry services, almost all active in Italy and Europe, were analyzed. This analysis shows that the ROI of the considered operators is between 7% and 9%; in light of this evidence, an ROI of 8% (‘adequate ROI’) was used.</w:t>
        <w:br/>
        <w:t>234. In the adversarial proceedings conducted during the investigation phase, the Party pointed out that the ‘invested capital’ can be valued not only according to the ‘historical cost’ criterion, which represents the accounting value recorded in the company's financial statements, but also by considering the ‘replacement value’, that is, “the necessary cost, at the date of the estimate, to purchase machines and plants based on current technologies and materials, capable of replacing the existing asset while possessing the same capacity, performance, and utility”202.</w:t>
        <w:br/>
        <w:t>235. According to C&amp;T, although the ‘historical cost’ criterion expresses a reliable value of the assets recorded in the financial statements203, the elaborations carried out using this criterion would provide misleading information about the profitability of the company. For these reasons, the Party believes it is more correct to define its capital at ‘replacement value’. On this topic, it is worth noting that the excessiveness tests, which compare revenues and cost plus, have been conducted in this instance considering both scenarios, using both capital at ‘historical cost’ and at ‘replacement value’.</w:t>
        <w:br/>
        <w:t>236. As mentioned, the analysis of C&amp;T's capital return already reveals the first evidence suitable to show the high degree of profitability of the applied tariffs, particularly those related to the VSG-MRSF route. In 2019, the ROI (at ‘historical cost’) recorded by C&amp;T was equal to [55-60%] for the entire Strait (VSG-MRSF and VSG-MTR) and, with reference to the only VSG-MRSF, reaches [65-70%] of the invested capital. Considering only the passenger segment on the VSG-MRSF, C&amp;T's ROI ranges between [130-135%] and [140-145%] of the invested capital in 2017, between [65-70%] and [85-90%] in 2018, and between [65-70%] and [80-85%] in 2019. Therefore, the Party's ROI is up to seventeen times higher than the return on investments recorded for the approximately 23 shipping companies analyzed (‘adequate ROI’ equal to 8%).</w:t>
        <w:br/>
        <w:t>237. Considering the same figures at ‘replacement value’, C&amp;T's ROI (2019) stands at lower values, equal to [15-20%] (entire Strait) and [25-30%] (VSG-MRSF). On the only passenger segment of the VSG-MRSF, the company's ROI varies between [40-45%] and [40-45%] of the invested capital in 2017, between [25-30%] and [30-35%] in 2018, and between [25-30%] and [30-35%] in 2019. Even these capital returns are still particularly high, given that</w:t>
        <w:br/>
        <w:t>201 See doc. no. 60, p. 5, 6.</w:t>
        <w:br/>
        <w:t>202 See doc. no. 60 related attachments. In this regard, C&amp;T also illustrates that the accounting values of some ships: “[…] do not reflect the real value of the fleet, which consists in the ability to generate income or in the revenues generated by its alternative use. In fact, as the technological obsolescence of the ship progresses, it becomes possible to modify its use (different routes, etc.).” See doc. no. 66, p. 2.</w:t>
        <w:br/>
        <w:t>203 The ‘historical cost’ “[…] represents a reliable value as it is based on solid data reflected in the accounting records (the purchase price of an asset shown on the invoice, for example, or its construction cost […]).” See doc. no. 60, p. 4.</w:t>
      </w:r>
    </w:p>
    <w:p>
      <w:r>
        <w:rPr>
          <w:b/>
        </w:rPr>
        <w:t>[Pages 70–72]</w:t>
      </w:r>
    </w:p>
    <w:p>
      <w:r>
        <w:t>72 BULLETIN NO. 14 OF APRIL 19, 2022</w:t>
        <w:br/>
        <w:t>constitute a multiple of up to six times the company's cost of capital204 (Weighted Average Cost of Capital - WACC), identified at a level of 6.5%-7.6%, further confirming the high degree of profitability of C&amp;T.</w:t>
        <w:br/>
        <w:t>238. Such evidence, in substance, represents an additional robustness analysis of the results derived from the comparison between revenues and cost plus, which confirm the excessiveness of the economic conditions applied by C&amp;T. In fact, the precise comparison between revenues and cost plus (see Figure 4, section II.3.4, supra) shows how the prices applied by C&amp;T to passengers with private vehicles are disproportionate compared to the costs of providing the service205. The different tests conducted quantify the degree of excessiveness of the tariffs applied to passengers (with cars) which, for the entire three-year period analyzed (2017-2019), is at least equal to [40-45%] of the cost plus, in the case of 'historical cost', and at least equal to [25-30%], in the case of 'replacement value'.</w:t>
        <w:br/>
        <w:t>In particular, applying the different methods of cost allocation between the two demand segments (test2, test3, and test4), all results confirm the presence of excessive economic conditions applied by C&amp;T to passengers with private vehicles, with a disproportion between revenues and cost plus that varies between [40-45%] and [65-70%] ('historical cost') and [25-30%]-[45-50%] ('replacement value').</w:t>
        <w:br/>
        <w:t>239. It is important to emphasize the particular robustness of such evidence. In fact, the results are unequivocal and consistent whether valuing capital at 'historical cost' or using 'replacement value.' Moreover, the excessiveness manifests regardless of the method of cost allocation on the VSG-MRSF route, used to distinguish the passenger segment from the freight segment. As further proof, the degree of excessiveness compared to cost plus also emerges when considering the total revenues derived by C&amp;T on the VSG-MRSF route, without making a distinction between the passenger segment and the freight segment (test1 - section II.2.4).</w:t>
        <w:br/>
        <w:t>240. It is also important to mention that the analysis of excessiveness was conducted adopting a favorable approach to the Party, taking into account the analyses and motivations provided. In fact, the number of tickets (test 3) and the linear meters attributable to buses (test 2 and test 3) were also included in the passenger segment. This choice, increasing the costs attributable to the passenger segment, leads to more favorable results for C&amp;T in terms of excessiveness (comparison between revenues and cost plus). Furthermore, as already illustrated, the analyses were conducted both at 'historical cost' and at 'replacement value', as requested by the Party.</w:t>
        <w:br/>
        <w:t>241. Additionally, the investigative activity showed that the ROI at 'historical cost' is systematically higher than the return on capital at 'replacement value'. There is no benchmark value to identify the 'appropriate ROI' based on a valuation of capital at 'replacement value'. In fact, from the analysis of the financial statements of Italian and foreign carriers, from which an 'appropriate ROI' of 8% was derived (Appendix 1), it is not possible to derive the analogous return at 'replacement value'. It is therefore confirmed that the analyses were conducted adopting a cautious approach, favorable to C&amp;T. In fact, in the comparison between revenues and cost plus at 'replacement value', an 'appropriate ROI' of 8% was still used, a value higher than what would likely be found when applying assets at 'replacement value'. Had a lower appropriate rate of return been used, the excessiveness would have been even greater.</w:t>
        <w:br/>
        <w:t>242. As for the methodologies used for the analysis of excessiveness, these are standard and transparent and have been applied using the data provided by the company. In fact, all the results illustrated have been processed using data on revenues, invested capital, and accounting broken down by individual route, as provided by the Party. Furthermore, C&amp;T had the opportunity to transmit some corrections regarding the information previously transmitted206.</w:t>
        <w:br/>
        <w:t>243. The only profiles with respect to which there has been a departure from the proposals and briefs of the Party concern the allocation of costs between the passenger and freight segments on the VSG-MRSF route, and the level of ROI used as a measure of the appropriate remuneration of capital (the 'appropriate ROI' equal to 8%).</w:t>
        <w:br/>
        <w:t>244. In addition to the already discussed objections regarding the chosen analysis method (allegedly unsuitable in the case of a single business), the Party contests the discretion of the cost allocations between the passenger segment with vehicle and freight traffic on the VSG-MRSF used in the proceedings and the lack of valid motivations regarding the choices made. Furthermore, C&amp;T reiterates that the best methodology for allocating costs between the two segments on the affected route would be that defined at 'incremental cost'. According to the methodology proposed by C&amp;T, all costs that [N.d.R. C&amp;T] could not avoid to offer only passenger transport [...], net of costs strictly related to freight transport only”207 would be attributable to the passenger segment.</w:t>
        <w:br/>
        <w:t>245. As extensively described in the factual part (Section II.2.2 - supra), the alleged 'incremental cost' proposed by the Party is based on the assumption, refuted by the evidence on record, that only passengers with vehicles travel on the VSG-MRSF route and, residually, freight trucks. Consequently, C&amp;T attributes most of the costs to the passenger segment (with vehicle) and a minimal share of costs to freight transport on the VSG-MRSF.</w:t>
        <w:br/>
        <w:t>246. The reasons why the alleged 'incremental cost' methodology proposed by C&amp;T is not shareable are primarily found in the Party's own statements, where it states that on the VSG-MRSF: “C&amp;T provides transport service with fixed schedules even when the ship is half-empty (1 or 2 vehicles)”208; this implies that, even if, in the face of a very low number of passengers with cars, the remaining load is largely composed of freight trucks (considering the strategy of load optimization to prevent the circulation of empty ships), the 'incremental cost' methodology would imply that almost all costs would still be attributed to the passenger segment with vehicle.</w:t>
        <w:br/>
        <w:t>247. Furthermore, the detailed information provided by the Port Authority (Section II.2.2 - supra) shows how freight traffic on the VSG-MRSF, although having a lower weight in terms of vehicle count compared to passenger transport with cars, is still of a structural nature, sometimes exceeding that which travels on the solely freight route VSG-MTR209. The same information shows that the type (size) of heavy vehicles loaded on the VSG-MRSF is entirely similar to that which travels on the VSG-MTR210. Overall, such evidence clearly illustrates how it is not possible to adopt the alleged allocation at 'incremental cost' suggested by the Party, as the costs attributable to the freight segment on the VSG-MRSF cannot be qualified as minimal or residual compared to those borne by the company on the VSG-MTR, dedicated solely to heavy vehicle traffic.</w:t>
        <w:br/>
        <w:t>248. In light of these criticalities, three methods of cost allocation between the two segments have been developed that are alternative to those of the Party, based on the route accounting provided by the Party, and defined by virtue of further data and evidence requested from C&amp;T (in particular, the revenues of the freight segment on the VSG-MRSF, the linear meters transported annually on the route, and the number of vehicles/tickets attributable to the passenger and freight segments211). This has allowed for obtaining objective measures of the actual weight of the two demand segments (passengers and freight) on the VSG-MRSF, which represent nothing more than a refinement of the allocation at 'incremental cost' proposed by C&amp;T.</w:t>
        <w:br/>
        <w:t>249. In the allocation based on 'linear meters' (test 2), the costs of the two segments on the VSG-MRSF are proportional to the space (linear meters) occupied by cars and freight trucks. From this perspective, not refuted by the Party, it is believed that the load capacity and its composition represent a determining factor for the costs and profitability of a ship. In the 'mixed' allocation (test 3), navigation costs ([65-70%] of the total) are allocated based on 'linear meters', while indirect costs (administrative personnel and general expenses, approximately [35-40%] of the total) are allocated based on the number of vehicles loaded (distinguishing passengers with cars from heavy vehicles). This analysis considers indirect costs detached from capacity ('linear meters') but proportional to an indicative measure of output ('number of vehicles').</w:t>
        <w:br/>
        <w:t>250. The further methodology of cost allocation in proportion to revenues (test 4), which attributes to the passenger segment with cars [80-85%] of the costs and to the freight segment [20-25%], has been used exclusively to adopt, once again, a favorable approach to C&amp;T. In fact, this methodology is unreliable because it is tainted by endogeneity: if excessive prices in the passenger segment are contested to C&amp;T, an allocation of costs based on revenues in the two segments automatically overestimates the costs in the passenger segment with cars.</w:t>
        <w:br/>
        <w:t>251. Moving to the level of ROI identified as a measure of the appropriate remuneration of business activity (the 'appropriate ROI' equal to 8%), C&amp;T contests the validity of the analyses developed during the proceedings. In fact, according to the company, in identifying the level of 'appropriate ROI', the age of the fleet would not have been adequately valued. In fact, according to the Party, as the age of the fleet increases, the ROI of the companies considered in the sample would also increase, and therefore, since C&amp;T's ships have an average age of 27 years (higher than average), the level of 'appropriate ROI' should be set at 54.6%, in the case of</w:t>
      </w:r>
    </w:p>
    <w:p>
      <w:r>
        <w:rPr>
          <w:b/>
        </w:rPr>
        <w:t>[Pages 73–75]</w:t>
      </w:r>
    </w:p>
    <w:p>
      <w:r>
        <w:t>BULLETIN NO. 14 OF APRIL 19, 2022 75</w:t>
        <w:br/>
        <w:t>capital at 'historical cost', and at 17.2%, in the case of 'replacement value'. Using such levels of 'appropriate ROI' in the cost-plus would not reveal the excessiveness contested against C&amp;T.</w:t>
        <w:br/>
        <w:t>252. In Appendix 1, to which reference is made, detailed replies are provided to the economic objections raised by the Party. At this point, it is sufficient to emphasize that C&amp;T's analyses are affected by serious flaws and inaccuracies. In particular: 1) the regression conducted by the Party's consultants in the submitted study, from which a positive relationship between ROI and fleet age would emerge - and on the basis of which the level of 'appropriate ROI' is identified - was performed on partial data and provides an unreliable predictive value, as it is outside the sample (technically known as 'out of sample' estimation); 2) as illustrated in Appendix 1 (Figure 1 – App. 1), using the complete sample of companies, the positive relationship between ROI and fleet age does not present statistical significance212; 3) even if one were to follow C&amp;T's reasoning, the accounting life of an asset cannot be considered, as erroneously done in the Party's study, but rather the period of use (useful life) beyond the accounting life should be considered; 4) the results on the 'appropriate ROI' obtained by the Party predominantly depend on the chosen functional form (exponential), which has the peculiarity of causing significant variations in the ROI index in response to small changes in the fleet age variable.</w:t>
        <w:br/>
        <w:t>253. To illustrate this, it can be noted that the 'appropriate ROI' (at 'historical cost') identified based on the Party's regression, equal to 54.6%, appears completely misaligned with the evidence from the sample used. Not only is C&amp;T's 'appropriate ROI' about double the highest ROI found in the sample, but it is also higher than the ROI of companies with a fleet older than that of C&amp;T (Medmar, MOBY, and SNAV, Figure 1 – App.1).</w:t>
        <w:br/>
        <w:t>254. In summary, C&amp;T's choices aim instrumentally to overestimate the value of the 'appropriate ROI' in order to negate the identified excessiveness. In fact, as the level of adequate remuneration for business activity increases (the 'appropriate ROI' calculated by C&amp;T is up to about 7 times higher than the value of 8% identified in the investigation), the level of disproportion between revenues and cost-plus automatically and drastically decreases.</w:t>
        <w:br/>
        <w:t>Considering that the alleged relationship between ROI and fleet age identified by the Party is not confirmed by the analyzed data, it is reiterated that an 'appropriate ROI' equal to 8% is a correct choice.</w:t>
        <w:br/>
        <w:t>255. It is also noteworthy that the analyses of the Offices already duly take into account the fact that the age of C&amp;T's fleet results in a low accounting value of the invested capital. For this reason, the excessiveness of C&amp;T's tariffs has also been analyzed considering the financial figures of the company at 'replacement value'. Essentially, this criterion allows for consideration of the (economic) value of capital for the company and, therefore, does not depend on the age of the fleet and the accounting depreciation criteria of the assets (section II.2.3 - supra).</w:t>
        <w:br/>
        <w:t>256. As highlighted, considering the capital at 'replacement value', C&amp;T's ROI significantly exceeds the company's WACC; moreover, the comparison between revenues and cost-plus confirms the excessiveness of the tariffs applied by the Party. It is then observed that, since the 'appropriate ROI' - equal to 8% - is of the same order of magnitude as C&amp;T's WACC, the former represents a correct measure of the profitability margin to be considered in the cost-plus (infra), as recognized by the Party itself.</w:t>
        <w:br/>
        <w:t>Therefore, even taking into account the age of the fleet, as requested by C&amp;T, clear evidence emerges regarding the excessiveness of the prices charged.</w:t>
        <w:br/>
        <w:t>257. That said, it is also possible to highlight how C&amp;T's defensive arguments are unable to refute the validity of the estimate of the 'appropriate ROI' (8%) derived from the investigative analysis. In fact, the Party confirms the correctness of the estimate of C&amp;T's WACC made by the Offices, which stands in the range of 6.5%-7.6%; considering that the WACC represents a benchmark value for ROI213, a level of 'appropriate ROI' equal to 8% presents a consistent order of magnitude with the WACC.</w:t>
        <w:br/>
        <w:t>Moreover, contrary to C&amp;T's objections, both the WACC and the 'appropriate ROI' estimated by the Offices are calculated 'pre-tax' and, therefore, represent two homogeneous quantities.</w:t>
        <w:br/>
        <w:t>258. Beyond the extensive evidence presented thus far in support of the validity of the analyses conducted during the investigation, it is particularly important to emphasize that endorsing the Party's objection that the level of 'appropriate ROI' should be higher the older the operator's ships are (and therefore in C&amp;T's case far exceeding 8%, given that the company has a fleet with an average age of 27 years) would have the paradoxical effect of deeming legitimate the application of prices that are higher the less investment is made (older ships). And, in this specific case, the Party's objection is particularly unreasonable because: 1) the positive relationship between ROI and fleet age is, in fact, not confirmed by the evidence; 2) the analyses conducted, in their version at 'replacement value', already duly take into account the age of C&amp;T's ships.</w:t>
        <w:br/>
        <w:t>259. In conclusion, based on all the analyses and considerations outlined above, it is believed that there is a disproportion between the prices charged by C&amp;T to passengers with cars and the costs incurred for the provision of the service and that, therefore, such prices should be considered excessive.</w:t>
        <w:br/>
        <w:t>B) The fairness of the tariffs</w:t>
        <w:br/>
        <w:t>260. Following the assessments on excessiveness, the standard of proof requires the development of the second part of the test, concerning the fairness of the economic conditions. This analysis consists of “[...] investigating whether the price difference is merely the result of an abusive use of market power by the dominant company, or the consequence of other legitimate reasons”214. In fact, only in the absence of a reasonable link to the economic value of the service provided can the prices charged be classified as abusive215.</w:t>
        <w:br/>
        <w:t>261. With specific reference to fairness, the jurisprudence has not defined univocal methods of analysis. Due to the different characteristics of the market and the good/service in question, unfairness can be found 'in itself' (absolutely - 'unfair in itself'), analyzing, for example, the pricing policy of the dominant company, even from a historical perspective (temporal dynamics of the prices applied), or through comparison with competing products216 (benchmark analysis).</w:t>
        <w:br/>
        <w:t>In community practice, benchmarks have not been exclusively based on goods/services present in the same relevant market, but also on other services of the dominant operator, or similar services offered by other operators in different geographic markets217. The choice of the type of benchmark, essentially, depends on the characteristics of the market and the service provided.</w:t>
        <w:br/>
        <w:t>262. In the case at hand, the analysis of the market structure and the historical evolution of the pricing policy applied by C&amp;T do not provide useful elements for making assessments regarding the so-called 'in itself' unfairness. In fact, the relevant market has not been affected by particular competitive and/or regulatory events capable of inducing C&amp;T to significantly modify its pricing policy over time. As argued in Section IV.3.1 - supra, thanks to its undisputed - and prolonged over time - market power, C&amp;T has been able to continue undisturbed to implement its commercial policies even when Bluferries has entered the relevant market on a seasonal basis, without the latter being able to exert any competitive pressure.</w:t>
        <w:br/>
        <w:t>263. For the same reasons, another methodology for analyzing fairness, namely the comparison with the services of competing operators (benchmark analysis), cannot be based on the tariffs applied by Bluferries, the only operator present in the relevant market. It has been extensively illustrated how this operator represents a mere follower of the dominant operator (Section IV.3.1 - supra). In particular, Bluferries operates in a segment of the market on a seasonal basis, with a number of ships and a frequency of trips that are absolutely not comparable to those of the dominant operator, serving the residual demand not served by C&amp;T. Within its limited autonomy, Bluferries can only adopt the commercial strategies of the market leader, as any application of significantly lower prices would not attract an additional share of demand but rather result in a mere loss of revenue (lower prices on the same customer base), with the additional risk of a reaction from the incumbent.</w:t>
        <w:br/>
        <w:t>264. In other words, the services offered by Bluferries cannot be considered 'competing products'218 in the sense required by jurisprudence with reference to fairness, and their use for comparison with those of C&amp;T would lead to insignificant evaluations.</w:t>
        <w:br/>
        <w:t>265. Moreover, at the initial stage of the proceedings, the Party itself highlighted the poor comparability of the prices applied by Bluferries, due to differences in the service provided: “The comparison of C&amp;T's prices with those of Bluferries [...] does not take into account the profound diversity of the service offered by the two carriers: [...] Bluferries has focused its activity on the transport of heavy vehicles, dealing with the transport of passengers with cars accompanying them almost exclusively.”</w:t>
      </w:r>
    </w:p>
    <w:p>
      <w:r>
        <w:rPr>
          <w:b/>
        </w:rPr>
        <w:t>[Pages 76–78]</w:t>
      </w:r>
    </w:p>
    <w:p>
      <w:r>
        <w:t>78 BULLETIN NO. 14 OF APRIL 19, 2022</w:t>
        <w:br/>
        <w:t>exclusively in the summer months when this service is most profitable [N.B. emphasis added]”219.</w:t>
        <w:br/>
        <w:t xml:space="preserve">266. Using the additional types of benchmarks provided by international case law220, the first evidence suitable to show the inequity of the tariffs applied by C&amp;T to the segment of passengers with accompanying vehicles emerges from the comparison with the different market segment in which the company operates, namely the transportation of commercial vehicles. </w:t>
        <w:br/>
        <w:t>It is worth noting that C&amp;T only embarks vehicles on the VSG-MRSF. In contrast, heavy vehicles also travel on the VSG-MTR, which is exclusively dedicated to commercial traffic. In the passenger segment with cars, a significant disproportion between revenues and cost plus has been found (Section II.2.4 - supra), while the entire goods segment (VSG-MRSF and VSG-MTR) never shows an overall profitability that significantly exceeds the cost plus221.</w:t>
        <w:br/>
        <w:t>267. In its defense briefs222, C&amp;T argues that no profitability analysis (comparison of revenues and cost plus) of the goods segment has been conducted. In this regard, it is highlighted that Appendix 2 of the CRI (and of this provision) contains all the necessary data for calculating the profitability of C&amp;T's entire goods segment. A simple processing allows us to verify that, for the entire goods segment (VSG-MRSF and VSG-MTR), the company always records revenues exceeding costs but, however, no significant disproportion between them ever emerges.</w:t>
        <w:br/>
        <w:t>268. The definitive confirmation of the inequity of C&amp;T's tariffs emerges from the comparison with the prices applied by carriers providing comparable services on foreign routes223 and from the simultaneous analysis of aspects related to the quality/usability of C&amp;T's ferry services, also through evaluations expressed by the consumers themselves. The combination of these quantitative and qualitative elements allows us to ascertain the absence of proportion between the level of prices applied by the dominant operator and the so-called 'economic value' of the service rendered. In fact, C&amp;T's tariffs are found to be at least 80% higher than those practiced by carriers active on benchmark routes. However, this price differential is not justified by the higher quality of the ferry services provided by C&amp;T. In fact, consumers express entirely negative judgments about C&amp;T's ferry services, qualifying it as a carrier not particularly innovative in its reference market and with disproportionate tariffs compared to the service provided.</w:t>
        <w:br/>
        <w:t>219 Cf. doc. no. 34, annex 1, p. 4.</w:t>
        <w:br/>
        <w:t>220 Cf. Conclusions of Advocate General Nils Wahl, presented on April 6, 2017 (1) Case C‑177/16 Biedrība “Autortiesību un komunicēšanās konsultāciju aģentūra – Latvijas Autoru apvienība” v. Konkurences padome, § 19: “In other cases, the Court has made a comparison between, on the one hand, the price charged for the product in question by the dominant company and, on the other hand, the prices charged in the same market by non-dominant companies (comparison between competitors) or between the prices charged by the same dominant company at different times (temporal comparison), or between the prices charged in other geographic markets by the same dominant company or by other companies (geographic comparison). The underlying idea is that if the selected products or geographic markets are sufficiently homogeneous, a comparison between prices can be significant. Similarly, the historical pricing of a company over time could provide useful clues.”</w:t>
        <w:br/>
        <w:t>221 Based on the data reported in Appendix 2, it is possible to analyze the profitability of C&amp;T's entire goods segment. The results show that, for the entire goods segment (VSG-MRSF and VSG-MTR), the company always records revenues exceeding costs but no significant disproportion between them ever emerges.</w:t>
        <w:br/>
        <w:t>222 Cf. doc. no. 93 and attachments.</w:t>
        <w:br/>
        <w:t>223 In this analysis, C&amp;T and Bluferries are not included in the benchmark. Cf. §205 and following.</w:t>
      </w:r>
    </w:p>
    <w:p>
      <w:r>
        <w:t>BULLETIN NO. 14 OF APRIL 19, 2022 79</w:t>
        <w:br/>
        <w:t>269. Additionally, in its defense briefs, C&amp;T clearly highlighted that it has a fleet characterized by an average age (27 years), significantly higher than that of carriers active on comparable routes (average age of 17 years)224. Such evidence further confirms the inequity of C&amp;T's tariffs, which, despite the high prices applied, has not invested in the renewal of the ships.</w:t>
        <w:br/>
        <w:t>C) The comparison with operators active on comparable routes (benchmark routes)</w:t>
        <w:br/>
        <w:t>270. Regarding the comparison with the tariffs applied by carriers active on comparable routes, it is important to emphasize that the identification of international benchmarks was carried out by C&amp;T itself, in a dedicated study that was filed in the records. In this study, it is the company itself (Figure 5 - supra) that identified comparable routes in terms of length (less than 6 miles) and quality level of the service (medium-high).</w:t>
        <w:br/>
        <w:t>In addition to the VSG-MP operated by Bluferries, C&amp;T identifies six carriers active on comparable routes: Shetland Island Ferries (Toft-Ulsta route); Western Ferries (Gourock-Dunoon); TESO (Den Helder-Texel); Caledonian Mac Brayne (Colintraive-Rhubodach); Gozo Channel (Mgarr-Cirkewwa); Forsea/Scandilines (Helsingor-Helsinborg). According to the results proposed by the Party, C&amp;T would not apply tariffs (per navigated mile) higher than the average.</w:t>
        <w:br/>
        <w:t>271. However, the methodology used by the Party for the comparison appears misleading. In this regard, the following is highlighted: 1) the proposed elaborations did not take into account the complete commercial offer of the different carriers, but only the highest prices present in the price lists; 2) some carriers only apply 'Round Trip' tariffs which have been considered equivalent to a 'Single Journey' tariff (even though the consumer pays for two trips, C&amp;T assumes that only one is made); 3) average tariffs have been calculated including those applied by C&amp;T itself and by Bluferries; 4) the tariffs for a single navigated mile have been instrumentally used.</w:t>
        <w:br/>
        <w:t>272. In its briefs, the Party defends the validity of its methodological choices, believing that it is necessary to include C&amp;T and Bluferries in the sample for calculating the average price and, furthermore, emphasizing that the 'price per mile' represents the scientifically most correct criterion as well as the one proposed also at the start of the procedure. The use of the mere 'ticket price' instead of the 'price per mile' would represent a distortion of the work originally submitted by C&amp;T aimed at demonstrating that “[…] a price disproportion […] does not exist”225. Furthermore, C&amp;T adds that the routes, moreover identified by itself in the study, would indeed be comparable but not homogeneous. In this perspective, only the VSG-MP operated by Bluferries and the Helsingor-Helsinborg of Forsea/Scandilines would be homogeneous with C&amp;T's VSG-MRSF and, therefore, directly comparable.</w:t>
        <w:br/>
        <w:t>273. Regarding the objections raised by the Party concerning the exclusion of C&amp;T and Bluferries from the sample used for calculating average tariffs, it is noted that C&amp;T's tariffs are those subject to analysis and, therefore, should be compared with (and not included in) the average of the various benchmark routes. As for Bluferries, the reasons why it does not represent a suitable competitive benchmark have already been extensively illustrated.</w:t>
        <w:br/>
        <w:t>224 Cf. doc. no. 93 and attachments.</w:t>
        <w:br/>
        <w:t>225 Cf. doc. no. 93, p. 47.</w:t>
      </w:r>
    </w:p>
    <w:p>
      <w:r>
        <w:t>80 BULLETIN NO. 14 OF APRIL 19, 2022</w:t>
        <w:br/>
        <w:t>274. Regarding the use of the 'price per mile', it is highlighted that while such a measure may be useful in a preliminary analysis characterized by limited information, such as that conducted at the start of the procedure, this method appears to lack merit, if not instrumental, once, during the investigation, C&amp;T itself has submitted a detailed study in which it identified benchmark routes, comparable both in terms of route length and qualitative characteristics of the service. In fact, in addition to the length of the route, prices depend on numerous variables, such as the frequency of daily runs (considering both weekdays and weekends), the annual coverage of ferry services, seasonality, fleet age, ship characteristics, quality of onboard services and boarding, etc. Therefore, an evaluation of the mere price per mile does not seem capable of taking into account the high number of qualitative variables to be considered simultaneously, each of which can have a different impact on price determination.</w:t>
        <w:br/>
        <w:t xml:space="preserve">275. Such an approach is confirmed by C&amp;T's own words, which states: “Economically, it is intuitive – and also easily demonstrable – how the length of the navigation route, the level of service offered, and the volume of traffic transiting on that route influence the cost structure and therefore the tariffs/prices”226. It should also be considered that, on short routes, the boarding and disembarking activities significantly impact the cost structure. </w:t>
        <w:br/>
        <w:t>In summary, the investigative activity and, specifically, the evidence provided by C&amp;T itself in the submitted study show that there are numerous variables to consider when evaluating the pricing policies of carriers and that the length of the route is just one of the various determining elements.</w:t>
        <w:br/>
        <w:t xml:space="preserve">276. By way of example, it may be useful to compare C&amp;T's service on the VSG-MRSF with the Helsingor-Helsinborg operated by Forsea/Scandilines. In fact, according to C&amp;T, it would be appropriate to “[…] make the comparison using the 'cost per mile' criterion and to make this comparison specifically with reference to the Helsingor-Helsinborg route, which constitutes the elective benchmark compared to the service offered by C&amp;T”227. </w:t>
        <w:br/>
        <w:t xml:space="preserve">Since 2016, Forsea/Scandilines has made significant investments aimed at electrifying its fleet. In this way, the company, whose corporate vision is to be “The most sustainable, customer-focused company, striving for zero emissions”228, qualifies as one of the first carriers in the world to offer its passengers zero-emission ferry services229. </w:t>
        <w:br/>
        <w:t xml:space="preserve">In particular, Forsea/Scandilines believes that its main competitor is the Öresund Bridge, which connects Malmo with Copenhagen. Since this infrastructure has zero impact, the company has deemed it necessary to invest to reduce its environmental impact, thus realizing the first route </w:t>
        <w:br/>
        <w:t>226 Cf. doc. no. 39.1, p. 6.</w:t>
        <w:br/>
        <w:t>227 Cf. doc. no. 93, p. 58.</w:t>
        <w:br/>
        <w:t>228 Cf. Forsea – Sustainability Report 2020, p. 4, available at the following link - https://www.forseaferries.com/globalassets/blocks/arsredovisning/hallbarhet/forsea_sustainability_report_2020.pdf.</w:t>
        <w:br/>
        <w:t>229 In this regard, the following links can be consulted:</w:t>
        <w:br/>
        <w:t>- https://ferryshippingnews.com/forsea-foresees-the-future/</w:t>
        <w:br/>
        <w:t>- https://new.abb.com/marine/marine-references/forsea</w:t>
        <w:br/>
        <w:t>- https://new.abb.com/news/detail/10434/forsea-formerly-hh-ferries-group-completes-conversion-of-the-worlds-largest-battery-ferries-powered-by-abb.</w:t>
      </w:r>
    </w:p>
    <w:p>
      <w:r>
        <w:rPr>
          <w:b/>
        </w:rPr>
        <w:t>[Pages 79–81]</w:t>
      </w:r>
    </w:p>
    <w:p>
      <w:r>
        <w:t>BULLETIN NO. 14 OF APRIL 19, 2022 81</w:t>
        <w:br/>
        <w:t>maritime service with zero emissions230. The service offered by Forsea/Scandilines is therefore of extremely superior quality compared to that of C&amp;T in terms of environmental impact, especially considering that C&amp;T's ships are significantly older than average. Furthermore, while the crossing of the Strait of Messina can only be done by ship, the presence of the Öresund Bridge provides an alternative (which requires longer travel times) to the ferry services between Helsingør-Helsingborg.</w:t>
        <w:br/>
        <w:t>The combination of these elements shows that, when making assessments regarding the fairness and, therefore, the overall 'economic value' of the services provided to users, the relevant variables are different, and it is not possible to value the price solely in relation to the miles navigated.</w:t>
        <w:br/>
        <w:t>277. Additionally - and this appears decisive regarding the possibility of using the 'ticket price' instead of the 'price per mile' - C&amp;T's own pricing policy confirms the partial relevance of distance concerning the tariffs applied on short-haul routes: the company applies the same prices for routes of different lengths - the tariffs on the VSG-MRSF (3.7 nautical miles) are the same as those applied on the VSG-MTR (8.1 miles). Nor does the justification provided by the Party, linked to logistical reasons231, appear decisive.</w:t>
        <w:br/>
        <w:t>In fact, C&amp;T argues that the prices between the two routes are not differentiated because the freight traffic on the VSG-MRSF is residual and exceptional compared to that on the VSG-MTR. In this regard, it has already been extensively demonstrated how the evidence on record contradicts such a reconstruction (Section II.2.2 - supra).</w:t>
        <w:br/>
        <w:t>278. Ultimately, considering the relevance of qualitative aspects in evaluating the 'economic value' of the service provided for fairness purposes, it is confirmed that the 'ticket price' represents the best variable for making an objective tariff comparison between comparable routes in terms of length and quality level of service, as defined by C&amp;T itself.</w:t>
        <w:br/>
        <w:t>279. Referring to Section II.2.5 (supra), where the various tariffs offered by carriers active on benchmark routes were illustrated, it is noted that the prices applied by C&amp;T are at least 80% higher than the average tariffs provided on benchmark routes. This result is obtained both by comparing C&amp;T's highest tariff (39 euros per crossing) with the average of the highest tariffs applied by foreign carriers (19.6 euros per crossing) with a +98% for C&amp;T's tariff, but also considering the cheapest tariffs (20 euros per crossing for C&amp;T, 10.7 euros on average for foreign carriers) with a +86% for C&amp;T's tariff.</w:t>
        <w:br/>
        <w:t>280. Furthermore, the average price of tickets actually sold by C&amp;T is [less than 28.2] euros per crossing in 2019 (Section II.2.1, supra), which is more expensive by [40-45%] compared to the average of the highest prices applied on benchmark routes.</w:t>
        <w:br/>
        <w:t>230 “As part of the HH Ferries sustainability voyage, the Tycho Brahe and Aurora ferries now operate fully on battery power. This makes the route between Helsingborg and Helsingør the world’s first high-intensity battery-operated ferry line, with departures for both passengers and transport operations every 15 minutes, 24 hours a day, in all weather conditions. To show that the journey towards becoming the most sustainable transport company in the region is serious, the shipping company will also change its name to ForSea.”.</w:t>
        <w:br/>
        <w:t>See the following link - https://www.forseaferries.com/about-forsea/news-and-media/news/now-the-blue-way-is-also-the-greenest-one/.</w:t>
        <w:br/>
        <w:t>C&amp;T also emphasizes that since 2018 the ship Elio uses liquefied natural gas (LNG), which has a low environmental impact. However, the intervention on a single ship does not change the assessments regarding the average age of its fleet and, among other things, is not comparable to the systematic investments of Forsea/Scandilines, which has established the first route (not just individual ships) with zero emissions.</w:t>
        <w:br/>
        <w:t>231 See doc. no. 34 and, in particular, p. 3.</w:t>
      </w:r>
    </w:p>
    <w:p>
      <w:r>
        <w:t>82 BULLETIN NO. 14 OF APRIL 19, 2022</w:t>
        <w:br/>
        <w:t>281. Focusing on its most advantageous tariff, equal to 20 euros per crossing (round trip in one day), the Party noted, although it did not provide specific evidence in this regard, that with the 'Top Client Card' it would be possible to obtain discounts that could lower the average price of the individual crossing to [less than 18] euros232.</w:t>
        <w:br/>
        <w:t>In this regard, it is highlighted that the most convenient tariffs recorded on comparable routes, averaging 10.74 euros, are: about 8.7 euros per crossing for Shetland Island Ferries and Mac Brayne; about 10.6 euros for TESO and Western Ferries; 8.2 euros for Gozo Channel; 17.6 euros for Forsea/Scandilines. C&amp;T's most advantageous tariff (round trip in one day) is more expensive than the average by an amount equal to 86%. With the Top Client Card, C&amp;T's price is still higher by an amount equal to about [40-45%].</w:t>
        <w:br/>
        <w:t>282. According to the Party, its tariffs would be reasonable in any case, as the service would be comparable to 'territorial continuity' between the two shores of the Strait, with scheduling of crossings throughout the entire calendar year with a high daily frequency. Additionally, while C&amp;T and Forsea/Scandilines offer connections between two metropolitan areas, Gozo Channel, TESO, and Western Ferries would offer, according to the Party, connections to tourist destinations233, of lesser importance compared to urban areas.</w:t>
        <w:br/>
        <w:t>283. In this regard, it is noted that the justification regarding the comparability of C&amp;T's service to territorial continuity, considering that these are services offered in a free market regime, appears to lack merit, as well as being contradicted by the Ministry itself (MIMS)234.</w:t>
        <w:br/>
        <w:t>Moreover, on comparable routes, carriers offer, at a price approximately 80% lower, a service of similar quality in terms of annual coverage and daily frequency. Finally, it is particularly significant that international carriers active on tourist routes offer a service with coverage entirely similar to that of C&amp;T, even at significantly lower prices, despite facing non-commuting demand and therefore presumably with a greater willingness to pay.</w:t>
        <w:br/>
        <w:t>D) The qualitative aspects of the ferry service</w:t>
        <w:br/>
        <w:t>284. The high level of prices applied by C&amp;T is not justified even when considering the degree of consumer satisfaction and the further qualitative aspects of the ferry service offered, especially when compared to those provided on some comparable routes.</w:t>
        <w:br/>
        <w:t>A review of the level of consumer satisfaction can be obtained by consulting the main portal dedicated to reviews written by users of travel services, dining, etc. (TripAdvisor) where consumers express a summary judgment by choosing among the following levels of satisfaction: 'excellent', 'very good', 'average', 'poor', 'terrible'. The ferry services offered by C&amp;T are rated medium-low ('average', 'poor' or 'terrible') by 72.6% of the reviews. Overall, about half of the users believe that C&amp;T's ferry services can be classified as 'terrible' (49.8% of the reviews)235.</w:t>
        <w:br/>
        <w:t>Moreover, several users who positively evaluate the ferry service offered by C&amp;T ('excellent' or 'very good' - 27.4% of the overall reviews) still emphasize that the price level is too high (this is 14% of the positive reviews - section II.2.5 - supra).</w:t>
        <w:br/>
        <w:t>285. In this regard, in its defense briefs, the Party contested the reliability of TripAdvisor, providing its internal data on the level of traveler satisfaction. However, it is worth highlighting that, while TripAdvisor's data is public, the data provided by the Party is unverifiable and, in any case, shows that [30-35%] of users rate the service negatively ('bad')236.</w:t>
        <w:br/>
        <w:t>286. As mentioned, C&amp;T cannot be classified as a particularly innovative operator or one attentive to improving the overall usability of its services.</w:t>
        <w:br/>
        <w:t>C&amp;T's fleet is almost entirely composed of outdated ships: 7 ships were built or acquired in the 80s/90s, and one ship joined the fleet in 2018237. Therefore, the average age of the dominant operator's fleet is 27 years, a value that is particularly high compared to the average age (17 years) of ships active on comparable routes238.</w:t>
        <w:br/>
        <w:t>Furthermore, it is noted that, unlike C&amp;T, some benchmark carriers are characterized by a particularly innovative business vision and have consistently initiated ambitious investment plans for their fleet. This is the case of Forsea/Scandilines which, as already highlighted, has invested in the electrification of the fleet to provide services with zero environmental impact.</w:t>
        <w:br/>
        <w:t>287. C&amp;T has emphasized that it has made significant investments to improve boarding operations and ensure high punctuality of service. However, regarding congestion at the terminals, the company has highlighted that the increase, at least during certain periods, of crossings on the VSG-MRSF, with a simultaneous reduction of those for freight on the VSG-MTR, causes congestion in boarding and disembarking operations, due to the increased influx of trucks into the city port.</w:t>
        <w:br/>
        <w:t>288. From a 'users' experience' perspective, it is also emphasized that there is a lack of organizational and payment methods that allow for the smooth boarding of one's vehicle, without stopping to collect/show the travel document to the staff and/or queueing behind travelers without tickets. The possibility of accessing boarding via Telepass, through the use of dedicated lanes, still requires stopping for checks by C&amp;T staff and, in any case, is linked to a service different from that of ferrying, accessible to a limited number of users.</w:t>
        <w:br/>
        <w:t>Moreover, C&amp;T does not provide any informational tools that could help the consumer organize their trip, avoiding congestion and queues at boarding, and,</w:t>
        <w:br/>
        <w:t>235 The overall results of the reviews are as follows: 'terrible', 277 reviews out of 556 (49.8%); 'poor', 58 reviews (10.4%); 'average', 69 reviews (12.4%); 'very good', 85 reviews (15.3%); 'excellent', 67 reviews (12.1%). See, in this regard, section II.3.3.</w:t>
        <w:br/>
        <w:t>236 See doc. no. 93, p. 52.</w:t>
        <w:br/>
        <w:t>237 “In general, the group's fleet has a high average age (over 30 years), which is, however, subject to a recent refurbishment and renewal plan that has seen the entry into the fleet of a new modern unit during 2018, and which foresees significant investments for the construction of further new modern units.” See Management Report – Financial Statements as of 12/31/2019, p. 52.</w:t>
        <w:br/>
        <w:t>238 See doc. no. 93 and, in particular, 93.2.</w:t>
      </w:r>
    </w:p>
    <w:p>
      <w:r>
        <w:rPr>
          <w:b/>
        </w:rPr>
        <w:t>[Pages 82–84]</w:t>
      </w:r>
    </w:p>
    <w:p>
      <w:r>
        <w:t>84 BULLETIN NO. 14 OF APRIL 19, 2022</w:t>
        <w:br/>
        <w:t>consequently, use their time more efficiently: the traveler must physically go to the departure terminal and, only at that moment, is aware of the level of crowding and the queue they will have to face.</w:t>
        <w:br/>
        <w:t>289. Unlike C&amp;T, some international operators active on benchmark routes stand out for innovative and virtuous ancillary services aimed at improving the overall travel experience. For example, TESO and Gozo Channel allow real-time monitoring of terminal congestion levels, and consequently, travelers can decide to advance or postpone their trip in light of the current traffic level, thus maximizing the benefits associated with a more efficient management of their time. In this regard, C&amp;T argues that such services are linked to the impossibility, with these carriers, of booking trips at a specific time. In any case, these services appear to be innovative and are not offered by the Party.</w:t>
        <w:br/>
        <w:t>290. TESO also allows the purchased ticket to be linked to the license plate of the vehicle. The cameras present at the boarding points automatically read the license plate, allowing cars to board smoothly without any stop or wait necessary for ticket issuance or control by the company's staff. Furthermore, the company analyzes historical traffic flow data and provides users with advance projections on the expected level of congestion at boarding points. Traffic projections are daily, broken down by different time slots, and cover the entire year, from January 1 to December 31. Through such use of its informational assets, the Dutch carrier provides users with a wide and detailed range of information that can significantly contribute to improving the journey and its planning.</w:t>
        <w:br/>
        <w:t>291. In conclusion, in light of the various evidence provided and the arguments made, the tariffs applied by C&amp;T to passengers with vehicles are characterized by a high degree of inequity, being disproportionate to the economic value of the service rendered. The inequity, which is already manifested by the different level of profitability of C&amp;T's freight transport, emerges clearly and severely from the tariff comparison with international benchmarks. In fact, C&amp;T applies significantly higher tariffs compared to operators active on comparable routes, and this price differential is not justified by the quality level of the service offered.</w:t>
        <w:br/>
        <w:t>IV.4.2 The discriminatory profiles of the tariffs applied by C&amp;T</w:t>
        <w:br/>
        <w:t>292. The initiation of the proceedings against C&amp;T also hypothesized the presence of possible discriminatory profiles. The application of a uniform price regardless of the number of passengers traveling in the boarded cars appeared particularly burdensome for the individual traveler with a car in tow.</w:t>
        <w:br/>
        <w:t>293. In order to verify the spread of such potential discriminatory aspects, as described in section II.2.1 (supra), detailed information was requested regarding the average number of travelers per individual private vehicle boarded by C&amp;T.</w:t>
        <w:br/>
        <w:t>294. The available evidence shows, first of all, that the application of a price defined solely on the vehicle and indifferent to the number of passengers is not a distinctive characteristic of C&amp;T, but rather a common practice in the sector: in fact, what occupies space in ferry transport is the vehicle, not the passengers seated inside it. For example, Forsea/Scandilines (route Helsingor-Helsinborg) and TESO (route Den Helder-Texel) apply a price per single vehicle that includes a maximum number of passengers equal to 9.</w:t>
        <w:br/>
        <w:t>295. It is also noted that the average number of passengers per single vehicle boarded by C&amp;T is around [2-4] passengers per car (annual average). Considering the seasonality of traffic flows, in the low season there is an average of [less than 3] passengers per single vehicle, while the average is over 3 passengers during the high summer season. Therefore, in light of these elements, it emerges that there is no particular presence of single passengers with cars in tow in the Strait.</w:t>
        <w:br/>
        <w:t>296. In conclusion, while reserving the assessment regarding the excessive burden of the economic conditions applied by C&amp;T to passengers with vehicles on the VSG-MRSF, the investigative activity did not confirm the existence of the discriminatory profiles hypothesized at the initiation of the proceedings.</w:t>
        <w:br/>
        <w:t>IV.4.3 Conclusions</w:t>
        <w:br/>
        <w:t>297. The analyses conducted based on the evidence acquired during the proceedings have confirmed the existence of the abusive conduct hypothesized at the initiation of the proceedings in that the tariffs applied by C&amp;T to ferry services for passengers with vehicles in tow constitute an abuse of a dominant position in violation of Article 3, letter a) of Law No. 287/90.</w:t>
        <w:br/>
        <w:t>298. Specifically, C&amp;T's abuse of its dominant position consists of an unlawful exploitation of the economic power of the Party, consisting of the application of unjustifiably burdensome prices towards final consumers, passengers with vehicles in tow, users of the ferry services provided by the company.</w:t>
        <w:br/>
        <w:t>299. The unlawfulness of C&amp;T's conduct has been established through a rigorous application of the evidentiary standards required by national and community jurisprudence and, in particular, by the so-called United Brands doctrine. Regarding the disproportion between costs and revenues (excessiveness), various tests were used (corresponding to different cost allocations), each of which was developed under two different hypotheses (capital at 'historical cost' and at 'replacement value'). All the tests used provided consistent results regarding the existence of a significant disproportion between C&amp;T's revenues and costs in offering ferry services for passengers with vehicles in tow.</w:t>
        <w:br/>
        <w:t>300. The inequity is widely confirmed by the comparison with the international benchmarks identified by the Party itself. Additional qualitative aspects of the services provided have also been valued, as well as the justifications for the price appropriateness put forward by C&amp;T.</w:t>
        <w:br/>
        <w:t>301. It is also worth noting the use of a methodological approach that is particularly favorable to the Party. The analyses were conducted using the information and data provided by C&amp;T, net of some reworkings deemed necessary regarding the methods of cost allocation between the passenger segment and the freight segment on the VSG-MRSF route.</w:t>
        <w:br/>
        <w:t>302. Finally, it is highlighted that the competitive illegality is particularly significant considering the geographical area involved, namely the Strait of Messina, the economic power of C&amp;T, as well as the type of service provided, which is essential for the approximately 10 million travelers per year (2019 data) who seasonally or habitually, on a daily basis, must cross the Strait of Messina with their vehicles (just under 2 million cars in 2019).</w:t>
        <w:br/>
        <w:t>V. GRAVITY AND DURATION</w:t>
        <w:br/>
        <w:t>303. Article 15, paragraph 1, of Law No. 287/90 provides that the Authority, in cases of serious violations, taking into account their gravity and duration, shall impose an administrative pecuniary sanction of up to ten percent of the turnover achieved by each company or entity in the last financial year closed prior to the notification of the warning adopted as a result of an investigative procedure.</w:t>
        <w:br/>
        <w:t>304. In this regard, it is necessary to recall that, according to established European and national jurisprudence, the quantification of the sanction is linked to an assessment of the gravity of the violation, which is carried out taking into account various factors, such as the nature of the restriction of competition, as well as the role and market representation of the companies involved239. In this regard, it is recalled that according to what has been expressly clarified by the Court of Justice of the European Union, "to assess the gravity of an infringement, account must be taken of a large number of factors whose nature and importance vary depending on the type of infringement and the particular circumstances of the case"240.</w:t>
        <w:br/>
        <w:t>305. As for the nature of the abusive conduct under examination, it is noted that the behavior subject to evaluation, namely the application of unjustifiably burdensome prices, represents a very rare and peculiar conduct both in the national and EU landscape. In fact, C&amp;T has exploited its historical market power in the Strait of Messina, which consists of an economic predominance in the relevant market constituted by the Ro/Pax VSG-MRSF and VSG-MP routes, in order to apply to consumers crossing the Strait with their vehicles tariffs that have proven, first of all, excessive and, moreover, inequitable compared to similar services provided on comparable foreign routes (the benchmark routes).</w:t>
        <w:br/>
        <w:t>306. Such conduct, as already highlighted, has caused significant harm to consumers, who have found themselves paying tariffs that are at least 80% higher than those for similar services provided on the benchmark routes. Nor, on the other hand, is the application of C&amp;T's tariffs justified by the quality of the service offered, as illustrated in Sections II.2.5 and IV.1.1.; in fact, although the ferry services provided by C&amp;T are characterized by a high frequency and annual coverage of trips, the ships used are much older than average (27 years compared to an average of 17 years), highlighting, despite the level of prices applied, lower investments compared to other operators. Furthermore, carriers active on comparable routes offer innovative monitoring and forecasting services for traffic flows that are completely absent for C&amp;T.</w:t>
        <w:br/>
        <w:t>239 See, inter alia, Council of State, judgments No. 896 of February 9, 2011, and 5171 and 5172 of September 16, 2011, regarding case I694 – Pasta price list; Court of Justice, judgment of July 15, 1970, C-45/69, Boehringer Mannheim GmbH v. Commission, in Collection 1970, p. 769, point 53. This last judgment was reiterated and clarified by the Court of Justice in the judgment of June 7, 1983, joined cases C-100-103/80, Musique Diffusion Française, in Collection 1983, p. 1825, as well as in the judgment of November 9, 1983, C-322/81, Michelin, in Collection 1983, p. 3461.</w:t>
        <w:br/>
        <w:t>240 See, inter alia, CJEU, C-100/8 to 103/80 (joined cases), judgment of June 7, 1983, Musique Diffusion Française, para. 120.</w:t>
      </w:r>
    </w:p>
    <w:p>
      <w:r>
        <w:rPr>
          <w:b/>
        </w:rPr>
        <w:t>[Pages 85–87]</w:t>
      </w:r>
    </w:p>
    <w:p>
      <w:r>
        <w:t>BULLETIN NO. 14 OF APRIL 19, 2022 87</w:t>
        <w:br/>
        <w:t>307. It should also be noted that the ferry services offered by C&amp;T are used by a large number of travelers who embark with high frequency, even daily, to make round trips across the Strait. Nevertheless, C&amp;T, unlike most carriers active on benchmark routes, does not provide for the purchase of multiple tickets (ticket booklets), which allow significant savings for frequent travelers. On the contrary, the discounts applied by C&amp;T are difficult to understand and, in any case, even the lowest prices are still more expensive by [40-45%] compared to the average of the minimum tariffs applied on comparable routes.</w:t>
        <w:br/>
        <w:t>308. Regarding the role and representativeness of the company in question, C&amp;T represents the main, if not the only, carrier for crossing the Strait for consumers traveling with their vehicle. In fact, the market shares are extremely high, amounting to about 90% in terms of passengers and cars embarked (2019 data, see Table 9 - supra).</w:t>
        <w:br/>
        <w:t>309. In light of the above considerations, the abuse of dominant position carried out by C&amp;T must be considered serious.</w:t>
        <w:br/>
        <w:t>310. Furthermore, according to the "Guidelines on the application of the criteria for quantifying administrative monetary penalties imposed by the Authority in application of Article 15, paragraph 1, of Law No. 287/90" (hereinafter, Guidelines), adopted by the Authority on October 22, 2014, the duration of the infringement impacts the detrimental consequences of the infringement and, therefore, deserves to be valued in determining the appropriate amount of the penalty. Moreover, the Guidelines provide that "for fractions of a year, the duration will be calculated based on the actual months and days of participation in the infringement."</w:t>
        <w:br/>
        <w:t>311. As for the duration of the infringement, it is possible to contest C&amp;T's abusive conduct for the period from 1/1/2017 to 31/12/2019, that is, 3 years. As clarified in Section II.2 (infra), the measures restricting the mobility of citizens defined to counter the pandemic crisis have altered the normal market dynamics and make the years 2020 and 2021 inappropriate for conducting the appropriate competitive analyses regarding the application of excessively burdensome prices by C&amp;T. If the evidence on record does not allow for the determination of abusive conduct for the years 2020 and 2021, this is solely due to exceptional circumstances external to the company. Consequently, with the end of the national state of emergency on 31/3/2022, it seems reasonable to believe that, resuming traffic volumes according to pre-pandemic modes, C&amp;T will again engage in unlawful conduct unless it undertakes a stable and appropriate revision of its tariffs.</w:t>
        <w:br/>
        <w:t>312. Additionally, only close to the conclusion of the proceedings did C&amp;T communicate its intention to "proceed with a generalized reduction of prices for the maritime transport service across the Strait of Messina for the entire year 2022 [which] will lead to a reduction of about 10% in the ticket price for the transport of passengers with cars/motorcycles/campers, as well as a reduction between 3% and 12% in the ticket price for the transport of commercial vehicles [...]"241. This price reduction, which is nonetheless temporary in nature, does not seem to specifically address the issues of excessiveness and inequity extensively illustrated, being solely connected to the receipt of compensatory subsidies related to the pandemic crisis; in fact, as stated by C&amp;T: "This price reduction is the result of the company's entrepreneurial choice to allocate the compensations provided by Decree-Law No. 104 of 2020 for the damages suffered by the maritime transport sector"242. The evidence on record does not allow for an assessment of whether this measure can protect the operator from the risk of falling back into abuse, not only because the announced reduction is temporary, but also because the actual impact of the reduction should take into account the new economic scenario, which is currently unknown. It is therefore up to C&amp;T, in light of the analysis of inequity conducted for the three-year period 2017/2019, to adequately prepare to avoid incurring, in the future, the same abusive conduct established by the provision.</w:t>
        <w:br/>
        <w:t>VI. CRITERIA FOR QUANTIFICATION OF THE PENALTY</w:t>
        <w:br/>
        <w:t>313. Article 15, paragraph 1, of Law No. 287/90 provides that the Authority, in cases of serious infringements, taking into account their severity and duration, shall impose an administrative monetary penalty of up to ten percent of the turnover achieved by each company or entity in the last financial year closed prior to the notification of the warning adopted as a result of an investigative procedure.</w:t>
        <w:br/>
        <w:t>314. That said, in order to quantify the penalty, it is necessary to consider, in addition to what is provided for in Article 15, paragraph 1, mentioned above, also the provisions of Article 11 of Law No. 689/1981, as recalled by Article 31 of Law No. 287/90, as well as the interpretative criteria detailed in the aforementioned Guidelines.</w:t>
        <w:br/>
        <w:t>315. In particular, point 7 and following of the Guidelines require that the value of the sales of goods or services involved in the infringement, made by the company in the relevant market(s) in the last full year of participation in the infringement, be taken as a reference. However, point 9 clarifies that "If the data relating to turnover, referring to the last full year of participation in the infringement, is not made available by the company or is not reliable or sufficiently representative or, in any case, otherwise not determinable, the Authority will consider any other information it deems relevant or appropriate, such as, for example: the average value of sales over the entire duration of the infringement or another year of that reference period or, again, a percentage of the total turnover achieved in Italy."</w:t>
        <w:br/>
        <w:t>316. In this case, the value of sales is considered equal to the average annual turnover achieved during the period 2017-2020 by Caronte &amp; Tourist S.p.A. concerning passenger ferry services with vehicles on board across the Strait of Messina, and in particular, on the route Villa San Giovanni – Messina Rada San Francesco. In fact, the company does not yet have the turnover for 2021, and moreover, the single year 2020 is not representative in light of the effects of the COVID-19 pandemic crisis described in Section II.2. Therefore, the relevant value of sales in this proceeding for C&amp;T amounts to [31-100 million euros]243.</w:t>
        <w:br/>
        <w:t>242 See doc. no. 89, p. 1.</w:t>
        <w:br/>
        <w:t>243 Arithmetic mean of the annual turnover achieved on the VSG-MRSF route during the period 2017-2020, as communicated by C&amp;T. See doc. no. 100.</w:t>
      </w:r>
    </w:p>
    <w:p>
      <w:r>
        <w:t>BULLETIN NO. 14 OF APRIL 19, 2022 89</w:t>
        <w:br/>
        <w:t>317. For the determination of the base amount of the penalty, the value of sales as determined above must be applied with a specific percentage identified based on the severity of the violation, for which reference is made in full to what is represented in Section V (supra). According to the Guidelines, in particular, the proportion considered must be set at a level that can reach 30% of the value of sales (point 11). In this regard, it is highlighted that the exception raised by the Party regarding the non-seriousness of the infringement is unfounded and entirely generic, as, as already stated in the CRI (and reiterated in the previous Section V), the Authority has considered the infringement serious in light of its nature, the competitive conditions in the relevant market, and the harm caused to consumers.</w:t>
        <w:br/>
        <w:t>318. In this regard, it is noted that the behaviors exhibited constitute a case of exploitative abuse and, for the assessments already expressed in the previous Section V, a serious violation of Article 102 TFEU. Therefore, it is deemed appropriate to identify a percentage of the value of sales based on the severity of the infringement equal to [15-20%] of the value of sales.</w:t>
        <w:br/>
        <w:t>319. According to the Guidelines, the duration of the infringement impacts the detrimental consequences of the conduct and, therefore, deserves to be valued in determining the appropriate amount of the penalty. Furthermore, the Guidelines provide that "for fractions of a year, the duration will be calculated based on the actual months and days of participation in the infringement." In this regard, based on the clear documentation on record, C&amp;T's conduct is relevant for the purposes of this proceeding at least from January 1, 2017, a period during which the initial evidence of the infringement is found and is still ongoing.</w:t>
        <w:br/>
        <w:t>320. Moreover, as illustrated in the previous Section V, the tariff reduction planned for 2022, being of a temporary nature and not adequately addressing the issues of excessiveness and inequity extensively illustrated, cannot identify a term indicative of the date of cessation of the contested abusive conduct. It follows, therefore, that the duration of the infringement is equal to 3 years.</w:t>
        <w:br/>
        <w:t>321. The base amount of the penalty calculated by multiplying the value of sales by the percentage identified based on the severity of the infringement equal to [15-20%] and by the duration coefficient, equal to 3, amounts to [10-31 million euros].</w:t>
        <w:br/>
        <w:t>322. The base penalty exceeds the maximum statutory limit of 10% of the total turnover achieved by C&amp;T in the last available financial year. Therefore, it must be reduced to bring it within the maximum statutory limit provided by Law No. 287/90 (see table below, last column).</w:t>
        <w:br/>
        <w:t>Base penalty as % Final penalty with cap</w:t>
        <w:br/>
        <w:t>Company Total turnover 2020</w:t>
        <w:br/>
        <w:t>of total turnover of 10%</w:t>
        <w:br/>
        <w:t>C&amp;T [31-100 million euros] 31.519% [1-10 million euros]</w:t>
        <w:br/>
        <w:t>323. The paragraph 34 of the Guidelines is then relevant, which states that "The specific circumstances of the particular case or the need to achieve a particular deterrent effect may justify motivated deviations from the application of these Guidelines." In this sense, the Authority believes that in this case the profound economic crisis affecting the sector in question is relevant, especially due to the containment measures necessary to address the pandemic crisis.</w:t>
      </w:r>
    </w:p>
    <w:p>
      <w:r>
        <w:rPr>
          <w:b/>
        </w:rPr>
        <w:t>[Pages 88–90]</w:t>
      </w:r>
    </w:p>
    <w:p>
      <w:r>
        <w:t>90 BULLETIN NO. 14 OF APRIL 19, 2022</w:t>
        <w:br/>
        <w:t>from COVID-19. In fact, during 2020 and 2021, emergency measures were adopted that significantly reduced the freedom of movement of citizens. It is therefore deemed appropriate to reduce the amount of the fine by [50-55%].</w:t>
        <w:br/>
        <w:t>324. In consideration of the above, the amount of the imposed fine is set at 3,719,370 euros.</w:t>
        <w:br/>
        <w:t>All of the above having been stated and considered:</w:t>
        <w:br/>
        <w:t>RESOLVES</w:t>
        <w:br/>
        <w:t>a) that the conduct carried out by the company Caronte &amp; Tourist S.p.A., implemented from January 1, 2017, to December 31, 2019, consisting of the application of unjustifiably burdensome prices towards passengers boarding with their own vehicle on the routes served by the company for crossing the Strait of Messina, constitutes an abusive behavior of the dominant position of Caronte &amp; Tourist S.p.A., in violation of Article 3, letter a), of Law No. 287/90;</w:t>
        <w:br/>
        <w:t>b) that the application by the company Caronte &amp; Tourist S.p.A. of a uniform price regardless of the number of travelers on each vehicle boarded on the routes served does not constitute an abusive behavior of the dominant position of Caronte &amp; Tourist S.p.A., in violation of Article 3, letter a), of Law No. 287/90;</w:t>
        <w:br/>
        <w:t>c) that the company Caronte &amp; Tourist S.p.A. shall refrain in the future and, specifically, upon the cessation of the national health emergency, from engaging in conduct similar to that of the infringement established in point a), adopting all initiatives suitable to prevent the recurrence of the unlawful conduct;</w:t>
        <w:br/>
        <w:t>d) to impose on the company Caronte &amp; Tourist S.p.A., due to the seriousness and duration of the infringement, an overall administrative pecuniary sanction of 3,719,370 € (three million seven hundred nineteen thousand three hundred seventy euros);</w:t>
        <w:br/>
        <w:t>e) that the company Caronte &amp; Tourist S.p.A. shall notify the Authority of the initiatives undertaken to comply with what is requested in the previous letter c), by sending a specific written report by June 30, 2022, and shall also provide, by March 15 of the years 2023, 2024, and 2025, a written report relating, respectively, to the years 2022 (full year, with details for the period April 1, 2022 - December 31, 2022), 2023 (full year), and 2024 (full year).</w:t>
        <w:br/>
        <w:t>The administrative sanction referred to in the previous letter d) must be paid within ninety days from the notification of this provision, using the tax codes indicated in the attached model F24 with identifying elements, pursuant to Legislative Decree No. 241/1997.</w:t>
        <w:br/>
        <w:t>Payment must be made electronically with a debit to one's bank or postal account, through the home banking and CBI services provided by banks or Poste Italiane S.p.A., or by using the telematic services of the Revenue Agency, available on the website www.agenziaentrate.gov.it, or by bank transfer (in euros) in favor of the State Budget, using the IBAN code IT04A0100003245348018359214 (BIC code: BITAITRRENT), which corresponds to the accounting triplet 18/3592/14.</w:t>
        <w:b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role is transmitted to the collector for collection; in this case, the increase absorbs the late interest accrued in the same period.</w:t>
        <w:br/>
        <w:t>Immediate communication of the payments made must be given to the Authority, by sending a copy of the model certifying the payment made.</w:t>
        <w:br/>
        <w:t>Pursuant to Article 26 of the same law, companies in economically disadvantaged conditions may request the installment payment of the sanction.</w:t>
        <w:br/>
        <w:t>This provision will be notified to the interested parties and published in the Bulletin of the Antitrust Authority.</w:t>
        <w:br/>
        <w:t>Against this provision, an appeal may be submitted to the TAR of Lazio, pursuant to Article 135, paragraph 1, letter b), of the Code of Administrative Procedure (Legislative Decree of July 2, 2010, No. 104), within sixty days from the date of communication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twenty days from the date of notification of the provision itself.</w:t>
        <w:br/>
        <w:t>THE SECRETARY GENERAL THE PRESIDENT</w:t>
        <w:br/>
        <w:t>Guido Stazi Roberto Rustichelli</w:t>
        <w:br/>
        <w:t>__________________________________________________________________________</w:t>
      </w:r>
    </w:p>
    <w:p>
      <w:r>
        <w:t>92 BULLETIN NO. 14 OF APRIL 19, 2022</w:t>
        <w:br/>
        <w:t>Appendix 1 – The level of 'adequate ROI' used in Cost Plus</w:t>
        <w:br/>
        <w:t>1. This analysis aims to identify a range of values for the ROI (Return on Investment) indicator to be used as a benchmark ('adequate ROI') for the passenger and freight ferry service across the Strait of Messina carried out by Tourist Caronte (Procedure A541, initiated pursuant to Article 3 of Law 287/90, on July 28, 2020).</w:t>
        <w:br/>
        <w:t>2. The identification of the most appropriate benchmark requires that a series of factors be identified and addressed that could limit the comparability between the activities considered in the benchmark and those of Caronte &amp; Tourist (“C&amp;T”). This would inevitably reflect on the fair profitability of the invested capital to be considered in the test of excess pricing of C&amp;T. Among the main differentiating factors to be taken into account for this analysis are at least the following:</w:t>
        <w:br/>
        <w:t>• differences in transport activities;</w:t>
        <w:br/>
        <w:t>• quality of the service provided;</w:t>
        <w:br/>
        <w:t>• degree of competitiveness in the market in which the assets operate; and</w:t>
        <w:br/>
        <w:t>• presence of subsidized activities, which the market would not provide in the absence of subsidies.</w:t>
        <w:br/>
        <w:t>3. The simplest way to avoid such possible differences leading to the construction of a distorted benchmark for C&amp;T's activities is to refer, rather than to a limited number of comparator companies, to a sufficiently large sample of companies engaged in maritime transport of goods/passengers. This allows for the construction of a synthetic ROI indicator (mean or median) in which the possible differentiating factors mentioned above will still have a limited impact, providing greater robustness to the benchmark construction exercise. Obviously, companies that present significant (and observable) differences with C&amp;T must be excluded from this sample; otherwise, the benchmark will still be distorted. This is, for example, the case of transport companies operating on structurally unprofitable routes and therefore receiving significant public subsidies1, given that C&amp;T's activities across the Strait of Messina do not receive public subsidies.</w:t>
        <w:br/>
        <w:t>4. In this perspective, data on ROI for 23 companies primarily engaged in maritime transport of goods and passengers via ferries have been collected, almost all active in Italy and Europe. This sample was constructed considering all the companies included in the benchmarking study of applicable tariffs on comparable routes filed in the records by C&amp;T itself2. In particular, carriers for which it was possible to obtain the financial statements for the years 2017-2019 (14 companies) were considered, adding the other main ferry/navigation companies active on European routes for which it was possible to obtain the financial statements, also for the years 2017-2019 (Laziomar, Liberty lines, CIN (Tirrenia), Grimaldi Euromed, Forship, Destination Gotland, Tallink Grupp, DFDS, and Irish Ferries). The list of companies considered in the analysis is reported in the Attachments. The results of the analysis are reported in Figures 2-4, respectively for 2017, 2018, and 2019.</w:t>
        <w:br/>
        <w:t>1 These subsidies are justified by the fact that, in their absence, the market would not provide the transport service or the service would only be provided with lower quality standards.</w:t>
        <w:br/>
        <w:t>2 See doc. No. 39.1 in the index.</w:t>
      </w:r>
    </w:p>
    <w:p>
      <w:r>
        <w:rPr>
          <w:b/>
        </w:rPr>
        <w:t>[Pages 91–93]</w:t>
      </w:r>
    </w:p>
    <w:p>
      <w:r>
        <w:t>BULLETIN NO. 14 OF APRIL 19, 2022 93</w:t>
        <w:br/>
        <w:t>5. The analysis conducted shows that shipping companies receiving public subsidies have average ROI values lower than those of non-subsidized companies, and it was deemed reasonable to exclude such companies from the construction of a benchmark for C&amp;T's ROI, with the exception of Medmar S.p.A., a company for which the subsidies appear to be entirely marginal, not exceeding 3% of revenue.</w:t>
        <w:br/>
        <w:t>6. Secondly, it seems reasonable to exclude the company Forship S.p.A. from the benchmark as it has incurred operating losses in each of the three years considered (See Figures 1-3) and for such reasons, for the purposes of this analysis, it has been assimilated to a company operating on structurally unprofitable routes.</w:t>
        <w:br/>
        <w:t>7. Once all structurally unprofitable companies are excluded from the analysis, 14 shipping companies remain in the sample: Blueferries, Medmar, MOBY (excluding CIN/Toremar)3, Grimaldi Euromed, SNAV, Scandilines (Denmark), Destination Gotland (Ferries, Sweden), Tallink Grupp (Finland), DFDS (Ferries, Denmark), Irish Ferries division (Ireland), TESO (Netherlands), Sealink (Australia), Fjord Line (Norway), and Wightlink (United Kingdom).</w:t>
        <w:br/>
        <w:t>8. The average ROI value of the 14 companies considered was 7.8% in 2019, 7.6% in 2018, and 11.1% in 2017. The median ROI value, on the other hand, stands at slightly lower levels: 7.6% in 2019, 5.5% in 2018, and 9.1% in 2017, especially in 2018 and 20174.</w:t>
        <w:br/>
        <w:t>9. Considering the three-year period as a whole, the analyzed companies recorded a median ROI value of 6.9% and an average value of 8.9%.</w:t>
        <w:br/>
        <w:t>Replies to the objections raised by C&amp;T</w:t>
        <w:br/>
        <w:t>10. According to C&amp;T, several errors were made in estimating the benchmark ROI ('appropriate ROI')5. In particular, C&amp;T notes that ROI would be a distorted indicator of business performance when the investment cycle (as in the case of the companies in question) does not involve the annual replenishment of the book value of the invested capital with investments equal to the depreciation. Therefore, it is possible to have a ROI much higher than the cost of capital even when the invested capital does not generate any extra income. In particular, ROI would be a distorted indicator as – under equal conditions (i.e., EBIT margin) – it shows higher profitability for the company with older invested capital.</w:t>
        <w:br/>
        <w:t>11. In this regard, it should be noted that ROI represents a standard index in business profitability analyses and that C&amp;T's observations – weak for the reasons outlined below – do not contradict, in any case, the evidence developed. In fact, precisely in order to provide an indication of the economic profitability (and not merely accounting) of the capital invested in C&amp;T, the analyses were also conducted at the 'replacement value', which essentially indicates the (economic) value of the capital for the company and, therefore, is not affected by the age of the fleet and the accounting criteria for the depreciation of assets.</w:t>
        <w:br/>
        <w:t>3 The company Moby S.p.A. was excluded from the analysis for the year 2019 only as it recorded a ROI of -38% in that year, a value that would have led to a high risk of distortion (downward) of the average ROI for that year.</w:t>
        <w:br/>
        <w:t>4 This is mainly due to the high ROI achieved by Irish Ferries in 2018 and 2017, which were 31% in 2018 and 41% in 2017, which, as is known, influences the estimate of the average value but not the median.</w:t>
        <w:br/>
        <w:t>5 See doc. n. 93 and attachments and, in particular, doc. n. 93.2.</w:t>
      </w:r>
    </w:p>
    <w:p>
      <w:r>
        <w:t>94 BULLETIN NO. 14 OF APRIL 19, 2022</w:t>
        <w:br/>
        <w:t>12. Furthermore, the analysis conducted by C&amp;T on the relationship between ROI value and fleet age contains flaws and inaccuracies that completely invalidate the results it reaches. Firstly, it is observed that the estimated relationship, or the (statistically significant) correlation between the level of ROI and fleet age, largely depends on the sample considered in the analysis and, in particular, on C&amp;T's choice to exclude four ferry companies from the sample considered for estimating the 'appropriate ROI'. In particular, these are Sealink, Moby, Medmar, and SNAV, companies considered in the sample analyzed by the Offices as they were included in the benchmarking study proposed by C&amp;T6. By repeating C&amp;T's analysis on the entire sample, and thus including the four excluded companies, fleet age does not constitute a variable that has a statistically significant relationship with ROI (Figure 1 - infra). This means that, based on conventionally accepted statistical standards, the regression analysis proposed by C&amp;T is unable to demonstrate that fleet age has an impact on the level of ROI.</w:t>
        <w:br/>
        <w:t>Figure 1: regression proposed by C&amp;T on the complete sample</w:t>
        <w:br/>
        <w:t>Source: information sent by C&amp;T on 4/2/2022, doc. n. 97 and attachments</w:t>
        <w:br/>
        <w:t>13. It should also be noted that even if the reasoning of the Party had merit (and, for the considerations made previously, this does not seem to be the case), the explanatory variable to be used in the regression should be fleet age relative to the accounting life of the assets (which varies significantly from company to company as highlighted by the data produced by C&amp;T) and not merely fleet age. This is because the (alleged) upward distortion of business profitability should occur in the presence of assets whose economic value exceeds their book value, and this tends to occur towards the end of the accounting life of the assets depending on the length of the latter.</w:t>
        <w:br/>
        <w:t>14. Additionally, the regression presented by C&amp;T provides a forecast value for the 'appropriate ROI' outside the sample (out-of-sample estimate), a factor that, as is known, means that the estimates obtained are characterized by a high degree of uncertainty. This aspect is also amplified by the functional form chosen for the regression (exponential), which has the peculiarity of causing the ROI index to vary greatly in response to small changes in the fleet age variable, which leads to an overestimation of ROI at equal fleet age.</w:t>
        <w:br/>
        <w:t>15. To illustrate this, it can be noted that the ROI predicted for C&amp;T by the Party's regression, equal to 54.6%, appears completely misaligned with the ROI of the companies in the sample, particularly those with an older fleet than C&amp;T. In fact, the ROI value estimated by C&amp;T is about double the highest ROI of the analyzed sample. Furthermore, according to the Party's model, companies with a fleet older than that of C&amp;T (Medmar, MOBY, and SNAV) should record an ROI higher than 54.6%, but this does not occur (Figure 1, which illustrates the data as provided by the Party).</w:t>
        <w:br/>
        <w:t>16. The combination of these elements clearly shows how all the objections raised by the Party based on the increasing relationship between ROI and fleet age are, overall, without merit. In fact, firstly, this relationship is not statistically significant and, moreover, the predictive value of the model proposed by C&amp;T is not at all satisfactory (companies with a fleet older than that of C&amp;T have ROI significantly lower than the 54.6% proposed by the Party).</w:t>
        <w:br/>
        <w:t>17. In conclusion, according to the Party, the comparison proposed by the Offices between the weighted average cost of capital (WACC) and ROI would be flawed. In particular, according to C&amp;T, the WACC would be expressed in its 'post-tax' version while the 'appropriate ROI' would not be homogeneous as it is of the 'pre-tax' type. Contrary to what C&amp;T claims, as emerges in Section II.2.3 of the provision, it is highlighted that both C&amp;T's WACC measure and all the ROIs considered are in the 'pre-tax' version. Therefore, these quantities are homogeneous and comparable.</w:t>
      </w:r>
    </w:p>
    <w:p>
      <w:r>
        <w:rPr>
          <w:b/>
        </w:rPr>
        <w:t>[Pages 94–96]</w:t>
      </w:r>
    </w:p>
    <w:p>
      <w:r>
        <w:t>96 BULLETIN NO. 14 OF APRIL 19, 2022</w:t>
        <w:br/>
        <w:t>Figure 2: ROI achieved by maritime transport companies for goods and passengers based on subsidies received (2019)</w:t>
        <w:br/>
        <w:t>Figure 3: ROI achieved by maritime transport companies for goods and passengers based on subsidies received (2018)</w:t>
      </w:r>
    </w:p>
    <w:p>
      <w:r>
        <w:t>BULLETIN NO. 14 OF APRIL 19, 2022 97</w:t>
        <w:br/>
        <w:t>Figure 4: ROI achieved by maritime transport companies for goods and passengers based on subsidies received (2017)</w:t>
      </w:r>
    </w:p>
    <w:p>
      <w:r>
        <w:t>98 BULLETIN NO. 14 OF APRIL 19, 2022</w:t>
        <w:br/>
        <w:t>Appendix 1 - Attachments</w:t>
        <w:br/>
        <w:t>The data used in the ROI analysis</w:t>
        <w:br/>
        <w:t>2019</w:t>
        <w:br/>
        <w:t>*values in thousands of euros</w:t>
      </w:r>
    </w:p>
    <w:p>
      <w:r>
        <w:rPr>
          <w:b/>
        </w:rPr>
        <w:t>[Pages 97–99]</w:t>
      </w:r>
    </w:p>
    <w:p>
      <w:r>
        <w:t>BULLETIN NO. 14 OF APRIL 19, 2022 99</w:t>
        <w:br/>
        <w:t>2018</w:t>
        <w:br/>
        <w:t>*values in thousands of euros</w:t>
      </w:r>
    </w:p>
    <w:p>
      <w:r>
        <w:t>100 BULLETIN NO. 14 OF APRIL 19, 2022</w:t>
        <w:br/>
        <w:t>2017</w:t>
        <w:br/>
        <w:t>*values in thousands of euros</w:t>
      </w:r>
    </w:p>
    <w:p>
      <w:r>
        <w:t>BULLETIN NO. 14 OF APRIL 19, 2022 101</w:t>
        <w:br/>
        <w:t>REGIONAL SERVICE CONTRACTS7</w:t>
        <w:br/>
        <w:t>TABLE 1:</w:t>
        <w:br/>
        <w:t>Contracting Authority Territorial Area Shipping Company Annual Amount Contract Start Contract Expiration</w:t>
        <w:br/>
        <w:t>Procida, Ischia, Capri Caremar spa € 11,856,786.70 16.07.2015 15.07.2024</w:t>
        <w:br/>
        <w:t>Region Procida, Monte di Procida Lauro.it spa € 82,162.30 01.09.2012 15.06.2020</w:t>
        <w:br/>
        <w:t>Campania Ischia, Procida, Pozzuoli</w:t>
        <w:br/>
        <w:t>Medmar Navi spa € 759,990.00 01.09.2012 31.03.2022</w:t>
        <w:br/>
        <w:t>(night)</w:t>
        <w:br/>
        <w:t>Lazio Region Pontine Laziomar spa € 14,027,281.40 01.09.2012 15.01.2024</w:t>
        <w:br/>
        <w:t>Asinara Delcomar spa € 1,650,000.00 14.02.2014 13.02.2020</w:t>
        <w:br/>
        <w:t>Region</w:t>
        <w:br/>
        <w:t>San Pietro, La Maddalena Delcomar spa € 12,859,853.49 24.10.2012 31.03.2022</w:t>
        <w:br/>
        <w:t>Autonomous Region of</w:t>
        <w:br/>
        <w:t>La Maddalena (night) Delcomar spa € 2,470,152.92 24.10.2012 31.03.2022</w:t>
        <w:br/>
        <w:t>Sardinia</w:t>
        <w:br/>
        <w:t>San Pietro (night) Ensamar srl € 1,784,125.67 26.07.2012 31.03.2022</w:t>
        <w:br/>
        <w:t>Eolie Caronte &amp; Tourist Isole Minori spa € 19,828,700.66 31.12.2015 31.12.2020</w:t>
        <w:br/>
        <w:t>Egadi Caronte &amp; Tourist Isole Minori spa € 10,204,437.13 31.12.2015 31.12.2020</w:t>
        <w:br/>
        <w:t>Ustica Caronte &amp; Tourist Isole Minori spa € 2,744,470.48 31.12.2015 31.12.2020</w:t>
        <w:br/>
        <w:t>Ustica Liberty Lines spa € 2,578,881.67 11.04.2016 31.12.2020</w:t>
        <w:br/>
        <w:t>Pantelleria Liberty Lines spa € 4,947,017.46 11.04.2016 31.12.2020</w:t>
        <w:br/>
        <w:t>Sicilian Region Pelagie Liberty Lines spa € 2,129,934.40 11.04.2016 31.12.2020</w:t>
        <w:br/>
        <w:t>Pelagie Liberty Lines spa € 926,218.33 11.04.2016 31.12.2020</w:t>
        <w:br/>
        <w:t>Eolie Liberty Lines spa € 5,238,918.76 11.04.2016 31.12.2020</w:t>
        <w:br/>
        <w:t>Egadi Liberty Lines spa € 956,057.17 11.04.2016 31.12.2020</w:t>
        <w:br/>
        <w:t>Pantelleria Traghetti dalle Isole spa € 1,858,478.42 n.d. 31.12.2020</w:t>
        <w:br/>
        <w:t>Pelagie Traghetti dalle Isole spa € 5,570,214.30 n.d. 31.12.2020</w:t>
        <w:br/>
        <w:t>Tuscany Region Tuscan Archipelago Toremar spa € 14,666,650.00 02.01.2012 31.12.2023</w:t>
        <w:br/>
        <w:t>Sardinia, Sicily, Tremiti Compagnia Italiana di Navigazione spa € 72,685,642.00 18.07.2012 17.07.2020</w:t>
        <w:br/>
        <w:t>Eolie, Egadi, Pelagie,</w:t>
        <w:br/>
        <w:t>MIT Sicilian Navigation Company spa € 55,694,859.00 11.04.2016 10.04.2028</w:t>
        <w:br/>
        <w:t>Ustica, Pantelleria</w:t>
        <w:br/>
        <w:t>Strait of Messina n.d. € 7,004,828.00 n.d. n.d.</w:t>
        <w:br/>
        <w:t>7 Source: Seventh Annual Report – Transport Regulation Authority (2020).</w:t>
      </w:r>
    </w:p>
    <w:p>
      <w:r>
        <w:rPr>
          <w:b/>
        </w:rPr>
        <w:t>[Pages 100–102]</w:t>
      </w:r>
    </w:p>
    <w:p>
      <w:r>
        <w:t>102 BULLETIN NO. 14 OF APRIL 19, 2022</w:t>
        <w:br/>
        <w:t>SUMMARY OF BALANCE SHEET DATA (data in thousands of euros)</w:t>
        <w:br/>
        <w:t>2019 EBIT C. INVESTED ROI (%)</w:t>
        <w:br/>
        <w:t>Caronte &amp; Tourist S.p.A. - Parent Company 27,624 193,372 14.2</w:t>
        <w:br/>
        <w:t>Cartour S.r.l. 2,664 59,765 5.0*</w:t>
        <w:br/>
        <w:t>Caronte &amp; Tourist Group – Minor Islands S.p.A. 4,903 63,874 7.6</w:t>
        <w:br/>
        <w:t>Caronte &amp; Tourist Group – Group Result 39,514 252,063 15.6</w:t>
        <w:br/>
        <w:t>CAREMAR S.p.A. 626 23,588 2.6*</w:t>
        <w:br/>
        <w:t>MEDMAR S.p.A 2,188 40,260 5.4*</w:t>
        <w:br/>
        <w:t>LAZIOMAR S.p.A. 576 12,333 4.7*</w:t>
        <w:br/>
        <w:t>DELCOMAR S.r.l. 1,731 23,704 7.3*</w:t>
        <w:br/>
        <w:t>LIBERTY LINES S.p.A. 5,461 113,982 7.8*</w:t>
        <w:br/>
        <w:t>CIN – TIRRENIA S.p.A. 3,601 237,974 1.5*</w:t>
        <w:br/>
        <w:t>TOREMAR S.p.A. 1,076 7,859 27.3*</w:t>
        <w:br/>
        <w:t>MOBY S.p.A. (exc. CIN/TIRRENIA) -143,903 375,669 -38.3</w:t>
        <w:br/>
        <w:t>GRIMALDI GROUP S.p.A. 347,000 nd 6.3*</w:t>
        <w:br/>
        <w:t>GRIMALDI EUROMED 51,000 nd 2.4*</w:t>
        <w:br/>
        <w:t>SNAV S.p.A. 1,881 17,340 11.0*</w:t>
        <w:br/>
        <w:t>FORSHIP S.p.A. -14,213 151,134 -9.4*</w:t>
        <w:br/>
        <w:t>Bluferries S.r.l. 3,616 35,669 10.0*</w:t>
        <w:br/>
        <w:t>Scandilines - Denmark 142,000 1,256,000 11.3</w:t>
        <w:br/>
        <w:t>Destination Gotland - Sweden nd nd 8.6*</w:t>
        <w:br/>
        <w:t>Tallink Grupp - Finland nd nd 5.7*</w:t>
        <w:br/>
        <w:t>DFDS - Denmark nd nd 7.6*</w:t>
        <w:br/>
        <w:t>Irish Ferries - Ireland nd nd 17.6*</w:t>
        <w:br/>
        <w:t>TESO – Netherlands 2,665 141,658 1.9</w:t>
        <w:br/>
        <w:t>CALMAC – United Kingdom/Scotland 5,611 67,522 8.3</w:t>
        <w:br/>
        <w:t>SEALINK Travel Group – Australia 11,597 380,296 3.0</w:t>
        <w:br/>
        <w:t>Fjord Line – Norway 18,961 381,491 4.9</w:t>
        <w:br/>
        <w:t>Wightlink Limited – United Kingdom 19,615 159,637 12.2*</w:t>
      </w:r>
    </w:p>
    <w:p>
      <w:r>
        <w:t>BULLETIN NO. 14 OF APRIL 19, 2022 103</w:t>
        <w:br/>
        <w:t>2018 EBIT C. INVESTED ROI (%)</w:t>
        <w:br/>
        <w:t>Caronte &amp; Tourist S.p.A. - Parent Company 27,306 173,230 15.7</w:t>
        <w:br/>
        <w:t>Cartour S.r.l. 1,312 60,386 39.0*</w:t>
        <w:br/>
        <w:t>Caronte &amp; Tourist Group – Minor Islands S.p.A. -3,760 60,858 -6.2</w:t>
        <w:br/>
        <w:t>Caronte &amp; Tourist Group – Group Result 24,887 233,926 10.6</w:t>
        <w:br/>
        <w:t>CAREMAR S.p.A. 1,897 24,956 7.6*</w:t>
        <w:br/>
        <w:t>MEDMAR S.p.A 799 38,866 2.0*</w:t>
        <w:br/>
        <w:t>LAZIOMAR S.p.A. 782 16,069 4.8*</w:t>
        <w:br/>
        <w:t>DELCOMAR S.r.l. 1,836 21,371 8.6*</w:t>
        <w:br/>
        <w:t>LIBERTY LINES S.p.A. 6,919 125,519 9.2*</w:t>
        <w:br/>
        <w:t>CIN – TIRRENIA S.p.A. -22,809 332,774 -6.9*</w:t>
        <w:br/>
        <w:t>TOREMAR S.p.A. 1,299 6,593 33.4*</w:t>
        <w:br/>
        <w:t>MOBY S.p.A. (exc. CIN/TIRRENIA) -9,533 460,171 -2.0</w:t>
        <w:br/>
        <w:t>GRIMALDI GROUP S.p.A. 258,000 nd 4.9*</w:t>
        <w:br/>
        <w:t>GRIMALDI EUROMED 56,000 nd 2.8*</w:t>
        <w:br/>
        <w:t>SNAV S.p.A. 608 20,488 3.0*</w:t>
        <w:br/>
        <w:t>FORSHIP S.p.A. -12,362 248,048 -4.9*</w:t>
        <w:br/>
        <w:t>Bluferries S.r.l. 3,747 36,669 12.0*</w:t>
        <w:br/>
        <w:t>Scandilines - Denmark 148,000 1,277,000 11.5</w:t>
        <w:br/>
        <w:t>Destination Gotland - Sweden nd nd 6.9*</w:t>
        <w:br/>
        <w:t>Tallink Grupp - Finland nd nd 5.2*</w:t>
        <w:br/>
        <w:t>DFDS - Denmark nd nd 13.1*</w:t>
        <w:br/>
        <w:t>Irish Ferries - Ireland nd nd 31.1*</w:t>
        <w:br/>
        <w:t>TESO – Netherlands 1,156 138,209 0.8</w:t>
        <w:br/>
        <w:t>CALMAC – United Kingdom/Scotland 5,294 54,378 9.7</w:t>
        <w:br/>
        <w:t>SEALINK Travel Group – Australia 11,405 200,835 5.7</w:t>
        <w:br/>
        <w:t>Fjord Line – Norway 12,931 381,232 3.2</w:t>
        <w:br/>
        <w:t>Wightlink Limited – United Kingdom 17,904 159,380 11.2*</w:t>
      </w:r>
    </w:p>
    <w:p>
      <w:r>
        <w:t>104 BULLETIN NO. 14 OF APRIL 19, 2022</w:t>
        <w:br/>
        <w:t>2017 EBIT C. INVESTED ROI (%)</w:t>
        <w:br/>
        <w:t>Caronte &amp; Tourist S.p.A. - Parent Company 26,253 147,550 17.8</w:t>
        <w:br/>
        <w:t>Cartour S.r.l. nd 31,180 2.3*</w:t>
        <w:br/>
        <w:t>Caronte &amp; Tourist Group – Minor Islands S.p.A. -4,024 58,885 -6.8</w:t>
        <w:br/>
        <w:t>Caronte &amp; Tourist Group – Group Result 30,118 199,290 15.1</w:t>
        <w:br/>
        <w:t>CAREMAR S.p.A. 917 27,432 3.3*</w:t>
        <w:br/>
        <w:t>MEDMAR S.p.A 294 17,018 3.0*</w:t>
        <w:br/>
        <w:t>LAZIOMAR S.p.A. 530 16,509 3.2*</w:t>
        <w:br/>
        <w:t>DELCOMAR S.r.l. 1,629 16,700 9.8*</w:t>
        <w:br/>
        <w:t>LIBERTY LINES S.p.A. 4,927 125,037 7.1*</w:t>
        <w:br/>
        <w:t>CIN – TIRRENIA S.p.A. 38,239 282,621 13.7*</w:t>
        <w:br/>
        <w:t>TOREMAR S.p.A. 1,392 3,397 23.6*</w:t>
        <w:br/>
        <w:t>MOBY S.p.A. (exc. CIN/TIRRENIA) 13,014 510,433 2.5</w:t>
        <w:br/>
        <w:t>GRIMALDI GROUP S.p.A. 348,000 nd 6.7*</w:t>
        <w:br/>
        <w:t>GRIMALDI EUROMED 128,000 nd 7.4*</w:t>
        <w:br/>
        <w:t>SNAV S.p.A. -1,826 9,445 2.0*</w:t>
        <w:br/>
        <w:t>FORSHIP S.p.A. -3,071 127,077 -2.4*</w:t>
        <w:br/>
        <w:t>Bluferries S.r.l. 3,452 27,520 14.3*</w:t>
        <w:br/>
        <w:t>Scandilines - Denmark 140,000 1,307,000 10.7</w:t>
        <w:br/>
        <w:t>Destination Gotland - Sweden nd nd 11.1*</w:t>
        <w:br/>
        <w:t>Tallink Grupp - Finland nd nd 5.3*</w:t>
        <w:br/>
        <w:t>DFDS - Denmark nd nd 18.6*</w:t>
        <w:br/>
        <w:t>Irish Ferries - Ireland nd nd 40.1*</w:t>
        <w:br/>
        <w:t>TESO – Netherlands 3,119 133,600 2.3</w:t>
        <w:br/>
        <w:t>CALMAC – United Kingdom/Scotland nd nd nd</w:t>
        <w:br/>
        <w:t>SEALINK Travel Group – Australia 11,341 54,238 20.9</w:t>
        <w:br/>
        <w:t>Fjord Line – Norway 12,270 368,233 3.3</w:t>
        <w:br/>
        <w:t>Wightlink Limited – United Kingdom nd nd 13.6*</w:t>
        <w:br/>
        <w:t>*ROI value estimated by the company and reported in the financial statements.</w:t>
      </w:r>
    </w:p>
    <w:p>
      <w:r>
        <w:rPr>
          <w:b/>
        </w:rPr>
        <w:t>[Pages 103–105]</w:t>
      </w:r>
    </w:p>
    <w:p>
      <w:r>
        <w:t>BULLETIN NO. 14 OF APRIL 19, 2022 105</w:t>
        <w:br/>
        <w:t>Appendix 2 – The methodology used for excessiveness tests</w:t>
        <w:br/>
        <w:t>1. This appendix outlines the methods by which the excessiveness tests of the economic conditions applied by Caronte &amp; Tourist (C&amp;T) to the ferry services on the bidirectional routes of the Strait of Messina (VSG-MRSF and VSG-MTR) were conducted.</w:t>
        <w:br/>
        <w:t>2. The excessiveness test compares navigation revenues at the so-called cost plus, corresponding to the sum of all costs incurred for the provision of the service (variable and fixed, direct and indirect). To these costs, in line with the concept of cost plus, a reasonable return on invested capital is added, which, in this case, is represented by a capital return rate (ROI1) of 8% (in this regard, see Appendix 1).</w:t>
        <w:br/>
        <w:t>3. The formula used to calculate excessiveness is as follows:</w:t>
        <w:br/>
        <w:t>EXC% = (Sales Revenue - Cost Plus) / (Cost Plus)</w:t>
        <w:br/>
        <w:t>The result of the test (EXC%) indicates the extent of any disproportion between revenues and cost plus. For example, a result of EXC% = 10% implies that revenues exceed cost plus. This difference between revenues and cost plus is equal to 10% of the cost plus itself.</w:t>
        <w:br/>
        <w:t>4. The tests are conducted using exclusively the data provided by C&amp;T during the proceedings, which are specifically contained in the following documents in the file: docs. no. 13, 20, 24, 37, 39, 45, 46, 50, 60, 66, and 67 and related attachments. In particular, the accounting by route (costs and revenues) both at 'historical cost' and at replacement value has been adjusted, most recently, on 29/7/2021 (doc. 67 and attachments in the index of the file). The invested capital at 'replacement value' has also been adjusted on the same date. Conversely, the data relating to the invested capital at 'historical cost' was transmitted on 10/6/2021 (doc. 60 and attachments in the index of the file).</w:t>
        <w:br/>
        <w:t>5. All versions of the proposed tests, which essentially differ in the various ways in which costs attributable to the passenger segment and the freight segment on the bidirectional mixed route VSG-MRSF have been allocated, have been conducted using the invested capital (and depreciation) both at the so-called 'historical cost' and also at the so-called 'replacement value'. Such information has also been provided by C&amp;T2. In particular, the accounting by route (costs and revenues) both at 'historical cost' and at replacement value has been adjusted, most recently, on 29/7/2021 (doc. no. 67 and attachments in the index of the file). In this documentation, C&amp;T specifies how to adjust the depreciation at 'historical cost' to obtain the corresponding figure at 'replacement value'. The invested capital at 'replacement value' has also been adjusted on the same date (doc. no. 67). Conversely, the data relating to the invested capital at 'historical cost' was transmitted on 10/6/2021 (doc. no. 60 and attachments in the index of the file).</w:t>
        <w:br/>
        <w:t>1 The Return On Investment (ROI) is a financial index that indicates the profitability and economic efficiency of the core management regardless of the sources used: it expresses how much the invested capital yields in that company. The formula for calculating ROI is as follows: ROI = Operating Result / Invested Capital.</w:t>
        <w:br/>
        <w:t>2 It is noteworthy that, for the year 2020, the Party did not transmit the value of the invested capital at 'historical cost' as it used forecasts from Law No. 126 of October 13, 2020, regarding the revaluation of business assets to account for, as of December 31, 2020, the latent value of its fleet and, with reference to C&amp;T, also of the brand "Caronte &amp; Tourist". The heterogeneity of this figure for the year 2020 does not alter the assessments as that year is not significant for conducting the appropriate competitive analyses. See doc. no. 60.</w:t>
      </w:r>
    </w:p>
    <w:p>
      <w:r>
        <w:t>106 BULLETIN NO. 14 OF APRIL 19, 2022</w:t>
        <w:br/>
        <w:t>6. The tests are conducted on an annual basis for the period from 2017 to 2020. Some necessary data to carry out the simulations are not available in the investigation file for 2020. Specifically, these are the following pieces of information: invested capital at 'replacement value'; number of vehicles (passenger and freight) embarked on the VSG-MRSF; total linear meters transported annually on the VSG-MRSF route. In this regard, it is noted that:</w:t>
        <w:br/>
        <w:t>- with reference to the invested capital at 'replacement value' for 2020, the analogous data provided by C&amp;T for the first half of 20203 has been used. In fact, it is believed that this figure, by its nature, does not change during the year;</w:t>
        <w:br/>
        <w:t>- with reference to the ratio between linear meters attributable to the passenger segment and those for freight, the same proportion observed in 2019 has been used, which, among other things, is similar to that observed in 2018 and 2017. Considering the drastic decrease in cars embarked in 2020, this choice is favorable to the Party;</w:t>
        <w:br/>
        <w:t>- with reference to the number of vehicles (passenger and freight) embarked on the VSG-MRSF, the analogous information recorded in 2019 has been used. Again, this choice is favorable to the Party considering the decrease in passengers with cars in 2020.</w:t>
        <w:br/>
        <w:t>7. However, it is emphasized that 2020 is included for mere completeness of analysis, as the information relating to that year does not appear significant for conducting the appropriate competitive assessments regarding unjustifiably burdensome prices.</w:t>
        <w:br/>
        <w:t>Test 1 – route details</w:t>
        <w:br/>
        <w:t>8. The first test conducted, the most general, measures excessiveness by distinguishing the VSG-MRSF route from the VSG-MTR. Specifically regarding the VSG-MRSF, the passenger segment is not distinguished from the freight segment. The results are reported in the tables that follow.</w:t>
        <w:br/>
        <w:t>3 See doc. no. 45.</w:t>
      </w:r>
    </w:p>
    <w:p>
      <w:r>
        <w:t>BULLETIN NO. 14 OF APRIL 19, 2022 107</w:t>
        <w:br/>
        <w:t>Test 1 – Details of individual routes (Historical Cost)*</w:t>
        <w:br/>
        <w:t>MRSF-VSG (pass+freight), TRM-VSG (freight)_ Historical Cost</w:t>
        <w:br/>
        <w:t>MRSF-VSG (Pass+Freight) TRM-VSG (Freight)</w:t>
        <w:br/>
        <w:t>2020 2019 2018 2017 2020 2019 2018 2017</w:t>
        <w:br/>
        <w:t>A) Revenues {omitted} {omitted} {omitted} {omitted} {omitted} {omitted} {omitted} {omitted}</w:t>
        <w:br/>
        <w:t>B) Total Costs {omitted} {omitted} {omitted} {omitted} {omitted} {omitted} {omitted} {omitted}</w:t>
        <w:br/>
        <w:t>EBIT {omitted} {omitted} {omitted} {omitted} {omitted} {omitted} {omitted} {omitted}</w:t>
        <w:br/>
        <w:t>K) Invested Capital {omitted} {omitted} {omitted} {omitted} {omitted} {omitted} {omitted} {omitted}</w:t>
        <w:br/>
        <w:t>ROI {omitted} {omitted} {omitted} {omitted}</w:t>
        <w:br/>
        <w:t>C) Cost Plus = B+D {omitted} {omitted} {omitted} {omitted}</w:t>
        <w:br/>
        <w:t>D) ROI 8% = 0.08*K {omitted} {omitted} {omitted} {omitted}</w:t>
        <w:br/>
        <w:t>E) EXC = P*Q-Cost Plus = A-C {omitted} {omitted} {omitted} {omitted}</w:t>
        <w:br/>
        <w:t>EXC% = E/C [10-15%] [40-45%] [45-50%] [55-60%]</w:t>
        <w:br/>
        <w:t>Test 1 – Details of individual routes (Replacement Value)</w:t>
        <w:br/>
        <w:t>MRSF-VSG (pass+freight), TRM-VSG (freight)_ Replacement Value</w:t>
        <w:br/>
        <w:t>MRSF-VSG (Pass+Freight) TRM-VSG (Freight)</w:t>
        <w:br/>
        <w:t>2020 2019 2018 2017 2020 2019 2018 2017</w:t>
        <w:br/>
        <w:t>A) Revenues [omitted] [omitted] [omitted] [omitted] [omitted] [omitted] [omitted] [omitted]</w:t>
        <w:br/>
        <w:t>B) Total Costs [omitted] [omitted] [omitted] [omitted] [omitted] [omitted] [omitted] [omitted]</w:t>
        <w:br/>
        <w:t>EBIT [omitted] [omitted] [omitted] [omitted] [omitted] [omitted] [omitted] [omitted]</w:t>
        <w:br/>
        <w:t>K) Invested Capital [omitted] [omitted] [omitted] [omitted] [omitted] [omitted] [omitted] [omitted]</w:t>
        <w:br/>
        <w:t>ROI [omitted] [omitted] [omitted] [omitted]</w:t>
        <w:br/>
        <w:t>C) Cost Plus = B+D [omitted] [omitted] [omitted] [omitted]</w:t>
        <w:br/>
        <w:t>D) ROI 8% = 0.08*K [omitted] [omitted] [omitted] [omitted]</w:t>
        <w:br/>
        <w:t>E) EXC = P*Q-Cost Plus = A-C [omitted] [omitted] [omitted] [omitted]</w:t>
        <w:br/>
        <w:t>EXC% = E/C [5-10%] [25-30%] [30-35%] [40-45%]</w:t>
        <w:br/>
        <w:t>Test 2 – VSG-MRSF: cost allocation based on linear meters</w:t>
        <w:br/>
        <w:t>9. A first method of allocating costs between segments on the VSG-MRSF can be developed by considering the average length (linear meters) occupied overall by the vehicles used for passenger transport compared to that occupied by vehicles for freight transport. Knowing the value of the linear meters transported by C&amp;T on the VSG-MRSF (in various years), it is possible to allocate costs between market segments in proportion to the share of linear meters occupied (on average) by the means with which passengers travel and by the means for freight transport.</w:t>
        <w:br/>
        <w:t>10. Regarding the information necessary to make such estimates, the following is noted:</w:t>
        <w:br/>
        <w:t>* In this version, some data is omitted, as elements of confidentiality or secrecy of the information were deemed to exist.</w:t>
      </w:r>
    </w:p>
    <w:p>
      <w:r>
        <w:rPr>
          <w:b/>
        </w:rPr>
        <w:t>[Pages 106–108]</w:t>
      </w:r>
    </w:p>
    <w:p>
      <w:r>
        <w:t>108 BULLETIN NO. 14 OF APRIL 19, 2022</w:t>
        <w:br/>
        <w:t>- the total linear meters transported on the VSG-MRSF (for each of the years included in the three-year period 2017-2019) were provided by C&amp;T;</w:t>
        <w:br/>
        <w:t>- the number of commercial vehicles (broken down by each category of commercial vehicle loaded in the Strait area), the number of private vehicles, and the number of buses. These data were also provided by C&amp;T;</w:t>
        <w:br/>
        <w:t>- the average length of commercial vehicles in the category ‘&lt;3.5 T’ was estimated based on the best-selling light vehicle models, as reported by the ICCT4. The average length of other categories of freight vehicles can be easily inferred from the ticketing criteria applied by C&amp;T;</w:t>
        <w:br/>
        <w:t>- the linear meters occupied by buses on the VSG-MRSF (average length of 12m) were attributed to the passenger segment;</w:t>
        <w:br/>
        <w:t>- the average length of cars was estimated residually, resulting in a value of [4-5] meters per vehicle.</w:t>
        <w:br/>
        <w:t>11. Specifically, the data provided by C&amp;T indicate the total linear meters transported on the VSG-MRSF route. This total value, available for the time frame 2017-2019, can be allocated between the freight and passenger segments by knowing the number of vehicles that traveled in the two segments, which will be multiplied by the linear meters occupied by each category of vehicle5. With this information, it is possible to know the percentage of linear meters occupied by the passenger segment with cars and by the freight segment.</w:t>
        <w:br/>
        <w:t>12. The average length of a commercial vehicle can be derived from the data regarding the number of tickets sold annually by C&amp;T for each type of commercial vehicle6: tickets for vehicles &lt;3.5T; tickets for vehicles 11-12 meters long (average length 11.5m); tickets for vehicles 15-16 meters long (average length 15.5m); tickets for vehicles 17-19 meters long (average length 18m). The average length of the category of commercial vehicles ‘&lt;3.5T’ was calculated by performing a weighted average of the data made available by ICCT – International Council of Clean Transportation7. ICCT indicates the market shares of the best-selling vehicles &lt;3.5T. Therefore, knowing the length of the best-selling vehicles8, it is possible to calculate their average length, which can be weighted according to market shares: [4-5] meters in length for each vehicle &lt;3.5T.</w:t>
        <w:br/>
        <w:t>4 See ICCT – European Vehicle Market Statistics / Pocket Book (2018, 2019), p. 21. https://theicct.org/sites/default/files/publications/ICCT_Pocketbook_2018_Final_20181205.pdf</w:t>
        <w:br/>
        <w:t>5 For example, by multiplying the number of commercial vehicles (annual data) by the average length of a vehicle belonging to that category, the total linear meters occupied in the year by the freight segment can be known. Relating this quantity to the total number of linear meters transported annually on the VSG-MRSF, the percentage of linear meters occupied by the freight segment is obtained. The same analysis can be done for the passenger segment, which includes private vehicles and buses.</w:t>
        <w:br/>
        <w:t>6 The data regarding the number of tickets sold for each category of commercial vehicle are available for both routes served, namely VSG-MRSF and VSG-MTR. Based on the data transmitted by the AdSP, it is possible to calculate the tons of goods transported by each heavy vehicle on the VSG-MRSF and VSG-MTR. For the three-year period 2017-2018, the ratio between the tons of goods transported and the number of commercial vehicles is similar over time and between the two routes, standing at about [7-8] tons per vehicle. This evidence clearly shows that, on average, similar commercial vehicles are loaded on the VSG-MRSF as on the VSG-MTR. See doc. no. 4, 23, 62, 63 and related attachments.</w:t>
        <w:br/>
        <w:t>7 Already cited.</w:t>
        <w:br/>
        <w:t>8 Ford Transit – average length 5.1m, 13% market share; Mercedes Sprinter – 5.2m, 5% market share; Citroen Berlingo – 4.55m, 5% market share; Peugeot Partner – 4.55 meters, 4% market share; VW Transporter – 4.8m, 4% market share; Renault Kangoo – 4.2m, 4% market share; Fiat Ducato – 5.6m, 4% market share; Renault Master – 5.6m, 4% market share; Renault Trafic – 5.1m, 4% market share; VW Caddy – 4.5m, 4% market share. The average length of these vehicles was calculated considering the different models available in the catalog. The various listed models can be available in various lengths. By consulting the manufacturers' websites, the minimum and maximum available lengths were considered, and subsequently, the average length was derived: Ford Transit (4.9m-min, 5.3m-max; 5.1m-average); Mercedes Sprinter (5.2m; 5.2m; 5.2m); Citroen Berlingo (4.4m; 4.7m; 4.55); Peugeot Partner (4.4m; 4.7m; 4.55); VW Transporter (4.8m; 4.8m; 4.8m); Renault Kangoo (4.2m; 4.2m; 4.2m); Fiat Ducato (4.9m; 6.3m; 5.6m); Renault Master (5m; 6.2m; 5.6m); Renault Trafic (4.9m; 5.3m; 5.1m); VW Caddy (4.5m; 4.5m; 4.5m). This results in a weighted average length (according to market shares) of commercial vehicles ‘&lt;3.5T’ equal to 4.95m.</w:t>
        <w:br/>
        <w:t>9 The data sent by the Port Authority show that the tons on average transported by each commercial vehicle on the VSG-MTR and VSG-MRSF are entirely similar and, specifically, equal to about [7-8] tons per vehicle (total goods (tons)/number of heavy vehicles). See AdSP data (doc. no. 4, 23, 62, 63 and related attachments).</w:t>
        <w:br/>
        <w:t>10 Specialized magazines report data regarding the 50 best-selling car models in 2021 (Jan-Oct). For each model, it is possible to consider the maximum available length and subsequently calculate the average length of the best-selling cars, weighted by the number of cars sold for each model. This results in an average length of 4.08 meters. See https://www.quotidianomotori.com/automobili/auto-piu-vendute-classifica/#classifica_auto_2021.</w:t>
        <w:br/>
        <w:t>11 Of about [10-15] million linear meters transported, [2.5-3] million are attributable to the freight segment and [7.5-8] million to the passenger segment.</w:t>
        <w:br/>
        <w:t>12 Of about [10-15] million linear meters transported, [2.5-3] million are attributable to the freight segment and [7-7.5] million to the passenger segment.</w:t>
        <w:br/>
        <w:t>13 Of about [10-15] million linear meters transported, [2-2.5] million are attributable to the freight segment and [7.5-8] million to the passenger segment.</w:t>
      </w:r>
    </w:p>
    <w:p>
      <w:r>
        <w:t>110 BULLETIN NO. 14 OF APRIL 19, 2022</w:t>
        <w:br/>
        <w:t>Test 2 – Cost allocation based on linear meters (Historical Cost)</w:t>
        <w:br/>
        <w:t>VSG-MRSF with cost allocation calculated on occupied linear meters_ Historical Cost</w:t>
        <w:br/>
        <w:t>VSG-MRSF</w:t>
        <w:br/>
        <w:t>2020 2019 2018 2017</w:t>
        <w:br/>
        <w:t>Pass Freight Pass Freight Pass Freight Pass Freight</w:t>
        <w:br/>
        <w:t>A) Revenues [omitted] [omitted] [omitted] [omitted] [omitted] [omitted] [omitted] [omitted]</w:t>
        <w:br/>
        <w:t>B) Total Costs [omitted] [omitted] [omitted] [omitted] [omitted] [omitted] [omitted] [omitted]</w:t>
        <w:br/>
        <w:t>EBIT [omitted] [omitted] [omitted] [omitted] [omitted] [omitted] [omitted] [omitted]</w:t>
        <w:br/>
        <w:t>K) Invested Capital [omitted] [omitted] [omitted] [omitted] [omitted] [omitted] [omitted] [omitted]</w:t>
        <w:br/>
        <w:t>ROI [omitted] [omitted] [omitted] [omitted]</w:t>
        <w:br/>
        <w:t>C) Cost Plus = B+D [omitted] [omitted] [omitted] [omitted]</w:t>
        <w:br/>
        <w:t>D) ROI 8% = 0.08*K [omitted] [omitted] [omitted] [omitted]</w:t>
        <w:br/>
        <w:t>E) EXC = P*Q-Cost Plus = A-C [omitted] [omitted] [omitted] [omitted]</w:t>
        <w:br/>
        <w:t>EXC%= E/C [20-25%] [50-55%] [55-60%] [65-70%]</w:t>
        <w:br/>
        <w:t>Test 2 – Cost allocation based on linear meters (Replacement Value)</w:t>
        <w:br/>
        <w:t>VSG-MRSF with cost allocation calculated on occupied linear meters_ Replacement Value</w:t>
        <w:br/>
        <w:t>VSG-MRSF</w:t>
        <w:br/>
        <w:t>2020 2019 2018 2017</w:t>
        <w:br/>
        <w:t>Pass Freight Pass Freight Pass Freight Pass Freight</w:t>
        <w:br/>
        <w:t>A) Revenues [omitted] [omitted] [omitted] [omitted] [omitted] [omitted] [omitted] [omitted]</w:t>
        <w:br/>
        <w:t>B) Total Costs [omitted] [omitted] [omitted] [omitted] [omitted] [omitted] [omitted] [omitted]</w:t>
        <w:br/>
        <w:t>EBIT [omitted] [omitted] [omitted] [omitted] [omitted] [omitted] [omitted] [omitted]</w:t>
        <w:br/>
        <w:t>K) Invested Capital [omitted] [omitted] [omitted] [omitted] [omitted] [omitted] [omitted] [omitted]</w:t>
        <w:br/>
        <w:t>ROI [omitted] [omitted] [omitted] [omitted]</w:t>
        <w:br/>
        <w:t>C) Cost Plus = B+D [omitted] [omitted] [omitted] [omitted]</w:t>
        <w:br/>
        <w:t>D) ROI 8% = 0.08*K [omitted] [omitted] [omitted] [omitted]</w:t>
        <w:br/>
        <w:t>E) EXC = P*Q-Cost Plus = A-C [omitted] [omitted] [omitted] [omitted]</w:t>
        <w:br/>
        <w:t>EXC%= E/C [15-20%] [35-40%] [40-45%] [45-50%]</w:t>
        <w:br/>
        <w:t>Test 3 – VSG-MRSF: ‘mixed’ allocation</w:t>
        <w:br/>
        <w:t>17. This version of the proposed excessiveness tests, in allocating costs between the passenger and freight segments on the VSG-MRSF, considers that different cost items can be allocated using different drivers: navigation costs and capital, for example, based on linear meters (methodology of test 2), while indirect costs, taking as a reference the proportion between the number of vehicles (indicative of the number of tickets) in the passenger segment and those in the freight segment14 on the VSG-MRSF route. Naturally, the information regarding the amount of navigation costs and indirect costs was provided by C&amp;T.</w:t>
        <w:br/>
        <w:t xml:space="preserve">18. Specifically, according to the data provided by C&amp;T (doc. no. 13.3 in the index), approximately [1-2] million vehicles (commercial vehicles, buses, and private vehicles) traveled on the VSG-MRSF in total. </w:t>
        <w:br/>
        <w:t>14 The ratio between the number of vehicles in the passenger and freight segments is as follows: [85-90%]-[10-15%] (2019), [85-90%]-[10-15%] (2018), [90-95%]-[10-15%] (2017). For 2020, as stated, the data for 2019 was used.</w:t>
      </w:r>
    </w:p>
    <w:p>
      <w:r>
        <w:rPr>
          <w:b/>
        </w:rPr>
        <w:t>[Pages 109–111]</w:t>
      </w:r>
    </w:p>
    <w:p>
      <w:r>
        <w:t>BULLETIN NO. 14 OF APRIL 19, 2022 111</w:t>
        <w:br/>
        <w:t>in 2019. Of these, [200,000-300,000] are commercial vehicles ([10-15%]), while approximately [1-2] million ([85-90%]) relate to the passenger segment (private vehicles and buses). For 2018, the data are as follows: [1-2] million total vehicles; [200,000-300,000] ([10-15%]) commercial vehicles; [1-2] million ([85-90%]) passenger vehicles (private vehicles and buses). Finally, for 2017: [1-2] million total vehicles on the route; [200,000-300,000] ([10-15%]) trucks; [1-2] million ([90-95%]) passenger vehicles. Based on these proportions, indirect costs can be allocated.</w:t>
        <w:br/>
        <w:t>19. Based on this allocation method, the ratio between the costs of the passenger segment and those of the freight segment on the VSG-MRSF is, overall, as follows: [80-85%]-[20-25%] for 2019; [75-80%]-[20-25%] for 2018; [80-85%]-[15-20%] for 2017.</w:t>
        <w:br/>
        <w:t>20. Below, the tables present the results related to the excessiveness tests.</w:t>
        <w:br/>
        <w:t>Test 3 – Allocation of so-called 'mixed' costs (Historical Cost)</w:t>
        <w:br/>
        <w:t>VSG-MRSF with 'mixed' cost allocation_Historical Cost</w:t>
        <w:br/>
        <w:t>VSG-MRSF</w:t>
        <w:br/>
        <w:t>2020 2019 2018 2017</w:t>
        <w:br/>
        <w:t>Pass Freight Pass Freight Pass Freight Pass Freight</w:t>
        <w:br/>
        <w:t>A) Revenues [omitted] [omitted] [omitted] [omitted] [omitted] [omitted] [omitted] [omitted]</w:t>
        <w:br/>
        <w:t>B) Total Costs [omitted] [omitted] [omitted] [omitted] [omitted] [omitted] [omitted] [omitted]</w:t>
        <w:br/>
        <w:t>EBIT [omitted] [omitted] [omitted] [omitted] [omitted] [omitted] [omitted] [omitted]</w:t>
        <w:br/>
        <w:t>K) Invested Capital [omitted] [omitted] [omitted] [omitted] [omitted] [omitted] [omitted] [omitted]</w:t>
        <w:br/>
        <w:t>ROI [omitted] [omitted] [omitted] [omitted]</w:t>
        <w:br/>
        <w:t>C) Cost Plus = B+D [omitted] [omitted] [omitted] [omitted]</w:t>
        <w:br/>
        <w:t>D) ROI 8% = 0.08*K [omitted] [omitted] [omitted] [omitted]</w:t>
        <w:br/>
        <w:t>E) EXC = P*Q-Cost Plus = A-C [omitted] [omitted] [omitted] [omitted]</w:t>
        <w:br/>
        <w:t>EXC%= E/C [10-15%] [40-45%] [45-50%] [55-60%]</w:t>
        <w:br/>
        <w:t>Test 3 – Allocation of so-called 'mixed' costs (Replacement Value)</w:t>
        <w:br/>
        <w:t>VSG-MRSF with 'mixed' cost allocation_Replacement Value</w:t>
        <w:br/>
        <w:t>VSG-MRSF</w:t>
        <w:br/>
        <w:t>2020 2019 2018 2017</w:t>
        <w:br/>
        <w:t>Pass Freight Pass Freight Pass Freight Pass Freight</w:t>
        <w:br/>
        <w:t>A) Revenues [omitted] [omitted] [omitted] [omitted] [omitted] [omitted] [omitted] [omitted]</w:t>
        <w:br/>
        <w:t>B) Total Costs [omitted] [omitted] [omitted] [omitted] [omitted] [omitted] [omitted] [omitted]</w:t>
        <w:br/>
        <w:t>EBIT [omitted] [omitted] [omitted] [omitted] [omitted] [omitted] [omitted] [omitted]</w:t>
        <w:br/>
        <w:t>K) Invested Capital [omitted] [omitted] [omitted] [omitted] [omitted] [omitted] [omitted] [omitted]</w:t>
        <w:br/>
        <w:t>ROI [omitted] [omitted] [omitted] [omitted]</w:t>
        <w:br/>
        <w:t>C) Cost Plus = B+D [omitted] [omitted] [omitted] [omitted]</w:t>
        <w:br/>
        <w:t>D) ROI 8% = 0.08*K [omitted] [omitted] [omitted] [omitted]</w:t>
        <w:br/>
        <w:t>E) EXC = P*Q-Cost Plus = A-C [omitted] [omitted] [omitted] [omitted]</w:t>
        <w:br/>
        <w:t>EXC%= E/C [5-10%] [30-35%] [30-35%] [40-45%]</w:t>
      </w:r>
    </w:p>
    <w:p>
      <w:r>
        <w:t>112 BULLETIN NO. 14 OF APRIL 19, 2022</w:t>
        <w:br/>
        <w:t>Test 4 – VSG-MRSF: cost allocation based on revenues</w:t>
        <w:br/>
        <w:t>21. A final method of allocating the costs recorded on the VSG-MRSF, aimed at distinguishing the passenger segment (with car) from the freight segment, is the distribution of costs proportional to the revenues generated by the distinct market segments. Specifically, the freight segment on the VSG-MRSF generates [20-25%] of the total revenues recorded on the same route. Therefore, test 4 considers that [20-25%] of the costs on the route of interest are attributable to the freight segment and the remaining [80-85%] to the passenger segment with vehicle in tow; the same method of cost allocation is applied to the invested capital in the different segments.</w:t>
        <w:br/>
        <w:t>22. With reference to this last method of cost allocation, it is important to highlight that it is affected by a certain degree of endogeneity and, therefore, is not reliable. In fact, the case under analysis assumes that the prices applied by C&amp;T to the passenger segment are excessive and, consequently, that there is a disproportion between the costs incurred and the revenues generated. This implies that the allocation of costs based on the revenues recorded in the demand segments may lead to an overestimation of the costs attributable to the passenger segment with vehicles in tow.</w:t>
        <w:br/>
        <w:t>23. Below, the tables present the results related to the excessiveness tests.</w:t>
        <w:br/>
        <w:t>Test 4 – Cost allocation based on revenues (Historical Cost)</w:t>
        <w:br/>
        <w:t>C&amp;T Costs: VSG-MRSF allocation based on revenues_Historical Cost</w:t>
        <w:br/>
        <w:t>MRSF-VSG</w:t>
        <w:br/>
        <w:t>2020 2019 2018 2017</w:t>
        <w:br/>
        <w:t>Pass Freight Pass Freight Pass Freight Pass Freight</w:t>
        <w:br/>
        <w:t>A) Revenues [omitted] [omitted] [omitted] [omitted] [omitted] [omitted] [omitted] [omitted]</w:t>
        <w:br/>
        <w:t>B) Total Costs [omitted] [omitted] [omitted] [omitted] [omitted] [omitted] [omitted] [omitted]</w:t>
        <w:br/>
        <w:t>EBIT [omitted] [omitted] [omitted] [omitted] [omitted] [omitted] [omitted] [omitted]</w:t>
        <w:br/>
        <w:t>K) Invested Capital [omitted] [omitted] [omitted] [omitted] [omitted] [omitted] [omitted] [omitted]</w:t>
        <w:br/>
        <w:t>ROI [omitted] [omitted] [omitted] [omitted]</w:t>
        <w:br/>
        <w:t>C) Cost Plus = B+D [omitted] [omitted] [omitted] [omitted]</w:t>
        <w:br/>
        <w:t>D) ROI 8% = 0.08*K [omitted] [omitted] [omitted] [omitted]</w:t>
        <w:br/>
        <w:t>E) EXC = P*Q-Cost Plus = A-C [omitted] [omitted] [omitted] [omitted]</w:t>
        <w:br/>
        <w:t>EXC%= E/C [10-15%] [40-45%] [40-45%] [60-65%]</w:t>
      </w:r>
    </w:p>
    <w:p>
      <w:r>
        <w:t>BULLETIN NO. 14 OF APRIL 19, 2022 113</w:t>
        <w:br/>
        <w:t>Test 4 – Cost allocation based on revenues (Replacement Value)</w:t>
        <w:br/>
        <w:t>C&amp;T Costs: VSG-MRSF allocation based on revenues_Replacement Value</w:t>
        <w:br/>
        <w:t>MRSF-VSG</w:t>
        <w:br/>
        <w:t>2020 2019 2018 2017</w:t>
        <w:br/>
        <w:t>Pass Freight Pass Freight Pass Freight Pass Freight</w:t>
        <w:br/>
        <w:t>A) Revenues [omitted] [omitted] [omitted] [omitted] [omitted] [omitted] [omitted] [omitted]</w:t>
        <w:br/>
        <w:t>B) Total Costs [omitted] [omitted] [omitted] [omitted] [omitted] [omitted] [omitted] [omitted]</w:t>
        <w:br/>
        <w:t>EBIT [omitted] [omitted] [omitted] [omitted] [omitted] [omitted] [omitted] [omitted]</w:t>
        <w:br/>
        <w:t>K) Invested Capital [omitted] [omitted] [omitted] [omitted] [omitted] [omitted] [omitted] [omitted]</w:t>
        <w:br/>
        <w:t>ROI [omitted] [omitted] [omitted] [omitted]</w:t>
        <w:br/>
        <w:t>C) Cost Plus = B+D [omitted] [omitted] [omitted] [omitted]</w:t>
        <w:br/>
        <w:t>D) ROI 8% = 0.08*K [omitted] [omitted] [omitted] [omitted]</w:t>
        <w:br/>
        <w:t>E) EXC = P*Q-Cost Plus = A-C [omitted] [omitted] [omitted] [omitted]</w:t>
        <w:br/>
        <w:t>EXC%= E/C [5-10%] [25-30%] [25-30%] [40-45%]</w:t>
      </w:r>
    </w:p>
    <w:p>
      <w:r>
        <w:rPr>
          <w:b/>
        </w:rPr>
        <w:t>[Pages 112–114]</w:t>
      </w:r>
    </w:p>
    <w:p>
      <w:r>
        <w:t>114 BULLETIN NO. 14 OF APRIL 19, 2022</w:t>
        <w:br/>
        <w:t>CONCENTRATION OPERATIONS</w:t>
        <w:br/>
        <w:t>C12207B - SKY ITALIA/R2 - REVIEW OF MEASURES</w:t>
        <w:br/>
        <w:t>Provision No. 30100</w:t>
        <w:br/>
        <w:t>THE ANTITRUST AUTHORITY</w:t>
        <w:br/>
        <w:t>IN ITS MEETING of April 12, 2022;</w:t>
        <w:br/>
        <w:t>HEARD the Rapporteur Professor Michele Ainis;</w:t>
        <w:br/>
        <w:t>HAVING REGARD to Law No. 287 of October 10, 1990;</w:t>
        <w:br/>
        <w:t>HAVING REGARD to Presidential Decree No. 217 of April 30, 1998;</w:t>
        <w:br/>
        <w:t>HAVING REGARD to its resolution No. 27784 of May 20, 2019, with which the Authority concluded the</w:t>
        <w:br/>
        <w:t>proceeding, authorizing the operation and imposing measures pursuant to Article 18, paragraph 3,</w:t>
        <w:br/>
        <w:t>of Law No. 287 of October 10, 1990 aimed at restoring effective competition conditions;</w:t>
        <w:br/>
        <w:t>HAVING REGARD to the request for review by Sky of the measures imposed by Provision No. 27784 of May</w:t>
        <w:br/>
        <w:t>20, 2019, received on November 30, 2021;</w:t>
        <w:br/>
        <w:t>HAVING REGARD to the requests for participation in the proceeding submitted by Telecom Italia S.p.A., on December 30,</w:t>
        <w:br/>
        <w:t>2021, and by Lega Nazionale Professionisti Serie A, on January 24, 2021, accepted with communications respectively on</w:t>
        <w:br/>
        <w:t>January 10 and January 28, 2022;</w:t>
        <w:br/>
        <w:t>HAVING REGARD to the Communication of the Investigative Results sent on March 3, 2022;</w:t>
        <w:br/>
        <w:t>HAVING REGARD to the final memorandum submitted on March 11, 2022, by Sky Italia S.r.l. and Sky Italia</w:t>
        <w:br/>
        <w:t>Holdings S.p.A.;</w:t>
        <w:br/>
        <w:t>HAVING REGARD to the request for an opinion sent to the Authority for Communications Guarantees on March 17,</w:t>
        <w:br/>
        <w:t>2022, pursuant to Article 1, paragraph 6, letter c), no. 11, of Law No. 249 of July 31, 1997.</w:t>
        <w:br/>
        <w:t>HAVING REGARD to the opinion pursuant to Article 1, paragraph 6, letter c), no. 11, of Law No. 249 of July 31, 1997,</w:t>
        <w:br/>
        <w:t>from the Authority for Communications Guarantees received on April 8, 2022;</w:t>
        <w:br/>
        <w:t>HAVING REGARD to the acts of the proceeding and the documentation acquired during the investigation;</w:t>
        <w:br/>
        <w:t>CONSIDERING the following:</w:t>
        <w:br/>
        <w:t>I. THE PARTIES</w:t>
        <w:br/>
        <w:t>1. Sky Italia S.r.l. (hereinafter, “SI”) is a television operator active in the provision of pay-TV services – offered through various transmission means and, in particular, via satellite (DTH1) and through digital terrestrial (DTT2), as well as via cable and Internet – and in the provision of free television services. SI is controlled by Sky Italian Holdings S.p.A. (hereinafter, “SIH”) and indirectly by the British company Sky plc (“Sky Group”) and, in turn, by Comcast Corporation3. SI is also active in the provision of fixed network telecommunications services, with its Sky Wifi offering. Hereinafter, SI and SIH will be jointly referred to as “Sky” or “Sky Italia.” According to the latest filed financial statement, in the fiscal year ending December 31, 2020, SI's revenue was approximately €2.88 billion.</w:t>
        <w:br/>
        <w:t>II. THIRD PARTIES</w:t>
        <w:br/>
        <w:t>2. Telecom Italia S.p.A. (hereinafter also “TIM”) is a company active in the installation and provision of telecommunications infrastructure, as well as in the offering of related services. In particular, TIM is active in the markets: (i) of wholesale access services to the fixed broadband and ultra-broadband network; (ii) of retail telecommunications services on fixed broadband and ultra-broadband networks; (iii) of retail mobile telecommunications services; (iv) of wholesale access to the mobile telecommunications network. TIM is also active in the retail pay television services market, with its offering called TIM Vision.</w:t>
        <w:br/>
        <w:t>3. The Lega Nazionale Professionisti Serie A (hereinafter, “Lega Calcio”) is the private association of football clubs registered in the Serie A football championships. Its institutional function is represented by the organization and administrative management of the national Serie A football championships, the Coppa Italia tournament, some youth championships, and the representative football team of the same League, as well as a so-called “cup” event (League Super Cup match). The Lega Calcio, as the organizer of the aforementioned competitions, pursuant to Legislative Decree No. 9 of January 9, 2008 (so-called Melandri Decree), is co-holder, together with the sports clubs participating in the events, of the audiovisual rights related to the competitions it organizes.</w:t>
        <w:br/>
        <w:t>III. THE FACTUAL AND LEGAL CONTEXT</w:t>
        <w:br/>
        <w:t>III.1. The C12207 proceeding</w:t>
        <w:br/>
        <w:t>4. On November 28, 2018, Sky Italia communicated the concentration operation consisting of the exclusive acquisition of control of R2 S.r.l. (hereinafter, “R2”), the pay operation branch of Mediaset Premium S.p.A. (hereinafter, “Mediaset Premium”), a company of the MFE – Media For Europe N.V. group (formerly Mediaset S.p.A., hereinafter, “Mediaset”).</w:t>
        <w:br/>
        <w:t>5. On March 7, 2019, the Authority initiated a proceeding4 pursuant to Article 16, paragraph 4, of Law No. 287/90, against the companies Sky Italia S.r.l., Sky Italian Holdings S.p.A., R2 S.r.l. and Mediaset S.p.A., concluded with resolution of May 20, 2019, No. 277845 (hereinafter also “Provision”).</w:t>
        <w:br/>
        <w:t>6. In the aforementioned provision, the Authority noted that with the concentration operation, Sky acquired the technological platform R2 – that is, the technical-administrative means necessary for preparing a pay television offer on digital terrestrial – from Mediaset Premium, the only competitor of Sky in the pay-TV market. In particular, the sale of R2 was part of a broader set of commercial agreements concluded on March 30, 2018, between Sky Italia and the companies of the Mediaset group, which presented technical-functional and economic-contractual ties with the acquisition of R2 such as to configure a single concentration operation.</w:t>
        <w:br/>
        <w:t>7. The overall contractual arrangement was the result of the Parties' will and, in substance, had the same restrictive effects on competition as the acquisition of the entire Mediaset Premium and thus the disappearance, even from a prospective point of view, of the competitive pressure of the Mediaset group in the pay television market.</w:t>
        <w:br/>
        <w:t>8. From the perspective of economic ties, in fact, the economic-financial consequences of the complex of agreements in terms of revenues had, in fact, provided an incentive for Mediaset Premium to exit the market.</w:t>
        <w:br/>
        <w:t>9. The concentration was realized during the proceeding, producing some anticompetitive effects, and in particular leading to the substantial disappearance of Mediaset Premium on digital terrestrial.</w:t>
        <w:br/>
        <w:t>10. Regarding the pay-TV market, Sky held a market share in value of 75-80% in the years 2017 and 2018. Mediaset Premium represented the main competitor, while other operators had a combined market share in value of 5-10% in the period from January to November. The R2 platform was necessary for preparing a retail pay television offer – and for reaching end customers – on digital terrestrial.</w:t>
        <w:br/>
        <w:t>11. With the purchase of R2, Sky was able to reach all current and previous customers of Mediaset Premium with extremely reduced acquisition costs, allowing them to activate Sky's pay offers on digital terrestrial by communicating only the serial number of the Mediaset Premium smart card. This was demonstrable by analyzing the subscriptions to Sky subscriptions via fiber and via digital terrestrial: with R2, Sky had managed to acquire a number of subscribers on digital terrestrial 10-20 times higher than those acquired using the Internet offer, although the two offers had comparable content.</w:t>
        <w:br/>
        <w:t>Table 1 - Market shares of pay-TV operators6, *</w:t>
        <w:br/>
        <w:t>Year 2017 January-November 2018</w:t>
        <w:br/>
        <w:t>(millions of Euro, %) (millions of Euro, %)</w:t>
        <w:br/>
        <w:t>Sky [2,000-3,000] [75-80%] [2,000-3,000] [75-80%]</w:t>
        <w:br/>
        <w:t>Mediaset [495-700] [15-20%] [100-495] [10-15%]</w:t>
        <w:br/>
        <w:t>Netflix [30-100] [1-5%] [100-495] [5-10%]</w:t>
        <w:br/>
        <w:t>[less than</w:t>
        <w:br/>
        <w:t>Others [30-100] [30-100] [1-5%]</w:t>
        <w:br/>
        <w:t>1%]</w:t>
        <w:br/>
        <w:t>Total 3,083 2,904</w:t>
        <w:br/>
        <w:t>6 See AGCM Provision No. 27579 of March 7, 2019, case C12207 – Sky Italia/R2 in Bulletin No. 10/2019.</w:t>
        <w:br/>
        <w:t>* In this version, some data are omitted, as elements of confidentiality or secrecy of the information were deemed to exist.</w:t>
      </w:r>
    </w:p>
    <w:p>
      <w:r>
        <w:rPr>
          <w:b/>
        </w:rPr>
        <w:t>[Pages 115–117]</w:t>
      </w:r>
    </w:p>
    <w:p>
      <w:r>
        <w:t>BULLETIN NO. 14 OF APRIL 19, 2022 117</w:t>
        <w:br/>
        <w:t>12. The statistical investigation conducted by the Authority had shown the presence of a migration of users from Mediaset Premium to Sky, which was not limited to those purchasing Serie A football content, but to the generality of Mediaset Premium subscribers.</w:t>
        <w:br/>
        <w:t>13. In addition to the migration of customers and the strengthening of Sky's dominant position, an extremely relevant effect was represented by the contraction of demand, understood as the reduction in the number of subscribers. A typical effect of the so-called "deadweight loss from monopoly" had indeed been observed, namely a contraction of demand due to higher prices compared to a competitive counterfactual: although there were individuals willing to purchase a certain good or service, the increase in prices did not allow them to make the purchase.</w:t>
        <w:br/>
        <w:t>14. Furthermore, the investigation revealed that the Internet offers provided by over-the-top (OTT) operators did not constitute an effective competitive constraint to regulate Sky's strengthened market power in the pay-TV market. Internet offers accounted for a minority share of the market, ranging between 5% and 10% of total revenues. OTT offers were delivered through a medium with lower penetration compared to digital terrestrial and appeared to be in a relationship of complementarity, rather than substitutability, with traditional offers (of digital terrestrial and satellite digital), thus exerting limited competition.</w:t>
        <w:br/>
        <w:t>15. The concentration operation had also had the effect of strengthening Sky's market power as a buyer of channels and content, and therefore, compromising competition in the wholesale supply markets of pre-packaged television channels for pay-TV (and possible sub-segments) and the licensing of audiovisual content transmission rights (and possible sub-segments). Sky, remaining in fact today the only operator with a pay-TV offering present on traditional platforms (DTT and DTH), had become a necessary counterpart for suppliers of channels and audiovisual rights. The increased buyer power could therefore lead to exclusionary effects, particularly consisting of the hoarding of content to the detriment of very small competitors.</w:t>
        <w:br/>
        <w:t>16. The concentration could also have led to exclusionary effects on outlets, consisting of the denial of access to the R2 platform.</w:t>
        <w:br/>
        <w:t>17. During the investigative procedure, Sky and Mediaset informed the Authority of the resolution of the sale option, the actions taken for the return of R2 to Mediaset, and Sky's decision to no longer use Mediaset's LCN numbers.</w:t>
        <w:br/>
        <w:t>18. According to the Authority's conclusions7, the concentration operation – carried out during the antitrust assessment – had strengthened Sky's dominant position in the retail market for pay-TV services, with prejudicial and lasting effects in that market and in the relevant markets connected to it. Furthermore, due to the fact that the partial return of R2 did not allow for the restoration of the status quo ante and the elimination of the restrictive effects on competition already produced, the Authority decided to impose measures pursuant to Article 18, paragraph 3, of Law No. 287 of October 10, 1990 (hereinafter, "Measures"), in relation to the effects produced by the concentration and not eliminable by the resolution of the sale option and the return of R2.</w:t>
        <w:br/>
        <w:t>19. These Measures, valid for three years from the notification of the decision concluding the investigation on the concentration operation (i.e., May 21, 2022), provide for:</w:t>
        <w:br/>
        <w:t>7 See AGCM Decision No. 27784 of May 20, 2019, case C12207 – Sky Italia/R2 in Bulletin No. 21/2019.</w:t>
      </w:r>
    </w:p>
    <w:p>
      <w:r>
        <w:t>118 BULLETIN NO. 14 OF APRIL 19, 2022</w:t>
        <w:br/>
        <w:t>i. the prohibition for the Sky Group to enter into new contracts for the acquisition of audiovisual content and linear channels from third-party publishers for the Italian territory with exclusive clauses for the Internet platform or with clauses having equivalent effects;</w:t>
        <w:br/>
        <w:t>ii. the obligation on the part of the Sky Group, in the event of the establishment of a new proprietary digital terrestrial platform that is compatible with the modified assets of R2 S.r.l. (“R2”) during its control period, to provide access to such proprietary platform on fair, reasonable, non-discriminatory, and cost-oriented terms, and, in general, the prohibition of using information and assets held by R2 and already acquired for the purpose of proposing pay-TV commercial offers of the Sky Group;</w:t>
        <w:br/>
        <w:t>iii. the appointment, within two months from the Decision, of a trustee responsible for verifying and monitoring compliance with the Measures, subject to AGCM approval, according to best practices regarding concentration remedies.</w:t>
        <w:br/>
        <w:t>20. The Measures were imposed to exclusively remove the effects of a horizontal nature that had already occurred, now irreversible as they were not eliminated through the return of R2 and the failure to acquire the LCN numbering by Sky. Such measures, therefore, were imposed with the aim of restoring a compromised level of competitiveness in the pay-TV market, which had in fact seen the downsizing and abandonment of the digital terrestrial offering of Sky's main competitor in the pay-TV market, namely Mediaset Premium.</w:t>
        <w:br/>
        <w:t>21. In particular, the measure referred to in point i) was deemed necessary to restore potential competition in the pay-TV market by preventing Sky from hoarding content, with the medium-term objective of expanding the content available to alternative operators operating via the Internet. The measure aimed to reduce the complementarity of OTT offers compared to traditional pay-TV by expanding content and, consequently, allowing OTTs to exert greater competitive pressure that would limit Sky's strengthened market power.</w:t>
        <w:br/>
        <w:t>22. The measure was therefore aimed at stimulating the still embryonic competition of OTT operators in such a way as to counteract the already realized and irreversible anticompetitive effects of the concentration operation. The measure aimed to increase their ability to create an effective competitive constraint on Sky. The measure appeared proportionate as it only affected future contracts and limited Sky only in acquiring exclusives for the Internet platform.</w:t>
        <w:br/>
        <w:t>III.2. Sky's request for review</w:t>
        <w:br/>
        <w:t>23. On November 30, 2021, Sky submitted a request to review the measures imposed by the Decision8. According to Sky, the events following the procedure had effectively changed the market context, making the application of the imposed Measures no longer necessary. In particular, the Covid-19 pandemic would have caused consolidated and irreversible changes in the pay-TV sector, radically altering user habits and accelerating the growth of the Internet platform to the advantage of OTT operators and telco operators.</w:t>
        <w:br/>
        <w:t>8 See doc. 1.</w:t>
      </w:r>
    </w:p>
    <w:p>
      <w:r>
        <w:t>BULLETIN NO. 14 OF APRIL 19, 2022 119</w:t>
        <w:br/>
        <w:t>24. According to Sky, traditional platforms (satellite and digital terrestrial) would no longer confer a technological advantage and would no longer represent the only means of transmitting live events, including those of a sporting and football nature, as the pandemic would have led to a decisive increase in the adoption of OTT services by consumers. In particular, "in 2018, satellite was the leading broadcasting platform in terms of penetration for pay-TV (44%), with a slight advantage over the Internet platform (38%), while digital terrestrial stood at 18%. Two years later, the Internet platform has instead reached a penetration more than double that of satellite (61% compared to 30%) and over six times that of digital terrestrial (10%)”9.</w:t>
        <w:br/>
        <w:t>25. Also from the perspective of telecommunications infrastructure, there would have been a significant increase in the adoption of broadband and ultra-broadband services in recent years. From 2019 to today, in fact, there would have been: (i) the operational start of the ultra-broadband plan in market failure areas (with 2,897 municipalities in commercialization, an increase of 1,166 compared to December 2020, and 1,551 municipalities positively tested); (ii) the FTTH coverage of Open Fiber in areas of private investment, which is at least 6.2 million housing units by the end of 2020; (iii) the consolidation of infrastructure competition, also through co-investment agreements; (iv) the development of proprietary 5G Fixed Wireless Access networks in areas in digital divide by Fastweb and Linkem; (v) the increase of smart TVs by 17.5% in 2020 compared to 2019.</w:t>
        <w:br/>
        <w:t>26. Furthermore, Sky notes that the assignment of Serie A rights, which have significant public appeal, has been awarded to DAZN, in collaboration with TIM, while only three co-exclusive matches are assigned to Sky. Thus, DAZN is the only operator able to broadcast the entire Serie A Championship.</w:t>
        <w:br/>
        <w:t>27. In addition, the entry of Disney+ into Italy and Amazon's increased commitment to offering television content (with the broadcasting of one Champions League event per week) are added. According to Sky, in general, OTT operators have recorded a significant increase in their subscribers and revenue.</w:t>
        <w:br/>
        <w:t>28. According to Sky, "The market in 2020 grew more than it ever had in previous years, reaching a level that in previous forecasts was estimated for 2023. Television has effectively made a two-year leap [...] Italy is the country that has grown the most" among Western European countries, so "in 2021 online video will truly dominate the large TV and video industry" and double-digit growth will continue in the coming years”10.</w:t>
        <w:br/>
        <w:t>29. This would also have led to a significant downsizing of Sky in the retail market for pay-TV services compared to its position at the time of the adoption of the Decision, both in terms of revenue and subscribers. Ultimately, Sky believes that the conditions exist to proceed with the review of the measures imposed by the Decision, anticipating their deadline compared to the date of May 21, 2022.</w:t>
        <w:br/>
        <w:t>9 See doc. 1.</w:t>
        <w:br/>
        <w:t>10 See doc.1.</w:t>
      </w:r>
    </w:p>
    <w:p>
      <w:r>
        <w:rPr>
          <w:b/>
        </w:rPr>
        <w:t>[Pages 118–120]</w:t>
      </w:r>
    </w:p>
    <w:p>
      <w:r>
        <w:t>120 BULLETIN NO. 14 OF APRIL 19, 2022</w:t>
        <w:br/>
        <w:t>IV. THE INSTRUCTIONAL PROCEDURE</w:t>
        <w:br/>
        <w:t>30. On December 21, 2021, the Authority initiated the present investigation against the companies Sky Italia S.r.l. and Sky Italian Holdings S.p.A.</w:t>
        <w:br/>
        <w:t>31. Subsequently, TIM and the Lega Calcio submitted requests to intervene in the procedure, respectively on December 30, 2021,11 and January 24, 2021.12 The requests were accepted on January 10, 2022,13 and January 28, 2022.14</w:t>
        <w:br/>
        <w:t>32. During the procedure, information was requested from various operators active in the retail provision of pay television services, specifically from: Sky Italia, Chili S.p.A. (“Chili”), DAZN Limited and DAZN Media Services (jointly “DAZN”), Discovery Italia (“Discovery”), Mediaset, Netflix Services Italy S.r.l. (“Netflix”), TIM, Vodafone Italia S.p.A. (“Vodafone”), The Walt Disney Company Italia S.r.l. (“Disney”), Amazon.com Inc., Amazon EU S.à. r.l. and Amazon Italia Services S.r.l. (jointly, “Amazon”), Apple Inc. and Apple Italia S.r.l. (jointly, “Apple”)15. Sky was heard on January 19, 2022.16 The Parties and third interveners also had access to the file on various occasions.17</w:t>
        <w:br/>
        <w:t>33. On March 1, 2022, the Authority, having verified the non-manifest unfoundedness of the communication of the investigative findings, authorized its transmission, which took place on March 2, 2022.</w:t>
        <w:br/>
        <w:t>34. The final hearing, scheduled for April 4, 2022, did not take place due to withdrawal and in the absence of requests from the Parties.</w:t>
        <w:br/>
        <w:t>35. In particular, Sky withdrew from the hearing with a communication received on March 8, 2022. The Lega Calcio sent a communication of express withdrawal from the hearing before the College on March 9, 2022. TIM did not submit a request to be heard in the hearing by the deadline of March 11, 2022, set in the communication of the investigative findings.</w:t>
        <w:br/>
        <w:t>36. On March 11, 2022, Sky submitted a note with some considerations on the content of the Communication of the Investigative Findings.</w:t>
        <w:br/>
        <w:t>37. [Omitted].</w:t>
        <w:br/>
        <w:t>V. THE INVESTIGATIVE FINDINGS</w:t>
        <w:br/>
        <w:t>V.1. The distribution of pay television services</w:t>
        <w:br/>
        <w:t>38. Television broadcasting occurs through the use of various means (transmission technologies).18 As far as Italy is concerned, the transmission means used to convey television signals are digital terrestrial (DTT), digital satellite (DTH), and the Internet (via IPTV19 or OTT20).</w:t>
        <w:br/>
        <w:t>39. From the perspective of the diffusion of the various transmission technologies used for pay television, in recent years, there has been an increase in the penetration rate of the Internet platform (from 38% in 2018 to 61% in 2020, see Figure 1), with a reduction in the penetration of DTT and DTH platforms.</w:t>
        <w:br/>
        <w:t>40. With particular reference to digital terrestrial, after the conclusion of the commercial offer Mediaset Premium on DTT, Sky has effectively remained the only operator with an offer on digital terrestrial.21 However, it should be noted that Sky announced that, starting from April 1, 2022, its offer on digital terrestrial will cease to be operational.22</w:t>
        <w:br/>
        <w:t>19 Internet Protocol Television (IPTV) refers to an audiovisual service managed directly by the Internet connectivity provider. The transmission of images does not occur using the public Internet network but follows preferential channels, thus ensuring users minimum quality standards that allow for a viewing experience similar to that obtainable on traditional terrestrial or satellite transmission platforms.</w:t>
        <w:br/>
        <w:t>20 Over The Top (OTT) is the category concerning audiovisual services transmitted over the public Internet and generally intended for viewing on a connected television screen. Providers of such services also prepare a graphical navigation interface, allowing for easy access to the requested content. Unlike IPTV services, these are platforms that do not use closed IP networks and, therefore, are available to all users who have access to broadband Internet. No minimum quality levels are provided, and the service is delivered on a best-effort basis, although paid services usually employ technologies capable of limiting delays and interruptions in the audiovisual stream.</w:t>
        <w:br/>
        <w:t>21 DAZN operates a back-up channel on digital terrestrial to convey Serie A content for consumers not served by fixed connections with adequate capacity. However, the DAZN service primarily focuses on the transmission of sports content via the Internet in OTT mode.</w:t>
        <w:br/>
        <w:t>22 See doc. 44, 46.</w:t>
      </w:r>
    </w:p>
    <w:p>
      <w:r>
        <w:t>122 BULLETIN NO. 14 OF APRIL 19, 2022</w:t>
        <w:br/>
        <w:t>Figure 1 - Penetration of pay distribution platforms in Italy (2018-2020)23</w:t>
        <w:br/>
        <w:t>41. Regarding fixed telecommunications infrastructures, which constitute an important enabling factor for pay television services via Internet platform, in recent years there has been a significant increase in ultra-broadband connections. However, although the number of lines with fiber to the user premises (FTTH) has increased by over 50% (Figure 2), it should be noted that they represent less than 20% of ultra-broadband accesses. The vast majority of accesses are, in fact, still based on mixed fiber-copper technologies (FTTC), which represent about 70% of ultra-broadband accesses.</w:t>
        <w:br/>
        <w:t>42. With reference to another enabling factor for pay television services via the Internet, namely receiving devices, it should be noted that, according to a survey conducted in 2021, 72% of respondents reported owning a television equipped with smart TV functionalities.24</w:t>
        <w:br/>
        <w:t>23 See doc. 48, p. 3. Source: Statista.</w:t>
        <w:br/>
        <w:t>24 See doc. 48, p. 23. Source: Statista.</w:t>
      </w:r>
    </w:p>
    <w:p>
      <w:r>
        <w:rPr>
          <w:b/>
        </w:rPr>
        <w:t>[Pages 121–123]</w:t>
      </w:r>
    </w:p>
    <w:p>
      <w:r>
        <w:t>BULLETIN NO. 14 OF APRIL 19, 2022 123</w:t>
        <w:br/>
        <w:t>Figure 2 – Fixed broadband access by technology (million lines)25</w:t>
        <w:br/>
        <w:t>43. In recent years, the adoption rate of pay television services delivered via the Internet (on-demand) appears to have increased significantly. In particular, consumer spending in Italy on on-demand pay television services has changed by 20% from 2018 to 2020 (Table 2).</w:t>
        <w:br/>
        <w:t>Table 2 – Consumer spending in Italy on on-demand pay television services26</w:t>
        <w:br/>
        <w:t>2013 2014 2015 2016 2017 2018 2019 2020</w:t>
        <w:br/>
        <w:t>Pay-TV VOD spending (million €) 48.8 48 50.2 52.7 67.2 78 87.9 93.7</w:t>
        <w:br/>
        <w:t>Annual change (%) -2% 5% 5% 28% 16% 13% 7%</w:t>
        <w:br/>
        <w:t>44. Regarding volumes, unique users of on-demand pay television services increased by 33% in September 2021 compared to September 2019 (Figure 3), and all major OTT services present in Italy have observed an increase in usage, ranging from 2% to 35% (Figure 4).</w:t>
        <w:br/>
        <w:t>Figure 3 – Unique users of video-on-demand pay television services on the Internet (million users)27</w:t>
        <w:br/>
        <w:t>27 Cf. Authority for Communications Guarantees, Communications Observatory No. 4/2021.</w:t>
      </w:r>
    </w:p>
    <w:p>
      <w:r>
        <w:t>BULLETIN NO. 14 OF APRIL 19, 2022 125</w:t>
        <w:br/>
        <w:t>Figure 4 – Increase in the use of major subscription-based video-on-demand services in Italy during the pandemic crisis (2020)28</w:t>
        <w:br/>
        <w:t>45. However, examining the details of individual services, there is an extremely different trend among Internet-based pay television service providers: although the main OTT operators (Netflix, Amazon, Disney) recorded a significant increase in unique users in the period from September 2021 to September 2019, unique users for other services have significantly decreased (Table 3).</w:t>
        <w:br/>
        <w:t>46. The data on volumes, therefore, confirm what was already noted in the Provision regarding the greater variability of the user bases of OTT services compared to traditional pay-TV services, considering the absence (with some exceptions) of contractual constraints and exit costs, the presence of free trial periods, and the significant reduction in administrative and technological costs of subscribing to and terminating OTT services29.</w:t>
        <w:br/>
        <w:t>28 Cf. doc. 48, p. 6. Source: Statista.</w:t>
        <w:br/>
        <w:t>29 On this point, see, for example, doc. 49.</w:t>
      </w:r>
    </w:p>
    <w:p>
      <w:r>
        <w:rPr>
          <w:b/>
        </w:rPr>
        <w:t>[Pages 124–126]</w:t>
      </w:r>
    </w:p>
    <w:p>
      <w:r>
        <w:t>126 BULLETIN NO. 14 OF APRIL 19, 2022</w:t>
        <w:br/>
        <w:t>Table 3 – Unique users of major on-demand pay television services (million users)30</w:t>
        <w:br/>
        <w:t>Change</w:t>
        <w:br/>
        <w:t>Sep-19 Sep-20 Sep-21</w:t>
        <w:br/>
        <w:t>Sep. 2021 - Sep. 201931</w:t>
        <w:br/>
        <w:t>Netflix 5.949 7.690 8.839 48.6%</w:t>
        <w:br/>
        <w:t>Amazon (Prime Video) 3.171 4.237 6.821 115.1%</w:t>
        <w:br/>
        <w:t>DAZN 3.369 1.810 3.375 0.2%</w:t>
        <w:br/>
        <w:t>Disney Digital 0.000 1.659 2.880 73.6%</w:t>
        <w:br/>
        <w:t>Chili 1.141 1.121 0.937 -17.9%</w:t>
        <w:br/>
        <w:t>Discovery 1.685 1.147 0.866 -48.6%</w:t>
        <w:br/>
        <w:t>TIM (Timvision) 0.857 0.667 0.774 -9.7%</w:t>
        <w:br/>
        <w:t>Fininvest/Mediaset (Infinity) 1.240 0.768 0.107 -91.4%</w:t>
        <w:br/>
        <w:t>Comcast/Sky (Nowtv) 0.119 0.093 0.065 -45.8%</w:t>
        <w:br/>
        <w:t>47. Regarding the effect of the Covid-19 pandemic on the consumption patterns of users of audiovisual products, according to a survey conducted in Italy in April 2020 with approximately 1,000 respondents, 63% of those interviewed stated that they had not subscribed to a new on-demand digital service, while 15% reported having subscribed to a new paid video-on-demand service32. When observing the usage rate rather than new subscriptions, it emerges that 41% and 17% of respondents stated, respectively, that they had increased and significantly increased their use of paid on-demand digital services33.</w:t>
        <w:br/>
        <w:t>48. In 2021, Sky accounted for 54% of subscriptions to pay television services in Italy (Figure 5).</w:t>
        <w:br/>
        <w:t>30 Cf. Authority for Communications Guarantees, Communications Observatory No. 4/2021.</w:t>
        <w:br/>
        <w:t>31 For the Disney service, the change is calculated from September 2020 considering the absence of the service in 2019.</w:t>
        <w:br/>
        <w:t>32 Cf. doc. 48, p. 130.</w:t>
        <w:br/>
        <w:t>33 Cf. doc. 48, p. 134.</w:t>
      </w:r>
    </w:p>
    <w:p>
      <w:r>
        <w:t>BULLETIN NO. 14 OF APRIL 19, 2022 127</w:t>
        <w:br/>
        <w:t>Figure 5 – Subscription to pay television services in Italy (2021)34</w:t>
        <w:br/>
        <w:t>V.2. Sky's considerations</w:t>
        <w:br/>
        <w:t>49. Sky believes that the measures imposed by the Provision are no longer justified in light of the changed market context of pay television, which has been radically and evidently unpredictably altered by the Covid-19 pandemic, and the consequent changes in user habits. Such changes would have accelerated the growth of the Internet platform to the advantage of the offerings of OTT operators and telco operators35.</w:t>
        <w:br/>
        <w:t>50. Regarding platforms, Sky believes that the Internet platform is suitable for the distribution of audiovisual content, as demonstrated by the recent outcome of the tender for Serie A rights, which is now fully distributed only on the Internet, thus representing a clear alternative to traditional platforms, while other platforms (DTT and DTH) would be contracting in favor of the Internet. Sky itself has stated that it is about to abandon the digital terrestrial platform as of April 1, 202236.</w:t>
        <w:br/>
        <w:t>51. From the perspective of networks, ultra-broadband coverage (FTTC and FTTH) would have reached 92.7% of households, above the European Union average. At the same time, a strong increase in FTTH coverage would have been observed, which, at the end of 2020, reached 34% of households, with further exponential growth expected due to the rollout plans scheduled for the coming years and the new tenders for gray areas under the Italy 1 Giga plan37. Similarly, Italy would have recorded an increase in consumer adoption rates of high-capacity networks, as well as connected TVs.</w:t>
        <w:br/>
        <w:t>52. The OTT sales model is emerging as a successful business model, replaceable with the traditional Sky offering. In particular, Sky notes that, according to various market studies, Italy represents the leading European country for OTT growth. According to Sky, the pandemic and the acceleration of the country's digitalization process have had a profound effect on audiovisual consumption in Italy, particularly favoring OTT players. Sky's position would therefore have been diminished in favor of them38.</w:t>
        <w:br/>
        <w:t>53. OTT players would represent a strong element of market discontinuity, profoundly altering its dynamics due to: (i) significant economies of scale resulting from presence in various markets; (ii) considerable investment capacity in both original productions and content acquisition; (iii) direct distribution of services in a "Direct to consumer" mode via Internet applications in place of using distribution platforms.</w:t>
        <w:br/>
        <w:t>54. Furthermore, Sky observes that an additional novelty is represented by the agreement between TIM and DAZN, concerning the rights to view Serie A matches in light of TIM's position and the possible effects on competition in the fixed telecommunications markets (wholesale and retail). In this regard, the relevance of triple play offers in the current competitive context of the telecommunications market should be considered.</w:t>
        <w:br/>
        <w:t>55. The absence of a significant portion of Serie A events on DTH and DTT platforms would constitute, in Sky's opinion, a radical and unpredictable (at the time of the imposition of the Measures) change in reality that would justify their removal39.</w:t>
        <w:br/>
        <w:t>56. In light of these considerations, Sky believes that – with the loss of the technological advantage associated with traditional platforms and the availability of content deemed more appealing to Italian users and the emergence of new market players – there is an evident need for urgent intervention by the Authority to revoke the measures imposed by the Provision.</w:t>
        <w:br/>
        <w:t>57. Following the receipt of the Communication of Investigative Findings, while insisting on the complete early removal of the Measures, Sky believes that, in light of recent market analyses conducted by the Authority for Communications Guarantees (resolution No. 210/21/CONS and AGCOM provision 235/21/CONS), in the telco-media convergence scenario, even Sky's dominant position has now diminished. In addition to noting the overwhelming entry of OTT operators, according to Sky, the ownership of access network infrastructures has now become crucial. Market shares therefore provide only a preliminary indication, as they must be considered alongside the conditions and dynamics of the relevant markets.</w:t>
        <w:br/>
        <w:t>37 Cf. doc. 46.</w:t>
        <w:br/>
        <w:t>38 Cf. doc. 1, 46.</w:t>
        <w:br/>
        <w:t>39 Cf. doc. 1, 46.</w:t>
      </w:r>
    </w:p>
    <w:p>
      <w:r>
        <w:rPr>
          <w:b/>
        </w:rPr>
        <w:t>[Pages 127–129]</w:t>
      </w:r>
    </w:p>
    <w:p>
      <w:r>
        <w:t>BULLETIN NO. 14 OF APRIL 19, 2022 129</w:t>
        <w:br/>
        <w:t>V.3. Considerations of third parties</w:t>
        <w:br/>
        <w:t>V.3.a. Network conditions</w:t>
        <w:br/>
        <w:t>58. DAZN believes that in recent years there have been significant improvements regarding the transmission of television content over the Internet in Italy which, although not yet at the levels of countries with better performance (for example, Germany and Japan), has closed the gap in terms of quality that was present in the past. This result would not be solely due to telecommunications networks, but also to investments in interconnections, improvements in content delivery networks (CDN)40, and the use of certain technologies for the transmission of television content over the Internet41.</w:t>
        <w:br/>
        <w:t>59. According to Mediaset, the development of ultra-broadband networks has favored an increase in the offering of Internet-based pay television (OTT) services. This platform, in Mediaset's opinion, is also establishing itself for football audiovisual content and live events. In this regard, Mediaset believes that the pandemic crisis has considerably changed viewer habits. Furthermore, with reference to film content, some OTT platforms have begun to offer the first screenings of films intended for cinemas42.</w:t>
        <w:br/>
        <w:t>60. Discovery believes that the development of ultra-broadband telecommunications networks has significantly improved the average level of audio-video quality and stability of services provided over the Internet to end consumers, allowing for an increase in the user base. However, Discovery notes that broadband technology still has a significantly lower penetration compared to other established technologies43. Moreover, "traditional broadcasting platforms, DTT and satellite, are still perceived as those that guarantee greater stability, video quality, and security, certainly key values at least for the viewing of live content such as sporting events"44.</w:t>
        <w:br/>
        <w:t>61. TIM observes that the audio-video quality of pay television services depends on multiple factors and, although greater availability of ultra-broadband telecommunications infrastructure has made it possible to enjoy pay television services with a better level of quality, improvements in the transmission of audiovisual products over the Internet are also due to technological adjustments, such as the upgrading of transport and access networks, investment in CDN, and the adoption of transmission technologies that reduce the duplication of audio-video streams transported (multicast)45.</w:t>
        <w:br/>
        <w:t>40 CDN Content Delivery Network. Infrastructure created to deliver or distribute static or multimedia content to users, on demand, with performance, in terms of access delay and bandwidth used, far superior to solutions that do not use them. CDNs – also called Enterprise Content Delivery Networks (ECDN) – are, in particular, additional transmission networks and servers, placed at points in the Internet network with a higher likelihood of congestion, which allow for dedicated transmission capacity and space to copy and store information present on the original servers. See AGCM Provision No. 26258 of November 30, 2016, case IC41 – Inquiry into the audiovisual sector.</w:t>
        <w:br/>
        <w:t>41 See doc. 33.</w:t>
        <w:br/>
        <w:t>42 See doc. 34.</w:t>
        <w:br/>
        <w:t>43 See doc. 36.</w:t>
        <w:br/>
        <w:t>44 See doc. 36.</w:t>
        <w:br/>
        <w:t>45 See doc. 38.</w:t>
      </w:r>
    </w:p>
    <w:p>
      <w:r>
        <w:t>130 BULLETIN NO. 14 OF APRIL 19, 2022</w:t>
        <w:br/>
        <w:t>62. Disney observes that, in the period 2019-202146, despite a limited increase in the number of fixed and mobile accesses, data traffic increased by over 60% (with peaks of 85%). However, the increase in data traffic was not matched by a similarly significant development of ultra-broadband networks, resulting in the fact that, "with the spread of the pandemic, the average download speed on fixed networks in Italy decreased by about 8.5%, from 61 Mbps (period December 16, 2019 – March 1, 2020) to 56 Mbps during the first phase of lockdown (period March 2 – May 17, 2020)"47. Furthermore, precisely to alleviate this traffic, the main OTT operators implemented traffic mitigation actions, resulting in a degradation of the audio-video quality of the service.</w:t>
        <w:br/>
        <w:t>63. In examining the data from the Digital Economy and Society Index 2021, Vodafone notes that Italy ranks among the last in Europe in terms of coverage of households with ultra-broadband networks48 and, with reference to the penetration rate of broadband and ultra-broadband telecommunications services, broadband and ultra-broadband lines average 30.4 lines per 100 inhabitants. Considering fixed lines with a capacity of at least 30 Mbit/s, the penetration rate is 20.4 lines per 100 inhabitants, a slight increase from 16% in 2019. With reference to lines with a capacity of 100 Mbit/s or more, the penetration rate at the end of 2020 is 15.6%, up from 11.7% in 201949. According to Vodafone, therefore, "the increase recorded from the end of 2020 to today has not been such as to bring about significant average changes that could be perceived in the enjoyment of the average audio-video quality level of pay television services"50. In light of such slight changes in infrastructure, data traffic managed by fixed networks has grown by about 75% compared to the period January/September 2019.</w:t>
        <w:br/>
        <w:t>64. Apple believes that better bandwidth improves the viewing experience for customers51.</w:t>
        <w:br/>
        <w:t>V.3.b. Third-party considerations regarding the removal of measures</w:t>
        <w:br/>
        <w:t>65. DAZN believes that the measures adopted with the Provision, particularly the ban on exclusives for the Internet platform, were necessary in light of the specific market context that emerged following the concentration that took place. This would have contributed, in DAZN's opinion, to increasing the level of competition in the acquisition procedures for national rights related to the Serie A Championship for the three-year period 2021/24, "interrupting Sky's near-monopoly precisely due to the renewed market context, also a result of the decision contained in the Provision"52. DAZN, therefore, believes that the measures are of lesser relevance concerning rights related to national competitions, but emphasizes that such profiles could not apply concerning international competitions53.</w:t>
        <w:br/>
        <w:t>46 See doc. 44.</w:t>
        <w:br/>
        <w:t>47 See doc. 44.</w:t>
        <w:br/>
        <w:t>48 See doc. 49.</w:t>
        <w:br/>
        <w:t>49 See doc. 49.</w:t>
        <w:br/>
        <w:t>50 See doc. 49.</w:t>
        <w:br/>
        <w:t>51 See doc. 30.</w:t>
        <w:br/>
        <w:t>52 See doc. 33.</w:t>
        <w:br/>
        <w:t>53 See doc. 33.</w:t>
      </w:r>
    </w:p>
    <w:p>
      <w:r>
        <w:t>BULLETIN NO. 14 OF APRIL 19, 2022 131</w:t>
        <w:br/>
        <w:t>66. According to Mediaset, the measures imposed on Sky have contributed to the consolidation of pay television offerings on the Internet platform. The company believes that the measures should be maintained until their natural expiration on May 21, 2022, as the presence in the market of a plurality of pay offerings ensures a high level of competition among different operators with benefits to consumers in terms of access to viewing content under more advantageous conditions54.</w:t>
        <w:br/>
        <w:t>67. Discovery agrees that the measures imposed on Sky have favored the entry of new operators into the pay-TV market, mainly OTTs that offer their services via broadband networks. The measures, therefore, would have determined a dynamic of competition development, both on the side of acquiring broadcasting rights and in reselling content to the end consumer or distribution platforms. From the consumers' side, there has been a "multiplication of television offerings, which are now very targeted at the interests of potential subscribers, allowing access to preferred content at different and even lower price levels compared to Sky's average costs"55.</w:t>
        <w:br/>
        <w:t>68. However, Discovery notes that the change in the enjoyment of content via the Internet is very recent, so the effects are not yet firmly established. In this context, the broadcasting rights for sporting events play a crucial role in this change, but these have only been fully accessible on Internet networks since September 2021, as Sky held exclusive rights on all platforms for a large part of the Serie A Championship until that date56.</w:t>
        <w:br/>
        <w:t>69. Discovery believes that the development times of the Internet platform are too recent to consider the change irreversible. In particular, according to Discovery, Sky is "by far the main operator with over 3 million subscribers solely on satellite, with the highest subscription costs in the market. If we look at the distribution of technologies, satellite and digital terrestrial remain largely dominant with the 3 million Tivusat viewers adding to Sky subscribers and the over 40 million viewers who daily enjoy TV via digital terrestrial. Numbers that are not even remotely comparable to the total number of accesses to TV services (including free ones) via IP networks, which, according to Auditel estimates, stand at around 13 million, less than a third of digital terrestrial"57.</w:t>
        <w:br/>
        <w:t>70. TIM expresses perplexity and concern regarding the early removal of the measures as it believes that Sky is still a dominant player in the pay television services market and also notes that the remaining duration of the measures is very short. TIM believes that the measures have allowed alternative operators to take advantage of a window of opportunity in acquiring audiovisual rights on the Internet platform, but this would not have significantly undermined Sky's dominant position. According to TIM, "an early termination of the measures would allow Sky to pursue, in an exclusionary manner, a policy of further strengthening that position through the conclusion of exclusive agreements for the Internet platform in Italy, thus undermining the only sector in which competition has been"54.</w:t>
      </w:r>
    </w:p>
    <w:p>
      <w:r>
        <w:rPr>
          <w:b/>
        </w:rPr>
        <w:t>[Pages 130–132]</w:t>
      </w:r>
    </w:p>
    <w:p>
      <w:r>
        <w:t>132 BULLETIN NO. 14 OF APRIL 19, 2022</w:t>
        <w:br/>
        <w:t>begun, only this year, to take significant first steps”58. For these reasons, TIM does not believe that the conditions exist for a reduction in the duration of the measures imposed by the Provision.</w:t>
        <w:br/>
        <w:t>71. Vodafone believes that the measures imposed by the Provision – specifically the ban on exclusivity on the Internet – cannot be revoked before the expiration date of May 21, 2022, as some structural conditions identified in the Provision persist. In fact, Sky: (i) belongs to one of the main groups active in the media-audiovisual sector and, after the merger with Comcast, is active in the provision of telecommunications services; (ii) holds audiovisual rights to a catalog of pay content that, in terms of breadth, variety, and quality, is not comparable to that of other pay content providers; (iii) offers non-substitutable products/services with other offers and is able to exert a high bargaining power in acquiring premium content; (iv) has extensive transmission capacity and exercises full control over the satellite platform for pay-TV, in which it is the only entity operating.</w:t>
        <w:br/>
        <w:t>72. Regarding emerging pay-TV services (OTT), Vodafone observes that, although the volumes of OTT appear to be growing, their weight in terms of revenue is extremely low. Furthermore, OTT pay-TV offers are characterized by a low ARPU (average revenue per user) and the absence of contractual constraints that allow customers to activate and deactivate the service without exit barriers, based on their needs59. Consequently, Vodafone believes that Sky still holds a dominant position such that it can eliminate or substantially and durably reduce competition in the pay-TV market and in related markets due to vertical and conglomerate ties and that, therefore, the conditions for the revocation of the measures imposed by the Provision do not exist60.</w:t>
        <w:br/>
        <w:t>73. Disney observes that – although consumer consumption styles for audiovisual products may have changed somewhat – it could be considered reasonable to maintain the measures for the short remaining period of validity. In this regard, it recalls that, after the closure of the Mediaset Premium digital terrestrial service, Sky remained the only traditional offer. Furthermore, Sky is preparing to discontinue the digital terrestrial service from April 1, 2022, providing DTT customers with a SkyQ device capable of receiving Sky's pay-TV offer via the Internet platform at no additional cost. Additionally, the Sky offer will include, at no extra charge, new audiovisual services, such as Paramount+ from ViacomCBS and Peacock from NBCUniversal. Finally, Disney, in light of consumer complaints and those of representative associations regarding the quality of OTT services broadcasting Serie A, emphasizes the need for a thorough verification of the state of telecommunications networks and any advantage still held by Sky over traditional platforms.</w:t>
        <w:br/>
        <w:t>74. Amazon believes that, although there have been recent changes in the market context, Sky maintains the same dominant position in the market and the same influence that existed at the time the measures in question were introduced and, therefore, does not believe there are grounds to support a revocation of the measures of the Provision.</w:t>
        <w:br/>
        <w:t>58 Cf. doc. 38.</w:t>
        <w:br/>
        <w:t>59 Cf. doc. 49.</w:t>
        <w:br/>
        <w:t>60 Cf. doc. 49.</w:t>
      </w:r>
    </w:p>
    <w:p>
      <w:r>
        <w:t>BULLETIN NO. 14 OF APRIL 19, 2022 133</w:t>
        <w:br/>
        <w:t>75. Apple, on the contrary, stated that it has no concerns regarding the early revocation of the measures before the expiration date of May 21, 202261.</w:t>
        <w:br/>
        <w:t>VI. OPINION OF THE AUTHORITY FOR COMMUNICATIONS GUARANTEES</w:t>
        <w:br/>
        <w:t>76. On March 17, 2022, the Authority for Communications Guarantees (AGCom) was requested, pursuant to Article 1, paragraph 6, letter c), no. 11, of Law No. 249 of July 31, 1997, establishing “The Authority for Communications Guarantees and rules on telecommunications and broadcasting systems,” to express an opinion in view of the adoption of the final provision.</w:t>
        <w:br/>
        <w:t>77. On April 8, 2022, resolution no. 101/22/CONS was received, in which AGCom expressed a favorable opinion regarding the draft final provision related to the procedure in question in light of its areas of competence and also considering the very short remaining period of validity of the measures.</w:t>
        <w:br/>
        <w:t>78. AGCom, in addition to agreeing with the identification of the relevant markets made in the draft provision transmitted, referred to the outcomes of the investigation initiated with Resolution no. 663/20/CONS, pursuant to Decree-Law No. 125 of October 7, 2020, as converted with amendments by Law No. 159 of November 27, 2020, in Article 4-bis, titled “Provisions regarding the investigative powers of the Authority for Communications Guarantees.”</w:t>
        <w:br/>
        <w:t>79. In the context of this procedure, AGCom considered that the position held by the companies attributable to the Sky Group, due to the activities carried out simultaneously in the electronic communications markets and in the integrated communications system markets, did not result in harmful effects on pluralism. The verification activity was therefore concluded with an archiving ordered by Resolution no. 210/21/CONS.</w:t>
        <w:br/>
        <w:t>VII. EVALUATIONS</w:t>
        <w:br/>
        <w:t>VII.1. Premise</w:t>
        <w:br/>
        <w:t>80. This procedure was initiated to assess whether the evolution of the overall context of the pay-TV services market and the vertically related markets justifies the total or partial revocation of the Measures imposed by the Provision, before the natural expiration date of May 21, 2022.</w:t>
        <w:br/>
        <w:t>81. In this regard, it should be noted that the aforementioned Measures were imposed by the Authority due to the fact that the actions taken for the partial return of R2 only partially affected the concentration achieved, being inadequate to restore effective competition conditions and eliminate the restrictive effects on competition produced in the affected markets.</w:t>
        <w:br/>
        <w:t>82. In particular, the Measures were aimed at preventing Sky, in a dominant position as a result of the concentration, from acquiring the main audiovisual content, hindering the growth of OTT operators. The set goal was therefore to stimulate potential competition and restore a competitive force that would replace that exercised by Mediaset Premium, whose ability to compete was virtually nonexistent after the concentration operation.</w:t>
        <w:br/>
        <w:t>83. This procedure, therefore, aims to verify whether the current market context and the changes brought about by the Covid-19 pandemic on the entire audiovisual supply chain have made the Measures aimed at stimulating competition by new operators in the pay-TV market more effective, allowing the expected results to be achieved before the expiration date of May 21, 2022.</w:t>
        <w:br/>
        <w:t>VII.2. Relevant markets</w:t>
        <w:br/>
        <w:t>84. For the purposes of this procedure, as indicated in the premise, it is useful to identify, from a commodity perspective, the retail market for pay-TV services (pay-TV market), of national geographical size. This market coincides with the overall market for pay-TV services, which can be provided through various transmission means, particularly via satellite (DTH) and through digital terrestrial (DTT), as well as via cable and the Internet (IPTV and OTT).</w:t>
        <w:br/>
        <w:t>85. In national and European practice62, the pay-TV market is traditionally considered distinct from the free-to-air television market and, more specifically, from the advertising revenue market on television, although there are connections between them arising from horizontal relationships. This is primarily because the "premium" programs and content normally distributed through pay-TV are not typically substitutable with the programs and content broadcast by free-to-air channels.</w:t>
        <w:br/>
        <w:t>86. Furthermore, the main source of revenue for operators active in pay-TV is almost entirely represented by subscriptions and the sale of pay-per-view programs; on the other hand, the revenues of operators active in the free-to-air television market derive from advertising and/or state contributions. Therefore, the characteristics of demand and supply are profoundly different in the two markets, and substitutability from the supply side between free-to-air television and pay-TV is also limited.</w:t>
        <w:br/>
        <w:t>87. From a geographical perspective, the pay-TV market has a national dimension considering the regulatory and legal framework, language barriers, cultural factors, as well as the fact that audiovisual rights for content broadcast through television are generally limited to the national territory.</w:t>
        <w:br/>
        <w:t>88. Regarding funding sources, it is noted that the revenues of pay-TV operators continue to be almost entirely represented by subscriptions and the sale of pay-per-view programs. Over time, in fact, the incidence of advertising on the revenues of pay-TV operators has even decreased, while on the contrary, subscription revenues have increased from 90.7% in 2017 to 94.7% in 2020 (Table 4).</w:t>
        <w:br/>
        <w:t>62 Cf. AGCM Provision No. 27784 of May 20, 2019, case C12207 – Sky Italia/R2 in Bull. No. 21/2019; AGCM Provision No. 18932 of October 2, 2008, case A407 – Conto TV/Sky Italia; AGCM Provision No. 15632 of June 28, 2006, case A362 – Football rights; AGCM Provision No. 24206 of February 6, 2013, case A418C – Selective procedures Lega calcio 2010/11 and 2011/12; Commission Decision of June 25, 2008, case COMP/M.5121 – News Corp/Premiere; Commission Decision of April 2, 2003, case COMP/M.2876 – Newscorp/Telepiù.</w:t>
      </w:r>
    </w:p>
    <w:p>
      <w:r>
        <w:rPr>
          <w:b/>
        </w:rPr>
        <w:t>[Pages 133–135]</w:t>
      </w:r>
    </w:p>
    <w:p>
      <w:r>
        <w:t>BULLETIN NO. 14 OF APRIL 19, 2022 135</w:t>
        <w:br/>
        <w:t>Table 4 – Breakdown of pay television revenues (millions of euros, %)63</w:t>
        <w:br/>
        <w:t>2017 2018 2019 2020</w:t>
        <w:br/>
        <w:t>Revenues from pay offers 3,113 90.7% 3,231 91.5% 3,019 93.0% 3,003 94.7%</w:t>
        <w:br/>
        <w:t>Advertising revenues 320 9.3% 302 8.5% 228 7% 168 5.3%</w:t>
        <w:br/>
        <w:t>89. The pay television market generates a total revenue of approximately three billion in 2020 (Table 4). Regarding Sky's position, it should be noted that from 2019 to November 2021, there was a decisive reduction in market share, which was over 80% in 2019 and has recently fallen below 55% in the period from July to November 2021 (following the start of the new Serie A Championship - Table 5). As for the concentration index, it should be noted that the HHI index in 2019 was over 8,900 points64 and has decreased to less than 4,000 points in the period from July to November 2021. A similar trend has been observed for the concentration ratio CR2 (Table 5).</w:t>
        <w:br/>
        <w:t>Table 5 - Market shares of pay-TV operators65</w:t>
        <w:br/>
        <w:t>2019 2020 Jan. - Jun. 2021 Jul. - Nov. 2021</w:t>
        <w:br/>
        <w:t>[500-1,000]</w:t>
        <w:br/>
        <w:t>Sky Italia [2-3] billion [80-85%] [2-3] billion [75-80%] [1-2] billion [65-70%] [50-55%]</w:t>
        <w:br/>
        <w:t>million</w:t>
        <w:br/>
        <w:t>[250-500] [250-500] [250-500] [100-250]</w:t>
        <w:br/>
        <w:t>Netflix [10-15%] [10-15%] [15-20%] [15-20%]</w:t>
        <w:br/>
        <w:t>million million million million</w:t>
        <w:br/>
        <w:t>[100-250] [100-250] [100-250] [250-500]</w:t>
        <w:br/>
        <w:t>Dazn [1-5%] [1-5%] [5-10%] [20-25%]</w:t>
        <w:br/>
        <w:t>million million million million</w:t>
        <w:br/>
        <w:t>[50-100] [100-250] [100-250] [50-100]</w:t>
        <w:br/>
        <w:t>Others [1-5%] [5-10%] [5-10%] [5-10%]</w:t>
        <w:br/>
        <w:t>million million million million</w:t>
        <w:br/>
        <w:t>Total [2-3] billion [2-3] billion [1-2] billion [1-2] billion</w:t>
        <w:br/>
        <w:t>Concentration indices</w:t>
        <w:br/>
        <w:t>HHI Index 8932 7884 5119 3613</w:t>
        <w:br/>
        <w:t>CR2 Index 93% 89% 86% 75%</w:t>
        <w:br/>
        <w:t>90. The data regarding market shares therefore confirm that the concentration has triggered a significant monopolization of the market, as found in the Provision, as well as the substantial disappearance of Mediaset Premium in the pay television market, whose market share is below 1% in the years 2019-2020 and in the period from January to November 202166.</w:t>
        <w:br/>
        <w:t>91. Improvements in terms of reducing Sky's market power and reducing concentration have only occurred recently. In particular, only from January to June 2021 was there an HHI concentration index lower than that recorded in the period from January to November 2018 (which was over 6,500 points)67. However, it is noted that the market in question is still significantly concentrated today.</w:t>
        <w:br/>
        <w:t>92. Furthermore, Sky currently holds a market share of over 50%, which is more than double that of the second competitor (DAZN). In addition, Sky is the only operator that has a multi-platform offer, both on satellite digital and on the Internet platform. Regarding this latter platform, it should be noted that Sky also offers retail fixed broadband and ultra-broadband telecommunications services. It must therefore be considered that Sky's dominant position persists.</w:t>
        <w:br/>
        <w:t>VII.3. Assessments regarding the revocation of measures</w:t>
        <w:br/>
        <w:t>93. As indicated in the introduction, the purpose of this proceeding is to verify whether – in light of the changes that have occurred in the consumption styles of audiovisual products due to the Covid-19 emergency – the measures imposed by the Provision to remedy the restrictive effects of the concentration operation can be revoked in advance of the upcoming deadline of May 21, 2022, due to the changed market context.</w:t>
        <w:br/>
        <w:t>94. Market data confirm that the concentration between Sky Italia and R2 has resulted in a greater degree of concentration and a reduction of competitive constraints represented by Mediaset Premium against Sky. In fact, the market concentration, represented by the HHI index, was 6,281 and 6,578 points in 2017 and in the period from January to November 2018, respectively. In 2019, after the concentration operation, the concentration index increased to 8,961 points.</w:t>
        <w:br/>
        <w:t>95. The analyses conducted during this proceeding therefore show that the measures have allowed for the reversal of the concentration process linked to the substantial reduction of competitive pressure from Mediaset Premium, thanks to the stimulus of new entrants in the Internet platform.</w:t>
        <w:br/>
        <w:t>96. On this point, although the pay television market is still concentrated and Sky still holds a dominant position, it should be noted that the measures appear to have stimulated competition, allowing – starting from the period from January to June 2021 – a reduction in market concentration below the levels that were present in the market before the concentration operation between Sky Italia and R2.</w:t>
        <w:br/>
        <w:t>97. It is noted that a significant reduction in market concentration has been observed since July 2021. This effect appears to be attributable, in addition to the change in consumption styles of audiovisual products, to the awarding of audiovisual rights for Serie A (seven exclusive weekly events and three co-exclusive weekly events) to DAZN. In fact, if in the period from January to June 2021 DAZN held less than 10% of the market share, starting from July, the market share has at least doubled, reaching above 20% (Table 66).</w:t>
        <w:br/>
        <w:t>98. In light of the elements outlined above and specifically: (i) the very short remaining duration of the measures; (ii) the reduction of market concentration to levels lower than those prevailing in the pay television market prior to the operation carried out between Sky and R2; (iii) the absence of significant content, similar to that of the Serie A Championship, to be attributed during the remaining duration of the measures, there are no reasons preventing the removal of the measures imposed by the Authority's decision no. 27784 of May 20, 2019.</w:t>
        <w:br/>
        <w:t>VIII. CONCLUSIONS</w:t>
        <w:br/>
        <w:t>99. The investigation in question has established that there are no reasons preventing the complete removal of the measures imposed by resolution no. 27784 of May 20, 2019, considering the reduced remaining time of the commitments, the absence of premium audiovisual content to be acquired during the remaining life of such measures, as well as the levels of market concentration which, also considering the effects triggered by the change in consumption styles of audiovisual products due to the Covid-19 pandemic, have reached levels lower than those prior to the concentration operation.</w:t>
        <w:br/>
        <w:t>CONSIDERING, therefore, that the factual and legal reasons that justified the imposition on Sky Italia S.r.l., Sky Italian Holdings S.p.A., R2 S.r.l. and Mediaset S.p.A. of the measures referred to in the device of resolution no. 27784 of May 20, 2019, have ceased to exist;</w:t>
        <w:br/>
        <w:t>RESOLVES</w:t>
        <w:br/>
        <w:t>to revoke the measures imposed by resolution no. 27784 of May 20, 2019;</w:t>
        <w:br/>
        <w:t>This provision will be notified to the interested parties and published in the Bulletin of the Competition and Market Authority.</w:t>
        <w:b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Guido Stazi Roberto Rustichelli</w:t>
      </w:r>
    </w:p>
    <w:p>
      <w:r>
        <w:rPr>
          <w:b/>
        </w:rPr>
        <w:t>[Pages 136–138]</w:t>
      </w:r>
    </w:p>
    <w:p>
      <w:r>
        <w:t>138 BULLETIN NO. 14 OF APRIL 19, 2022</w:t>
        <w:br/>
        <w:t>C12422B - MONDADORI MEDIA-ARTONI GROUP-SRH/PRESS–PRINT AND MULTIMEDIA DISTRIBUTION</w:t>
        <w:br/>
        <w:t>Provision No. 30101</w:t>
        <w:br/>
        <w:t>THE ANTITRUST AUTHORITY</w:t>
        <w:br/>
        <w:t>IN ITS MEETING of April 12, 2022;</w:t>
        <w:br/>
        <w:t>HEARD the Rapporteur, President Roberto Rustichelli;</w:t>
        <w:br/>
        <w:t>HAVING REGARD to Regulation (EC) No. 139/2004 of the Council, of January 20, 2004, concerning the control of concentrations between undertakings;</w:t>
        <w:br/>
        <w:t>HAVING REGARD to Law No. 287 of October 10, 1990;</w:t>
        <w:br/>
        <w:t>HAVING REGARD to D.P.R. No. 217 of April 30, 1998;</w:t>
        <w:br/>
        <w:t>HAVING REGARD to the communication from the companies Mondadori Media S.p.A. and Artoni Group S.p.A. received on January 14, 2022 and supplemented on January 19, 26, and 31, 2022;</w:t>
        <w:br/>
        <w:t>HAVING REGARD to the request for information sent on February 10, 2022 to the companies Mondadori Media S.p.A., Artoni Group S.p.A., and SRH S.r.l., with consequent interruption of the deadlines pursuant to Article 5, paragraph 3, of D.P.R. No. 217 of April 30, 1998;</w:t>
        <w:br/>
        <w:t>HAVING REGARD to the additional information provided by the companies Mondadori Media S.p.A., Artoni Group S.p.A., and SRH S.r.l. and received on March 14, 2022;</w:t>
        <w:br/>
        <w:t>HAVING REGARD to the documentation on file;</w:t>
        <w:br/>
        <w:t>CONSIDERING the following:</w:t>
        <w:br/>
        <w:t>I. THE PARTIES</w:t>
        <w:br/>
        <w:t>I.1. Mondadori Media and Press-Di</w:t>
        <w:br/>
        <w:t>1. Mondadori Media S.p.A. (hereinafter, "Mondadori Media") is the company of the Mondadori Group that develops brands across various sales channels and is responsible for activities related to the "Periodici Italia" business, both print and digital, as well as the related shared services. Mondadori Media is wholly owned by Arnoldo Mondadori Editore S.p.A. (hereinafter, "Mondadori").</w:t>
        <w:br/>
        <w:t>2. Mondadori is active in the sectors of book and periodical publishing. Mondadori is listed on the MTA Market, STAR segment organized and managed by Borsa Italiana S.p.A., and is controlled by the investment company Finanziaria d’Investimento Fininvest S.p.A. (hereinafter, "Fininvest"), with a shareholding of 53.299%. Fininvest heads a group active not only in the book and periodical publishing sector but also in cinema, advertising collection, and commercial television.</w:t>
        <w:br/>
        <w:t>3. In 2020, Fininvest generated a worldwide revenue of €3.46 billion, of which [2-3]* in Italy. Mondadori, in 2020, generated a consolidated revenue of €744 million worldwide, of which [511-700] in Italy.</w:t>
        <w:br/>
        <w:t>* In this version, some data are omitted as there are elements of confidentiality or secrecy of the information.</w:t>
      </w:r>
    </w:p>
    <w:p>
      <w:r>
        <w:t>BULLETIN NO. 14 OF APRIL 19, 2022 139</w:t>
        <w:br/>
        <w:t>4. Mondadori Media holds the entire share capital of Press-Di Distribuzione Stampa e Multimedia S.r.l. (hereinafter, "Press-Di"). Press-Di is active in the national distribution of daily and periodical press, both for Mondadori and for third-party publishers.</w:t>
        <w:br/>
        <w:t>5. Press-Di holds joint control of DI2 S.r.l. (hereinafter, "DI2") together with So.Di.P Società di diffusione periodici Angelo Patuzzi S.p.A. (hereinafter, "SODIP")1. DI2 carries out logistics activities exclusively for the parent companies.</w:t>
        <w:br/>
        <w:t>6. Press-Di also holds the following stakes in companies active in the distribution of editorial products:</w:t>
        <w:br/>
        <w:t>˗ 29% of the share capital of GD Media Service S.r.l. (hereinafter, "GD Media"), active in the distribution of periodicals and newspapers for the GDO channel. GD Media is also participated by M-Dis Distribuzione Media S.p.A. (hereinafter, "M-Dis") and SODIP, each holding 29%, and by Emmelibri S.r.l. which holds the remaining (13%);</w:t>
        <w:br/>
        <w:t>˗ 22% of the share capital of MDM Milano Distribuzione Media S.r.l. (hereinafter, "MDM"), active in the local distribution of periodicals and newspapers in the Milan area. The majority shareholder of MDM is M-Dis, with a 56% stake, while the remaining 22% is held by SODIP.</w:t>
        <w:br/>
        <w:t>The current CEO of Press-Di sits on the boards of directors of GD Media and MDM.</w:t>
        <w:br/>
        <w:t>7. In 2020, Press-Di generated a revenue of €41.5 million, almost exclusively in Italy. This value includes 50% of the revenue generated by DI2.</w:t>
        <w:br/>
        <w:t>I.2. Artoni and SRH</w:t>
        <w:br/>
        <w:t>8. Artoni Group S.p.A. (hereinafter, "Artoni") is the holding company of a group that operates in the local distribution of daily and periodical press. The share capital of Artoni is 96% owned by A.G. S.r.l., which is owned by three individuals, and the remaining part is held by the same three individuals (each with 1%) and by Artoni itself (1% of its own shares).</w:t>
        <w:br/>
        <w:t>9. Artoni controls, among others, the following companies active in the local distribution of daily and periodical press:</w:t>
        <w:br/>
        <w:t>˗ Adriatica Press S.p.A. (hereinafter, "Adriatica Press"), of which it holds 99% of the share capital;</w:t>
        <w:br/>
        <w:t>˗ Tirreno Press S.p.A. (hereinafter, "Tirreno Press"), of which it holds 99% of the share capital;</w:t>
        <w:br/>
        <w:t>˗ R.G. Stampa S.r.l. (hereinafter, "RG Stampa"), through Adriatica Press, which holds its entire share capital;</w:t>
        <w:br/>
        <w:t>˗ Agenzia Romana Distribuzione Giornali e Riviste S.r.l. (hereinafter, "Agenzia Romana"), through Tirreno Press, which holds its entire share capital2;</w:t>
        <w:br/>
        <w:t>˗ Centro Diffusione e Logistica S.r.l. (hereinafter, "CDL"), through RG Stampa, which holds its entire share capital3.</w:t>
        <w:br/>
        <w:t>1 Press-Di and SODIP each own 50% of the share capital of DI2.</w:t>
        <w:br/>
        <w:t>2 As of May 1, 2021, Agenzia Romana ceased distribution activities with the transfer of mandates to Tirreno Press and currently only handles logistics.</w:t>
        <w:br/>
        <w:t>3 The acquisition of CDL was completed on January 13, 2022.</w:t>
      </w:r>
    </w:p>
    <w:p>
      <w:r>
        <w:t>140 BULLETIN NO. 14 OF APRIL 19, 2022</w:t>
        <w:br/>
        <w:t>10. Artoni also controls, among others, the following companies active in the logistics of local distribution of editorial products: Services &amp; Services S.r.l., Lazio Logistica S.r.l. (hereinafter, "Lazio Logistica"), Italogistica S.r.l. and Edilog S.r.l. These companies carry out their activities exclusively (or almost exclusively) for companies of the Artoni Group.</w:t>
        <w:br/>
        <w:t>11. In 2020, the total revenue generated, entirely in Italy, by the companies of the Artoni Group was €275.4 million. This value refers to the scope of the companies controlled by Artoni in the reference year.</w:t>
        <w:br/>
        <w:t>12. SRH S.r.l. (hereinafter, "SRH") is a holding company that controls two companies active in the local distribution of daily and periodical press, namely, Martini Dumas S.p.A. (hereinafter, "Martini Dumas")4 and MD S.r.l. (hereinafter, "MD")5; MD in turn controls the company I Platani S.r.l. (hereinafter, "I Platani") which manages two newsstands.</w:t>
        <w:br/>
        <w:t>13. The share capital of SRH is wholly owned by ARES S.r.l. whose share capital is entirely held (in trust) by the fiduciary company Partecipazioni &amp; Investimenti S.r.l.. [Omitted]. In 2020, SRH and the companies it controls generated a revenue of €49.7 million, entirely in Italy.</w:t>
        <w:br/>
        <w:t>II. DESCRIPTION OF THE OPERATION</w:t>
        <w:br/>
        <w:t>14. On August 5, 2021, Mondadori Media, Artoni, and SRH signed a framework agreement concerning (i) the transfer by Mondadori Media to Artoni and SRH of a total stake equal to 51% of the share capital of Press-Di, (ii) the mutual recognition of a detailed set of purchase and sale option rights for additional shares of the share capital of Press-Di, and (iii) the definition of the governance rules of Press-Di.</w:t>
        <w:br/>
        <w:t>15. [Omitted]. Therefore, Artoni and SRH constitute a single party.</w:t>
        <w:br/>
        <w:t>16. As a result of the framework agreement signed by Mondadori Media, Artoni, and SRH, Press-Di will pass from the exclusive control of Mondadori Media, which currently holds the entirety of the share capital, to the joint control of Mondadori Media and Artoni and SRH, as illustrated below.</w:t>
        <w:br/>
        <w:t>17. Following the transfer of a 51% stake from Mondadori Media to Artoni and SRH, the share capital of Press-Di will be divided among these parties with shares of 49% and 51%, respectively. This division may subsequently change as a result of the exercise of the agreed option rights according to two scenarios [omitted]: towards an increase in the share held by Artoni and SRH, which could cover the entire share capital of Press-Di, and the corresponding reduction of the share of Mondadori Media, which could lead to the latter's exit from the share capital of Press-Di, or towards [omitted]6.</w:t>
        <w:br/>
        <w:t>18. Regarding the governance of Press-Di, the parties have agreed that the board of directors will consist of [omitted] members of which [omitted] appointed by Artoni and SRH and [omitted] appointed by Mondadori Media7. The first board of directors will remain in office until [omitted].</w:t>
        <w:br/>
        <w:t>4 The share capital of Martini Dumas is held 75% by SRH and 25% by an individual.</w:t>
        <w:br/>
        <w:t>5 The share capital of MD is wholly owned by SRH.</w:t>
        <w:br/>
        <w:t>6 [Omitted].</w:t>
        <w:br/>
        <w:t>7 [Omitted].</w:t>
      </w:r>
    </w:p>
    <w:p>
      <w:r>
        <w:rPr>
          <w:b/>
        </w:rPr>
        <w:t>[Pages 139–141]</w:t>
      </w:r>
    </w:p>
    <w:p>
      <w:r>
        <w:t>BULLETIN NO. 14 OF APRIL 19, 2022 141</w:t>
        <w:br/>
        <w:t>19. Until the approval of the financial statements for the fiscal year ending on [omissis], the CEO will be appointed by Mondadori Media, while, following the aforementioned approval, the CEO will be appointed by Artoni and SRH. The CEO will be vested with all powers of ordinary and extraordinary administration, except for the "Reserved Board Matters," which will be reserved for the exclusive competence of the board of directors.</w:t>
        <w:br/>
        <w:t>20. The board of directors will be validly convened if the majority of the serving directors are present. The resolutions of the board of directors will be adopted by an absolute majority of the directors, except for decisions on Reserved Board Matters for which the favorable vote of the director appointed by Mondadori Media will also be necessary, [omissis]. Until [omissis], the Reserved Board Matters will include (i) the approval of annual budgets and the modification or updating of the industrial plan and (ii) the modification of the powers conferred to the CEO appointed by Mondadori Media.</w:t>
        <w:br/>
        <w:t>21. Based on the agreed governance rules, Artoni and SRH will hold the majority of voting rights on the board of directors of Press-Di, a majority without which no resolution can be adopted. Likewise, Mondadori Media will hold a veto right on resolutions concerning the budget and the industrial plan, until [omissis], and will appoint the CEO until the approval of the financial statements for the fiscal year ending on [omissis]. Each of these prerogatives of Mondadori Media is suitable to allow it to exercise a decisive influence regarding the determination of the strategic directions of Press-Di8. Therefore, the governance of Press-Di, agreed upon by the parties to the framework agreement, will determine a situation of joint control by Mondadori Media and Artoni and SRH, intended to last until the approval of the financial statements for the fiscal year ending on [omissis].</w:t>
        <w:br/>
        <w:t>22. The modification of the shares of the share capital of Press-Di held by Mondadori Media and by Artoni and SRH that may result from the exercise of the option rights that these companies have mutually recognized is not suitable to modify the described governance of Press-Di, unless it involves the exit from the share capital of Press-Di [omissis]. In any case, the exercise of the option rights constitutes a merely contingent act9 and even in the event of the exercise of such rights, Mondadori Media could maintain a stake in Press-Di10. Therefore, it is not possible to predict whether, before the approval of the financial statements for the fiscal year ending on [omissis], the put options and/or call options will be exercised, with the different outcomes on the control of Press-Di mentioned above.</w:t>
        <w:br/>
        <w:t>23. In conclusion, the transfer of a 51% stake in the share capital of Press-Di from Mondadori Media to Artoni and SRH will entail a structural change in the control of Press-Di from the exclusive control of Mondadori Media to the joint control of Mondadori Media and Artoni and SRH. The new control structure is intended to last until the approval of the financial statements for the fiscal year ending on [omissis] unless there are intervening changes in the shareholding of Press-Di that would result in the exit [omissis]. However, these changes are uncertain and, in any case, not unambiguous regarding the control structure of Press-Di ([omissis]). All things considered, it must be believed that the control structure of Press-Di, which will be determined following the initial transfer of the stake, since it will remain at least until the approval of the financial statements [omissis], is durable.</w:t>
        <w:br/>
        <w:t>24. Mondadori Media and Artoni and SRH have also agreed on a non-compete agreement and a prohibition on poaching employees of Press-Di by Mondadori Media. In particular, Mondadori Media will not be able, until [omissis], in relation to the Italian territory, (i) to carry out, directly or indirectly, the activity of national distribution of daily and periodical press; (ii) to acquire or hold, directly or indirectly, stakes in companies or enterprises that carry out the aforementioned activity, except for stakes not exceeding 5% of the capital of listed companies; (iii) to hire personnel from Press-Di and to engage in activities of distraction and poaching of employees from Press-Di, without prejudice to [omissis].</w:t>
        <w:br/>
        <w:t>III. QUALIFICATION OF THE OPERATION</w:t>
        <w:br/>
        <w:t>25. The communicated operation, as it involves the acquisition of control of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fiscal year at the national level, by the group of companies involved was over 511 million euros and the total turnover achieved individually, in the last fiscal year at the national level, by at least two of the companies involved was over 31 million euros.</w:t>
        <w:br/>
        <w:t>26. The non-compete agreement and the prohibition on poaching employees described above will be the subject of further investigation during the inquiry to assess their accessory nature in relation to the notified operation.</w:t>
        <w:br/>
        <w:t>IV. EVALUATIONS</w:t>
        <w:br/>
        <w:t>IV.1. Relevant markets</w:t>
        <w:br/>
        <w:t>IV.1.a. Identification and definition of relevant markets</w:t>
        <w:br/>
        <w:t>27. Due to the activity carried out by Press-Di, whose control structure is being modified, and by Artoni and SRH, who are acquiring control of Press-Di alongside Mondadori Media, the operation in question concerns (i) the market for national distribution of daily and periodical press (hereinafter also referred to as the market for national distribution of editorial products) and (ii) multiple markets for local distribution of daily and periodical press (hereinafter also referred to as markets for local distribution of editorial products) to be identified geographically based on the scope of activity of (the distribution companies controlled by) Artoni and SRH.</w:t>
        <w:br/>
        <w:t>28. Regarding logistics services for the distribution of daily and periodical press, in this case, DI2 and some companies of the Artoni Group carry out logistics activities exclusively (or almost exclusively) for, respectively, the parent companies and other companies of the Artoni Group. It should be noted that Lazio Logistica generates a marginal part of its turnover from third parties compared to the companies of the Artoni Group: in particular, Lazio Logistica has contracted from SODIP and Press-Di (parent companies of DI2) the management of a warehouse located in Rome, where the printed editorial products for the Central-South are sorted for subsequent dispatch to the structure managed by DI211. Due to the captive nature of the logistics activities carried out at DI2 and by some companies of the Artoni group, regardless of whether a distinct market for logistics for the distribution of daily and periodical press can be identified, this would not constitute a market affected by the operation in question.</w:t>
        <w:br/>
        <w:t>29. The presence of SRH in the management of newsstands is entirely marginal considering the absolute number of outlets managed (two, through the subsidiary I Platani). Therefore, regardless of the issues strictly related to the product and geographical definition, in this case, no relevant market is identified in relation to the management of newsstands for newspapers and periodicals.</w:t>
        <w:br/>
        <w:t>30. Distribution is the set of activities aimed at supplying the outlets (newsstands and other establishments) with editorial products, daily and periodical. In the distribution chain of newspapers and periodicals, the national level and the local level are distinguished. Newspapers and periodicals are placed in the same product category, as the distribution of such products is usually joint, both at the national and local levels.</w:t>
        <w:br/>
        <w:t>31. At the local level, local distributors distribute editorial products to the outlets. Local distributors perform, among other functions, the diffusion function, that is, they define the qualitative-quantitative distribution plan of the various publications to the sales points.</w:t>
        <w:br/>
        <w:t>32. At the national level, publishers entrust editorial products to national distributors so that they can reach the outlets through local distributors; in some cases, publishers interface directly with local distributors12.</w:t>
        <w:br/>
        <w:t>33. The market for national distribution of daily and periodical press has a national geographical dimension as the readers of such products are mostly residents throughout the national territory.</w:t>
        <w:br/>
        <w:t>34. The geographical dimension of the markets for local distribution of daily and periodical press is closely related to the peculiarity of the distributed product, which must be made available to the outlets in a short time frame relative to its finalization, as well as to the morphological and logistical conditions of the territory in which distribution takes place and the density of population/outlets in the territory. Therefore, the need to deliver the product within a limited time frame determines, from time to time, the exact geographical dimension of the relevant local market, depending on the distance from the warehouses/sorting centers of the local distributors13.</w:t>
      </w:r>
    </w:p>
    <w:p>
      <w:r>
        <w:rPr>
          <w:b/>
        </w:rPr>
        <w:t>[Pages 142–144]</w:t>
      </w:r>
    </w:p>
    <w:p>
      <w:r>
        <w:t>144 BULLETIN NO. 14 OF APRIL 19, 2022</w:t>
        <w:br/>
        <w:t>35. Without prejudice to the above observations regarding the exact geographical dimension of the local markets for daily and periodical press, in the case at hand, as a first approximation – and as asserted by the notifying companies – it can be considered that the relevant local scope has a provincial dimension or that of aggregations of contiguous provinces.</w:t>
        <w:br/>
        <w:t>36. Consequently, taking into account the areas of activity of the local distributors controlled by Artoni and SRH, the local distribution markets affected by the operation in question can be identified, as a first approximation, with reference to the 29 provinces listed below:</w:t>
        <w:br/>
        <w:t>˗ Teramo, Pescara, Chieti, and L’Aquila (entire Abruzzo region) where Adriatica Press operates;</w:t>
        <w:br/>
        <w:t>˗ Ascoli Piceno, Ancona, Macerata, Fermo, and Pesaro Urbino (entire Marche region), where Adriatica Press and RG Stampa14 operate;</w:t>
        <w:br/>
        <w:t>˗ Rimini, Ravenna, Parma, Piacenza, Reggio Emilia, Modena, Bologna, and Ferrara (Emilia Romagna region), where RG Stampa, MD, and CDL15 operate;</w:t>
        <w:br/>
        <w:t>˗ Viterbo, Rieti, and Rome (Lazio region) where Tirreno Press operates; Tirreno Press also operates in four municipalities of the province of Frosinone and in the municipality of Aprilia (province of Latina);</w:t>
        <w:br/>
        <w:t>˗ Pistoia, Lucca, Massa-Carrara, Pisa, and Siena (Tuscany region) where Martini Dumas operates;</w:t>
        <w:br/>
        <w:t>˗ Mantova, Cremona, and Lodi (Lombardy region) where MD operates;</w:t>
        <w:br/>
        <w:t>˗ Rovigo (Veneto region), where CDL operates.</w:t>
        <w:br/>
        <w:t>37. The notifying companies have highlighted that the daily and periodical press sector is undergoing a systemic crisis that has led to a contraction in revenues at all levels of the supply chain. The extent of this decline can be assessed by looking at the number of local distributors in Italy, which has decreased from 63 in 2016 to 43 in September 2021 following the exit from the market of certain operators as well as some acquisition operations.</w:t>
        <w:br/>
        <w:t>IV.1.b. The sectoral regulation</w:t>
        <w:br/>
        <w:t>38. Despite the existence of pervasive and stringent regulations regarding the distribution of editorial products to protect pluralism (Law No. 416 of 1981), concerning, among other things, the publisher-distributor relationship and the distributor-retailer relationship, it is noted that the aforementioned regulations do not appear to outline rules concerning the relationship between national distributors and local distributors.</w:t>
        <w:br/>
        <w:t>39. With reference to the relationship between publishers and distributors, it is stipulated that distributors must guarantee distribution services to publishers who request them, under equal conditions with respect to the points of sale served and the copies distributed (Article 16, paragraph 1, of Law No. 416 of 198116).</w:t>
        <w:br/>
        <w:t>C10370 - MILANO PRESS/AGENZIA LOMBARDA DISTRIBUZIONE GIORNALI E RIVISTE and A525 - MARKET DISTRIBUTION OF DAILY AND PERIODICAL PRESS IN THE GENOA AND TIGULLIO AREA.</w:t>
        <w:br/>
        <w:t>14 In particular, Adriatica Press operates in the provinces of Ascoli Piceno, Ancona, Macerata, and Fermo, while RG Stampa operates in the province of Pesaro Urbino.</w:t>
        <w:br/>
        <w:t>15 In particular, RG Stampa operates in Rimini, Ravenna, Modena; MD operates in Parma, Piacenza, Reggio Emilia, and Modena; CDL operates in Bologna and Ferrara;</w:t>
        <w:br/>
        <w:t>16 “Distribution companies must guarantee, under equal conditions with respect to the points of sale served and the number of copies distributed, the distribution service to all newspapers that request it.”</w:t>
      </w:r>
    </w:p>
    <w:p>
      <w:r>
        <w:t>BULLETIN NO. 14 OF APRIL 19, 2022 145</w:t>
        <w:br/>
        <w:t>40. As for the relationship between (local) distributors and retailers, it is stipulated that17: (i) the failure to supply, or the supply in excess or deficiency, by the distributor, without reasonable justification, constitutes cases of unfair commercial practice (Article 5, letter d-quater, Legislative Decree No. 170/200118); (ii) local distributors must guarantee access to the supply of editorial products to all retailers under equal economic and commercial conditions and cannot condition the same supplies on services, costs, or additional performances at the expense of the retailers (Article 5, letter d-sexies, Legislative Decree No. 170/200119); (iii) local distributors must ensure adequate supplies to retailers, in terms of type and quantity of publications, to meet the needs of users (Article 5, letter d-septies, Legislative Decree No. 170/200120).</w:t>
        <w:br/>
        <w:t>IV.1.c. Size and structure of the national market for daily and periodical press distribution</w:t>
        <w:br/>
        <w:t>41. The size of the national market for the distribution of editorial products was, in 2020, approximately [1-2] billion euros (in terms of the value of the liquidated, that is, the cover price of the copies sold, net of returns). The market trend is decreasing: the liquidated was over [1-2] billion in 2018 and [1-2] in 2019 (Table 1). An estimate of the market size can also be derived from the number of copies distributed (Table 2), which in 2020 was approximately 859.7 million, of which 592.2 million were daily newspapers and 267.5 million were periodicals.</w:t>
        <w:br/>
        <w:t>Table 1 – Market size (liquidated, millions of euros)21</w:t>
        <w:br/>
        <w:t>2018 2019 2020</w:t>
        <w:br/>
        <w:t>Total market [1,000-2,000] [1,000-2,000] [1,000-2,000]</w:t>
        <w:br/>
        <w:t>Table 2 – National market size (number of copies distributed, year 2020)22</w:t>
        <w:br/>
        <w:t>Daily newspapers Weekly magazines Monthly magazines Total (daily and periodical)</w:t>
        <w:br/>
        <w:t>592,229,254 233,553,378 33,893,995 859,676,627</w:t>
        <w:br/>
        <w:t>42. The main national distributors, in order of market relevance (shares) are M-Dis, Press-Di, SODIP, GEDI Distribuzione S.p.A. (hereinafter, GEDI) and MEPE Distribuzione Editoriale S.p.A. (hereinafter, MEPE). As can be seen in Table 3, M-Dis is the leading market operator with a share exceeding 30% in the period 2018-2020. Press-Di is the second operator with a share that exceeded 20% in 2020, showing a consistently growing trend over the three-year period considered.</w:t>
        <w:br/>
        <w:t>Table 3 – Market shares of the main operators (percentage)23</w:t>
        <w:br/>
        <w:t>2018 2019 2020</w:t>
        <w:br/>
        <w:t>M-Dis [30-35%] [30-35%] [30-35%]</w:t>
        <w:br/>
        <w:t>Press-Di [15-20%] [15-20%] [20-25%]</w:t>
        <w:br/>
        <w:t>SODIP [20-25%] [20-25%] [15-20%]</w:t>
        <w:br/>
        <w:t>GEDI [10-15%] [10-15%] [10-15%]</w:t>
        <w:br/>
        <w:t>MEPE [1-5%] [1-5%] [1-5%]</w:t>
        <w:br/>
        <w:t>Other distributors [1-5%] [1-5%] [1-5%]</w:t>
        <w:br/>
        <w:t>Other daily newspapers [10-15%] [10-15%] [10-15%]</w:t>
        <w:br/>
        <w:t>43. Press-Di derives approximately [25-50%] of its revenues from the distribution of periodicals published by Mondadori and the remaining approximately [50-75%] from the distribution of daily and periodical newspapers published by third parties. Among the periodical publishers that have entrusted Press-Di with the distribution of their products are Sergio Bonelli Editore and RBA. Among the daily newspapers (all published by third parties with respect to Mondadori) whose distribution is entrusted to Press-Di are Corriere dello Sport, Tuttosport, Il Giornale, Libero, La Verità, and il Fatto Quotidiano.</w:t>
        <w:br/>
        <w:t>IV.1.d. Size and structure of the local markets for daily and periodical press distribution</w:t>
        <w:br/>
        <w:t>a) Premise</w:t>
        <w:br/>
        <w:t>44. The parties have provided estimates of the size, in terms of liquidated (i.e., copies sold and, therefore, net of returns), of the local distribution markets for editorial products in which they are active. These estimates are based on the knowledge that the parties have of the individual markets by virtue of their activity as local distributors24.</w:t>
        <w:br/>
        <w:t>45. The size of the individual local markets can also be estimated using data from Accertamenti Diffusione Stampa S.r.l. – ADS (hereinafter, ADS)25.</w:t>
        <w:br/>
        <w:t>23 See doc. B1 (notification form).</w:t>
        <w:br/>
        <w:t>24 It follows that, in some cases, the estimates provided give a partial view of the markets, both because local distributors may not have mandates from all national distributors (or at least the main ones) for a given area, and because the same distributors may only cover part of a given provincial geographical area (the geographical dimension of the markets being defined, as a first approximation, as provincial).</w:t>
        <w:br/>
        <w:t>25 The ADS survey concerns the distribution of editorial products (daily and periodical) and, therefore, considers not only sales at retail outlets (i.e., the liquidated) but also direct and subscription sales (which are not included in the liquidated). Conversely, the ADS survey does not cover all publications of daily and periodical newspapers but only those that request (from ADS) the certification of distribution data.</w:t>
      </w:r>
    </w:p>
    <w:p>
      <w:r>
        <w:rPr>
          <w:b/>
        </w:rPr>
        <w:t>[Pages 145–147]</w:t>
      </w:r>
    </w:p>
    <w:p>
      <w:r>
        <w:t>BULLETIN NO. 14 OF APRIL 19, 2022 147</w:t>
        <w:br/>
        <w:t>46. Since both estimates have limitations, the following points will report ranges of values, with a lower value and an upper value, derived from the data of the liquidated (provided by the parties) and the distributed (from ADS source), relating to 2020. In some cases, specifically for the markets in which Tirreno Press operates, and where Agenzia Romana operated, and for some of the markets in which MD operates, only the data of the distributed is reported as the liquidated data provided by the parties gives a partial view, considering the totality of the publications distributed by the local distributors controlled by Artoni and SRH and the geographical extent of the activities of the same distributors.</w:t>
        <w:br/>
        <w:t>47. Regarding the structure of the markets and, in particular, the position held by Artoni and SRH through the controlled companies, it is highlighted that such a position is also the result of a series of acquisitions of distribution mandates from competing local distributors and control shares of competing companies (external growth), as well as the direct assignment of distribution mandates from national distributors (internal growth). In particular, Adriatica Press has made ten acquisitions of mandates from other local distributors, in the period from 2013 to 2017; furthermore, Adriatica Press acquired (the entirety of the share capital of) RG Stampa in 2019 and Tirreno Press acquired (the entirety of the share capital of) Agenzia Romana between 2019 and 2020; finally, in 2022 RG Stampa acquired CDL26. SRH acquired, in 2019, the competing local distributor Adg Menta S.r.l.27.</w:t>
        <w:br/>
        <w:t>b) Local markets present in Abruzzo</w:t>
        <w:br/>
        <w:t>48. Adriatica Press carries out the distribution of editorial products in the Abruzzo region and specifically, in the provinces of Teramo, Pescara, Chieti, and L’Aquila. Table 4 shows the estimates of the lower and upper values of the volume size of the corresponding local distribution markets of editorial products, relating to 2020.</w:t>
        <w:br/>
        <w:t>Table 4 – Volume size of the markets in the Abruzzo region where Adriatica Press is active (number of copies distributed/liquidated, year 2020)28</w:t>
        <w:br/>
        <w:t>Lower value Upper value</w:t>
        <w:br/>
        <w:t>Pescara [2,500,000-3,000,000] [5,000,000-5,500,000]</w:t>
        <w:br/>
        <w:t>Chieti [2,000,000-2,500,000] [5,500,000-6,000,000]</w:t>
        <w:br/>
        <w:t>Teramo [2,000,000-2,500,000] [4,500,000-5,000,000]</w:t>
        <w:br/>
        <w:t>L'Aquila [2,500,000-3,000,000] [5,000,000-5,500,000]</w:t>
        <w:br/>
        <w:t>49. In the aforementioned areas, there are no other local distributors operating, and therefore, Artoni (through Adriatica Press and RG Stampa) holds a monopoly position. Among the local distributors operating in neighboring areas are Tirreno Press (in the provinces of Rome and Rieti), which is also part of the Artoni Group, and Adriatica Press itself (in the Marche) which is part of the same group of companies to which Adriatica Press belongs (Artoni). Also neighboring are Diffusione 26 Cfr. doc. B12 (response from Mondadori Media, Artoni, and SRH of March 14, 2022).</w:t>
        <w:br/>
        <w:t>27 Cfr. doc. B12 (response from Mondadori Media, Artoni, and SRH of March 14, 2022) and article in La Repubblica “Parma, Menta leaves the distribution of newspapers” of March 6, 2019.</w:t>
        <w:br/>
        <w:t>28 Cfr. doc. B1 (notification form).</w:t>
      </w:r>
    </w:p>
    <w:p>
      <w:r>
        <w:t>148 BULLETIN NO. 14 OF APRIL 19, 2022</w:t>
        <w:br/>
        <w:t>Terra di Lavoro S.r.l. (in both provinces of the Molise region), Zamparelli Leopoldo S.r.l. (in the province of Frosinone), and Conti Distribuzione Stampa S.r.l. (in both provinces of the Umbria region).</w:t>
        <w:br/>
        <w:t>c) Local markets present in the Marche</w:t>
        <w:br/>
        <w:t>50. Adriatica Press carries out the distribution of editorial products in the Marche region and specifically, in the provinces of Ascoli Piceno, Ancona, Macerata, and Fermo. Additionally, RG Stampa (100% controlled by Adriatica Press) carries out distribution activities of editorial products in the province of Pesaro Urbino. Table 5 shows the estimates of the lower and upper values of the volume size of the corresponding local distribution markets of editorial products, relating to 2020.</w:t>
        <w:br/>
        <w:t>Table 5 – Volume size of the markets in the Marche region where Adriatica Press is active (number of copies distributed/liquidated, year 2020)29</w:t>
        <w:br/>
        <w:t>Lower value Upper value</w:t>
        <w:br/>
        <w:t>Ancona [7,500,000-8,000,000] [8,000,000-8,500,000]</w:t>
        <w:br/>
        <w:t>Ascoli Piceno [3,000,000-3,500,000] [3,000,000-3,500,000]</w:t>
        <w:br/>
        <w:t>Fermo [2,000,000-2,500,000] [2,000,000-2,500,000]</w:t>
        <w:br/>
        <w:t>Macerata [3,500,000-4,000,000] [4,500,000-5,000,000]</w:t>
        <w:br/>
        <w:t>Pesaro Urbino [6,500,000-7,000,000] [11,500,000-12,000,000]</w:t>
        <w:br/>
        <w:t>51. In the aforementioned areas, there are no other local distributors operating, and therefore, Artoni (through Adriatica Press and RG Stampa) holds a monopoly position. Among the local distributors operating in neighboring areas are Martini Dumas (in the province of Pistoia), which is controlled by SRH, Tirreno Press (in the provinces of Rome and Rieti), which is part of the same Artoni Group, Adriatica Press itself (in the Abruzzo region), and RG Stampa itself (in Emilia Romagna). Also neighboring are: Conti Distribuzione Stampa S.r.l. (in both provinces of the Umbria region), Giorgio Giorgi S.r.l. (in the provinces of Florence and Prato), and S/D Siena Distribuzione S.r.l. (in the province of Arezzo).</w:t>
        <w:br/>
        <w:t>d) Local markets present in Emilia Romagna and neighboring areas</w:t>
        <w:br/>
        <w:t>52. Artoni operates in Emilia Romagna with several companies. In particular, RG Stampa carries out activities in the provinces of Rimini, Forlì Cesena, Ravenna, and Modena30. CDL is active in the provinces of Bologna, Ferrara, and (some municipalities in the province of) Ravenna31. Additionally, MD carries out distribution activities of editorial products in the areas of Parma, Piacenza, Modena (Sassuolo and some municipalities in the mountainous areas), and Reggio Emilia. The estimates of the lower and upper values of the volume size of the corresponding local distribution markets of editorial products, relating to 2020, are reported in Table 6.</w:t>
        <w:br/>
        <w:t>29 Cfr. doc. B1 (notification form).</w:t>
        <w:br/>
        <w:t>30 In the province of Modena, MD is also active. In the province of Ravenna, CDL is also active.</w:t>
        <w:br/>
        <w:t>31 In the province of Ravenna, RG Stampa is also active.</w:t>
      </w:r>
    </w:p>
    <w:p>
      <w:r>
        <w:t>BULLETIN NO. 14 OF APRIL 19, 2022 149</w:t>
        <w:br/>
        <w:t>Table 6 – Volume size of the local markets of Emilia Romagna (RG Stampa, CDL, and MD) (number of copies distributed/liquidated, year 2020)32</w:t>
        <w:br/>
        <w:t>Lower value Upper value</w:t>
        <w:br/>
        <w:t>Modena [12,000,000-12,500,000] [18,500,000-19,000,000]</w:t>
        <w:br/>
        <w:t>Ravenna [8,000,000-8,500,000] [9,000,000-9,500,000]</w:t>
        <w:br/>
        <w:t>Rimini- Forlì Cesena [7,500,000-8,000,000] [19,500,000-20,000,000]</w:t>
        <w:br/>
        <w:t>Parma [12,500,000-13,000,000] [15,000,000-15,500,000]</w:t>
        <w:br/>
        <w:t>Piacenza [7,500,000-8,000,000] [9,000,000-9,500,000]</w:t>
        <w:br/>
        <w:t>Reggio Emilia [10,500,000-11,000,000] [11,000,000-11,500,000]</w:t>
        <w:br/>
        <w:t>Bologna [12,500,000-13,000,000] [23,500,000-24,000,000]</w:t>
        <w:br/>
        <w:t>Ferrara [7,500,000-8,000,000] [7,500,000-8,000,000]</w:t>
        <w:br/>
        <w:t>53. In the aforementioned areas, there are no other local distributors operating, and therefore, RG Stampa, MD, and CDL hold a monopoly position33. Among the local distributors operating in neighboring areas are Martini Dumas (Tuscany) and Adriatica Press (Marche) which are attributable to the same entity acquiring control (namely, Artoni, along with SRH). Also neighboring are Giorgio Giorgi S.r.l. (in the provinces of Florence and Prato), Casmon S.a.s. di Lorenzo Mantovani (in the province of La Spezia), Liguria Press S.r.l. (in the province of Genoa), SEAL S.p.A. (in part of the province of Alessandria), Macri Distribuzione Stampa S.p.A. (in the province of Pavia and in part of the province of Alessandria), Canesi Diffusione S.r.l. (in the provinces of Lodi and Cremona) and Diffusione@Logistica Brescia S.p.A. (in the province of Mantova).</w:t>
        <w:br/>
        <w:t>54. With reference to the areas neighboring the Emilia Romagna region, it should be noted that MD carries out distribution activities only in some municipalities of Mantova, Cremona, and Lodi bordering the territories of Emilia Romagna, where it is active as a local distributor. Table 7 shows estimates of the volume size based on distribution data from ADS34. In only one municipality is there, in addition to MD, another local distributor (not attributable to Artoni or SRH)35. Therefore, MD holds a near-monopoly position in the areas of activity in question.</w:t>
        <w:br/>
        <w:t>32 Cfr. doc. B1 (notification form).</w:t>
        <w:br/>
        <w:t>33 In the province of Modena, MD is also active, of the same Artoni group.</w:t>
        <w:br/>
        <w:t>34 Regarding the local distribution market of editorial products in the province of Modena, see Table 4.</w:t>
        <w:br/>
        <w:t>35 This is Canesi Diffusione S.r.l. in the Municipality of Casalasco (province of Cremona).</w:t>
      </w:r>
    </w:p>
    <w:p>
      <w:r>
        <w:rPr>
          <w:b/>
        </w:rPr>
        <w:t>[Pages 148–150]</w:t>
      </w:r>
    </w:p>
    <w:p>
      <w:r>
        <w:t>150 BULLETIN NO. 14 OF APRIL 19, 2022</w:t>
        <w:br/>
        <w:t>Table 7 - Volume size of the markets in the provinces of Mantova, Cremona, and Lodi (number of copies distributed, year 2020)36</w:t>
        <w:br/>
        <w:t>Number of copies distributed</w:t>
        <w:br/>
        <w:t>Mantova [10,000,000-10,500,000]</w:t>
        <w:br/>
        <w:t>Cremona [9,000,000-9,500,000]</w:t>
        <w:br/>
        <w:t>Lodi [2,500,000-3,000,000]</w:t>
        <w:br/>
        <w:t>e) Local markets present in Veneto</w:t>
        <w:br/>
        <w:t>55. CDL is active in the market for the distribution of editorial products in the Veneto region and, in particular, in the province of Rovigo. Table 8 provides estimates of the lower and upper values of the volume size of the corresponding local market for the distribution of daily and periodical press.</w:t>
        <w:br/>
        <w:t>Table 8 – Volume size of the markets in the province of Rovigo (number of copies distributed/liquidated, year 2020)37</w:t>
        <w:br/>
        <w:t>Lower value Upper value</w:t>
        <w:br/>
        <w:t>Rovigo [3,000,000-3,500,000] [5,000,000-5,500,000]</w:t>
        <w:br/>
        <w:t>56. In the areas of competence of CDL, there are no other local distributors operating, and therefore, CDL holds a monopoly position. Among the local distributors operating in the neighboring areas are CDL and MD (both in Emilia Romagna), companies attributable to the same entity that acquires control (namely, Artoni, together with SRH). Also neighboring are Chiminelli S.p.A. (in the provinces of Padova and Verona) and DIS-PE Distribuzione Prodotti Editoriali S.r.l. (in the province of Venezia).</w:t>
        <w:br/>
        <w:t>f) Local markets in Tuscany</w:t>
        <w:br/>
        <w:t>57. Martini Dumas operates as a local distributor of editorial products in the Tuscany region and, specifically, in the areas of Pistoia, Lucca, Massa-Carrara, Pisa, and Chianciano (province of Siena). Table 9 provides estimates of the lower and upper values of the volume size of the corresponding local markets for the distribution of editorial products, for the year 2020.</w:t>
        <w:br/>
        <w:t>38 Cf. doc. B1 (notification form).</w:t>
        <w:br/>
        <w:t>39 Cf. doc. B1 (notification form).</w:t>
      </w:r>
    </w:p>
    <w:p>
      <w:r>
        <w:t>BULLETIN NO. 14 OF APRIL 19, 2022 151</w:t>
        <w:br/>
        <w:t>Table 9 – Volume size of the markets in which Martini Dumas is active (number of copies distributed/liquidated, year 2020)38</w:t>
        <w:br/>
        <w:t>Lower value Upper value</w:t>
        <w:br/>
        <w:t>Pistoia [4,000,000-4,500,000] [6,500,000-7,000,000]</w:t>
        <w:br/>
        <w:t>Lucca [7,500,000-8,000,000] [10,500,000-11,000,000]</w:t>
        <w:br/>
        <w:t>Massa-Carrara [2,500,000-3,000,000] [3,500,000-4,000,000]</w:t>
        <w:br/>
        <w:t>Pisa [3,000,000-3,500,000] [6,000,000-6,500,000]</w:t>
        <w:br/>
        <w:t>Siena [1,500,000-2,000,000] [4,000,000-4,500,000]</w:t>
        <w:br/>
        <w:t>58. In only three municipalities, in addition to Martini Dumas, there is another local distributor (not attributable to Artoni or SRH)39. Therefore, Martini Dumas holds a near-monopoly position in the areas of activity. Among the local distributors operating in the neighboring areas are Tirreno Press (Lazio), CDL, and MD (Emilia Romagna), which can be traced back to the same entity that acquires control (namely, Artoni, together with SRH). Also neighboring are Conti Distribuzione Stampa S.r.l. (in both provinces of the Umbria region), Giorgio Giorgi S.r.l. (in the provinces of Firenze and Prato), and S/D Siena Distribuzione S.r.l. (in the provinces of Arezzo and Grosseto and part of the province of Siena), Masini &amp; Santini Distribuzione S.r.l. (in the province of Livorno), and Casmon S.a.s. di Lorenzo Mantovani (in the province of La Spezia).</w:t>
        <w:br/>
        <w:t>g) Local markets in Lazio</w:t>
        <w:br/>
        <w:t>59. Tirreno Press engages in the distribution of editorial products in the Lazio region and, specifically, in the provinces of Viterbo, Rieti, and Rome. Tirreno Press is also active in four municipalities in the province of Frosinone (Filettino, La Forma, Serrone, and Trevi nel Lazio) and in the municipality of Aprilia (province of Latina). Table 10 provides estimates of the size of the respective local markets for the distribution of editorial products based on the (ADS) data on the distribution of publications in 2020.</w:t>
        <w:br/>
        <w:t>Table 10 – Volume size of the markets in which Tirreno Press and Agenzia Romana are active (number of copies distributed, year 2020)40</w:t>
        <w:br/>
        <w:t>Number of copies distributed</w:t>
        <w:br/>
        <w:t>Rome [54,000,000-54,500,000]</w:t>
        <w:br/>
        <w:t>Rieti [1,500,000-2,000,000]</w:t>
        <w:br/>
        <w:t>Viterbo [3,000,000-3,500,000]</w:t>
        <w:br/>
        <w:t>38 Cf. doc. B1 (notification form).</w:t>
        <w:br/>
        <w:t>39 This refers to Giorgio Giorgi S.r.l., in the municipalities of Quarrata and Lamporecchio (province of Pistoia), and Casmon S.a.s. di Lorenzo Mantovani, in the municipality of Carrara.</w:t>
        <w:br/>
        <w:t>40 Cf. doc. B1 (notification form).</w:t>
      </w:r>
    </w:p>
    <w:p>
      <w:r>
        <w:t>152 BULLETIN NO. 14 OF APRIL 19, 2022</w:t>
        <w:br/>
        <w:t>60. In the area of activity of Tirreno Press, four local distributors operate:</w:t>
        <w:br/>
        <w:t>˗ Servizi Italia 15 S.r.l., which is part of the Caltagirone Editore Group, distributes Il Messaggero and other newspapers of the aforementioned group in the urban area of Rome;</w:t>
        <w:br/>
        <w:t>˗ S/D Siena Distribuzione S.r.l., Zamparelli Leopoldo S.r.l., and Zeta S.r.l., which according to the notifying companies are attributable to a single group of companies41, distribute the publications managed by M-Dis; in particular, Zeta S.r.l. has been distributing the publications managed by M-Dis in the urban area of Rome since 2020, following the termination of mandates to the previous local distributor (Eagle Press); S/D Siena Distribuzione S.r.l. and Zamparelli Leopoldo S.r.l. have been distributing the publications managed by M-Dis in the remaining areas of activity of Tirreno Press since June 1, 2021, following the termination of mandates to Tirreno Press by M-Dis.</w:t>
        <w:br/>
        <w:t>61. Tirreno Press distributes the publications managed by Press-Di and GEDI. Outside the urban area of Rome, the Caltagirone Editore Group, which publishes (among others) the newspaper Il Messaggero, mostly entrusts the local distribution of its publications to Tirreno Press; only in the province of Viterbo is the distribution of the aforementioned newspapers entrusted to S/D Siena Distribuzione S.r.l. The national distributors SODIP and MEPE entrust the local distribution of the publications managed, in certain areas, to Tirreno Press and in other areas to S/D Siena Distribuzione S.r.l. and Zamparelli Leopoldo S.r.l.</w:t>
        <w:br/>
        <w:t>62. Based on the described allocation of the mandates of the national distributors and taking into account the market shares of the national distributors, it can therefore be considered that Tirreno Press is the main local distributor in the reference areas. Among the local distributors operating in the neighboring areas is Adriatica Press, which is part of the same group as Tirreno Press (Artoni).</w:t>
        <w:br/>
        <w:t>63. Table 11 presents the joint market shares of Tirreno Press and Agenzia Romana, in 2020, estimated based on the liquidated data of these operators and the size of the markets (in terms of distribution). These estimates confirm that Tirreno Press (which since May 1, 2021 has taken over the mandates that were of Agenzia Romana) is the leading operator and also highlight the absolute relevance of the respective market shares, which exceed 45% in the local distribution market of editorial products in the province of Viterbo and go beyond 70% and 85% respectively in the local distribution markets of editorial products in the provinces of Rome and Rieti.</w:t>
        <w:br/>
        <w:t>41 The share capital of the companies in question is held, either entirely or largely majority, by three individuals: Zamparelli Alessandro, Zamparelli Marco, and Zamparelli Nadia. Zamparelli Alessandro, Zamparelli Marco, Zamparelli Matteo, and Zamparelli Nadia hold respectively 39%, 24.5%, 24.5%, and 10% of the share capital of Zeta S.r.l.; the remaining capital is held by S/D Siena Distribuzione S.r.l. (1%) and Zamparelli Leopoldo S.r.l. (1%). Zamparelli Alessandro and Zamparelli Nadia hold respectively 68% and 15% of the share capital of S/D Siena Distribuzione S.r.l.; the remaining share capital is held by two individuals who do not hold other shares. Zamparelli Marco holds 80% of Zamparelli Leopoldo S.r.l.; the remaining 20% is held by I&amp;SE S.r.l., whose share capital is held equally by Zamparelli Marco and Zamparelli Leopoldo S.r.l.</w:t>
      </w:r>
    </w:p>
    <w:p>
      <w:r>
        <w:rPr>
          <w:b/>
        </w:rPr>
        <w:t>[Pages 151–153]</w:t>
      </w:r>
    </w:p>
    <w:p>
      <w:r>
        <w:t>BULLETIN NO. 14 OF APRIL 19, 2022 153</w:t>
        <w:br/>
        <w:t>Table 11 – Joint market share in volume of Tirreno Press and Agenzia Roma, year 202042</w:t>
        <w:br/>
        <w:t>Market share</w:t>
        <w:br/>
        <w:t>Rome [70-75%]</w:t>
        <w:br/>
        <w:t>Rieti [85-90%]</w:t>
        <w:br/>
        <w:t>Viterbo [45-50%]</w:t>
        <w:br/>
        <w:t>64. The market position of Tirreno Press in Lazio is the result of an expansion phase that began in 2016. In particular, between 2016 and 2017, Tirreno Press acquired distribution mandates from three competing companies and acquired Agenzia Romana43 (external growth); subsequently, Tirreno Press obtained distribution mandates for the urban area of Rome from the national distributors Press-Di (May 2019) and GEDI (March 2020) as well as for the daily Il Tempo (April 2020)44.</w:t>
        <w:br/>
        <w:t>h) The local markets involved</w:t>
        <w:br/>
        <w:t>65. Ultimately, as shown in Table 12, the local areas in which Artoni-SRH operate as local distributors cover a large part of central-northern Italy. In these local areas, Artoni and SRH hold monopoly (or near-monopoly) positions, except for the provinces of the Lazio region, where the shares held are still very high and, in any case, exceed 45%.</w:t>
        <w:br/>
        <w:t>42 See doc. B1 (notification form).</w:t>
        <w:br/>
        <w:t>43 As of May 1, 2021, Tirreno Press manages the mandates of Agenzia Romana covering the metropolitan area of Rome. Agenzia Romana, after ceasing distribution activities with the transfer of mandates to Tirreno Press, is only involved in logistics.</w:t>
        <w:br/>
        <w:t>44 See doc. B12 (response from Mondadori Media, Artoni, and SRH of March 14, 2022).</w:t>
      </w:r>
    </w:p>
    <w:p>
      <w:r>
        <w:t>154 BULLETIN NO. 14 OF APRIL 19, 2022</w:t>
        <w:br/>
        <w:t>Table 12 – Provincial areas of operation of Artoni and SRH and the position held</w:t>
        <w:br/>
        <w:t>Company</w:t>
        <w:br/>
        <w:t>Province Region Present monopolist</w:t>
        <w:br/>
        <w:t>Pescara Abruzzo Adriatica Press Yes</w:t>
        <w:br/>
        <w:t>Chieti Abruzzo Adriatica Press Yes</w:t>
        <w:br/>
        <w:t>Teramo Abruzzo Adriatica Press Yes</w:t>
        <w:br/>
        <w:t>L'Aquila Abruzzo Adriatica Press Yes</w:t>
        <w:br/>
        <w:t>Ancona Marche Adriatica Press Yes</w:t>
        <w:br/>
        <w:t>Ascoli Piceno Marche Adriatica Press Yes</w:t>
        <w:br/>
        <w:t>Fermo Marche Adriatica Press Yes</w:t>
        <w:br/>
        <w:t>Macerata Marche Adriatica Press Yes</w:t>
        <w:br/>
        <w:t>Pesaro Urbino Marche RG Stampa Yes</w:t>
        <w:br/>
        <w:t>Modena Emilia Romagna RG Stampa and MD Yes</w:t>
        <w:br/>
        <w:t>RG Stampa and</w:t>
        <w:br/>
        <w:t>Ravenna Emilia Romagna Yes</w:t>
        <w:br/>
        <w:t>CDL</w:t>
        <w:br/>
        <w:t>Rimini, Forlì Cesena Emilia Romagna RG Stampa Yes</w:t>
        <w:br/>
        <w:t>Parma Emilia Romagna MD Yes</w:t>
        <w:br/>
        <w:t>Piacenza Emilia Romagna MD Yes</w:t>
        <w:br/>
        <w:t>Reggio Emilia Emilia Romagna MD Yes</w:t>
        <w:br/>
        <w:t>Bologna Emilia Romagna CDL Yes</w:t>
        <w:br/>
        <w:t>Ferrara Emilia Romagna CDL Yes</w:t>
        <w:br/>
        <w:t>Yes (present in a limited number of</w:t>
        <w:br/>
        <w:t>Mantova Lombardia MD</w:t>
        <w:br/>
        <w:t>municipalities in the province)</w:t>
        <w:br/>
        <w:t>Yes (present in a limited number of</w:t>
        <w:br/>
        <w:t>Cremona Lombardia MD</w:t>
        <w:br/>
        <w:t>municipalities in the province)</w:t>
        <w:br/>
        <w:t>Yes (present in a limited number of</w:t>
        <w:br/>
        <w:t>Lodi Lombardia MD</w:t>
        <w:br/>
        <w:t>municipalities in the province)</w:t>
        <w:br/>
        <w:t>Rovigo Veneto CDL Yes</w:t>
        <w:br/>
        <w:t>Pistoia Toscana Martini Dumas Yes</w:t>
        <w:br/>
        <w:t>Lucca Toscana Martini Dumas Yes</w:t>
        <w:br/>
        <w:t>Massa-Carrara Toscana Martini Dumas Yes</w:t>
        <w:br/>
        <w:t>Yes (present in a reduced number of</w:t>
        <w:br/>
        <w:t>Pisa Toscana Martini Dumas</w:t>
        <w:br/>
        <w:t>municipalities in the province)</w:t>
        <w:br/>
        <w:t>Yes (present in a reduced number of</w:t>
        <w:br/>
        <w:t>Siena Toscana Martini Dumas</w:t>
        <w:br/>
        <w:t>municipalities in the province)</w:t>
        <w:br/>
        <w:t>Rome Lazio Tirreno Press No (market share above 70%)</w:t>
        <w:br/>
        <w:t>Rieti Lazio Tirreno Press No (market share above 85%)</w:t>
        <w:br/>
        <w:t>Viterbo Lazio Tirreno Press No (market share above 45%)</w:t>
      </w:r>
    </w:p>
    <w:p>
      <w:r>
        <w:t>BULLETIN NO. 14 OF APRIL 19, 2022 155</w:t>
        <w:br/>
        <w:t>66. It remains understood that the market power enjoyed by Artoni and SRH depends on their position in the individual markets of local distribution of editorial products, thanks to the presence and market position in the various local markets mentioned above, Artoni and SRH manage to intermediate about [20-30%] of the liquidated amount at the national level45. In particular, the total liquidated amount of local distributors controlled by Artoni and SRH represented [20-25%] of the total liquidated amount in 2018, [20-25%] in 2019, and [25-30%] in 2020 (Table 13). These percentages can be considered a measure of the relevance that the local distribution activity of editorial products carried out by Artoni and SRH has, overall, on the activity of national distributors and/or publishers.</w:t>
        <w:br/>
        <w:t>Table 13 – Liquidated amount of Artoni and SRH compared to the total liquidated amount (percentage)46</w:t>
        <w:br/>
        <w:t>2018 2019 2020</w:t>
        <w:br/>
        <w:t>[20-25%] [20-25%] [25-30%]</w:t>
        <w:br/>
        <w:t>67. Finally, it should be noted that the concentration operation could have effects in other local markets of daily and periodical press distribution, both adjacent and non-adjacent to the areas where Artoni and SRH operate, as the concentration operation could strengthen Artoni and SRH and allow the exercise of bargaining power and market position to expand the geographical scope of operation. In this sense, all local markets of local distribution of daily and periodical press appear to be affected by the concentration operation.</w:t>
        <w:br/>
        <w:t>IV.2. The effects of the operation</w:t>
        <w:br/>
        <w:t>68. The operation in question results in the acquisition of control (joint) of a national distributor of daily and periodical press, Press-Di, by a subject that controls several local distributors (Artoni and SRH). Press-Di is not active in the local distribution of daily and periodical press, and Artoni and SRH are not active in the national distribution of daily and periodical press. Therefore, the operation in question presents effects of an essentially vertical nature, traceable in the relationship between national distributors and local distributors of periodicals and dailies.</w:t>
        <w:br/>
        <w:t>69. Artoni and SRH hold, through the controlled distributors, dominant positions in the markets of local distribution of daily and periodical press in which they are active. In fact, as highlighted above, the local distributors in question are generally in a monopoly and near-monopoly position, with shares of 100% or very close to that value, being the only ones active in their respective areas of operation.</w:t>
        <w:br/>
        <w:t xml:space="preserve">70. The only exception to the described market structure is Tirreno Press (which also manages the mandates entrusted until May 2021 to Agenzia Romana) which competes, in the areas of competence, with other local distributors. That said, Tirreno Press is, in the areas of competence, the main distributor, </w:t>
        <w:br/>
        <w:t>45 See Table 1.</w:t>
        <w:br/>
        <w:t>46 Elaborations based on data contained in doc. B1 (notification form) and in doc. B12 (response from Mondadori Media, Artoni, and SRH of March 14, 2022).</w:t>
      </w:r>
    </w:p>
    <w:p>
      <w:r>
        <w:rPr>
          <w:b/>
        </w:rPr>
        <w:t>[Pages 154–156]</w:t>
      </w:r>
    </w:p>
    <w:p>
      <w:r>
        <w:t>156 BULLETIN NO. 14 OF APRIL 19, 2022</w:t>
        <w:br/>
        <w:t>with significant shares both in the local distribution market of daily and periodical press in the province of Viterbo (share over 45%), and in the markets of the provinces of Rome (share over 70%) and Rieti (share over 85%). Furthermore, Tirreno Press holds in the area of Rome a logistics structure of certain relevance for the distribution activities of editorial products, to the extent that it is (also) used as a sorting center by the national distributors Press-Di and SODIP.</w:t>
        <w:br/>
        <w:t>71. The acquisition of (joint) control of Press-Di appears prima facie capable of strengthening the aforementioned dominant positions at the local level. In fact, Press-Di is the second national distributor by turnover, distributing (among other publications) nationally significant newspapers such as Corriere dello Sport, Tuttosport, Il Giornale, Libero, La Verità, and il Fatto Quotidiano. The ability to significantly influence the allocation of Press-Di's mandates would represent an important competitive lever for Artoni and SRH against third-party local distributors and against national distributors (other than Press-Di).</w:t>
        <w:br/>
        <w:t>72. The concentration operation could, therefore, lead to two types of vertical exclusionary effects: the first concerning local distributors present in territorial areas where Artoni and SRH are not yet operational, the second concerning competing national distributors of Press-Di. These effects would add to the more immediate one, consisting of the drastic reduction of potential competition from third-party local distributors, who would not be able to contest Press-Di's mandates to Artoni and SRH.</w:t>
        <w:br/>
        <w:t>IV.2.a. Exclusionary effects towards local distributors in areas different from those in which Artoni and SRH operate</w:t>
        <w:br/>
        <w:t>73. In recent years, the markets for local and national distribution of daily and periodical press have been experiencing a continuous contraction in activity levels. In this context, the termination of a mandate from a national distributor to a local distributor can compromise the profitability of the latter, if the national distributor has a significant position.</w:t>
        <w:br/>
        <w:t>74. In this case, in light of the control that will be acquired by Artoni, together with SRH, over Press-Di, the entity resulting from the concentration could revoke (or threaten to revoke) Press-Di's mandates towards third-party local distributors. This would be aimed at supporting the territorial expansion of Artoni and SRH or to prevent third-party local distributors from entering or strengthening in the areas where Artoni and SRH operate (or intend to operate).</w:t>
        <w:br/>
        <w:t>75. The revocation, whether actual or threatened, of Press-Di's mandates could occur both with respect to areas adjacent to those in which Artoni and SRH are currently present, and with respect to non-adjacent areas. The hypothesized exclusionary strategy depends, in fact, on the circumstance that the loss of the newspapers and periodicals distributed by Press-Di is sufficient to create an economic imbalance for local distributors.</w:t>
        <w:br/>
        <w:t>76. The new entity would have both the capacity (related to the incidence of the printed products distributed by Press-Di) and the incentive (related to the expansion of local distributor activity) to implement such an exclusionary procurement strategy.</w:t>
        <w:br/>
        <w:t>77. The implementation of the hypothesized exclusionary strategy would harm competitive dynamics in local distribution markets as it would undermine competition based on merits. Furthermore, the potential competition represented by third-party local distributors would be further reduced, whose ability to contest the local distribution markets to Artoni and SRH would already be diminished by the strengthening of the dominant position of the latter.</w:t>
        <w:br/>
        <w:t>IV.2.b. Exclusionary effects towards competing national distributors of Press-Di</w:t>
        <w:br/>
        <w:t>78. Regarding the second vertical aspect, it should be noted that competing national distributors of Press-Di rely on Artoni and SRH in various local areas, where these local distributors are essentially monopolists or hold a position of absolute relevance, as in the case of the areas served by Tirreno Press in Lazio.</w:t>
        <w:br/>
        <w:t>79. The entity resulting from the concentration operation could have both the capacity and the incentive to implement exclusionary conduct regarding outlets, either partially or totally, towards competing national distributors of Press-Di by refusing them local distribution or applying less favorable conditions in the areas served by Artoni and SRH.</w:t>
        <w:br/>
        <w:t>80. With respect to capacity, it suffices to note that, in large areas of central and northern Italy, Artoni and SRH are essentially the only local distributors or, in any case, hold positions of absolute relevance.</w:t>
        <w:br/>
        <w:t>81. Regarding the incentive to implement exclusionary conduct regarding outlets for national distributors, it is observed that the new entity could benefit from a weakening of competing national distributors, either by acquiring new mandates from publishers or by obtaining higher revenues and/or lower costs (by demanding higher fees for local distribution services and/or reducing the quality of the same services).</w:t>
        <w:br/>
        <w:t>82. The hypothesized exclusionary strategy regarding outlets, whether total or partial, could cause harm to competition in the national distribution market by undermining competition based on merits, resulting in a weakening of the competitive constraint represented by national distributors other than Press-Di.</w:t>
        <w:br/>
        <w:t>IV.2.c. Conclusions</w:t>
        <w:br/>
        <w:t>83. In conclusion, the concentration operation under examination appears prima facie capable of strengthening the dominant position of Artoni and SRH in the local distribution markets of editorial products in which these operators are present, with anticompetitive effects in the national market for the distribution of daily and periodical press and in the local distribution markets of daily and periodical press throughout the national territory.</w:t>
        <w:br/>
        <w:t>CONSIDERING, therefore, that the operation in question is likely to determine, pursuant to Article 6 of Law No. 287/90, the creation or strengthening of a dominant position in the local distribution markets of daily and periodical press in which Artoni and SRH are present, such as to eliminate or substantially and durably reduce competition in the national market for the distribution of daily and periodical press and in the local distribution markets of daily and periodical press throughout the national territory;</w:t>
      </w:r>
    </w:p>
    <w:p>
      <w:r>
        <w:t>158 BULLETIN NO. 14 OF APRIL 19, 2022</w:t>
        <w:br/>
        <w:t>RESOLVES</w:t>
        <w:br/>
        <w:t>a) to initiate the investigation, pursuant to Article 16, paragraph 4, of Law No. 287/90, against the companies Mondadori Media S.p.A., Artoni Group S.p.A., SRH S.r.l. and Press-Di Distribuzione Stampa e Multimedia S.r.l.;</w:t>
        <w:br/>
        <w:t>b) to set a deadline of ten days, starting from the date of notification of this provision, for the exercise by the legal representatives of the Parties, or by persons delegated by them, of the right to be heard, pursuant to Article 14, paragraph 1, of Law No. 287/90, specifying that the request for a hearing must be received by the Communications Directorate of the Directorate General for Competition of this Authority at least three days before the expiration of the aforementioned deadline;</w:t>
        <w:br/>
        <w:t>c) that the person responsible for the procedure is Dr. Livia Calabrese;</w:t>
        <w:br/>
        <w:t>d) that the acts of the procedure can be viewed at the Communications Directorate of the Directorate General for Competition of this Authority by the legal representatives of the Parties, as well as by persons with a legally relevant interest or by persons delegated by them;</w:t>
        <w:br/>
        <w:t>e) that the procedure must be concluded within forty-five days from the date of resolution of this provision.</w:t>
        <w:br/>
        <w:t xml:space="preserve">This provision will be notified to the interested parties and published in the Bulletin of the Antitrust Authority. </w:t>
        <w:br/>
        <w:t>THE SECRETARY GENERAL THE PRESIDENT</w:t>
        <w:br/>
        <w:t>Guido Stazi Roberto Rustichelli</w:t>
      </w:r>
    </w:p>
    <w:p>
      <w:r>
        <w:rPr>
          <w:b/>
        </w:rPr>
        <w:t>[Pages 157–159]</w:t>
      </w:r>
    </w:p>
    <w:p>
      <w:r>
        <w:t>BULLETIN NO. 14 OF APRIL 19, 2022 159</w:t>
        <w:br/>
        <w:t>UNFAIR COMMERCIAL PRACTICES</w:t>
        <w:br/>
        <w:t>PS12059 - OSAR-ELEVATOR MAINTENANCE</w:t>
        <w:br/>
        <w:t>Provision No. 30096</w:t>
        <w:br/>
        <w:t>THE ANTITRUST AUTHORITY</w:t>
        <w:br/>
        <w:t>IN ITS MEETING of March 29, 2022;</w:t>
        <w:br/>
        <w:t>HEARD the Rapporteur Professor Michele Ainis;</w:t>
        <w:br/>
        <w:t>HAVING REGARD TO Part 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 received on January 14, 2022, by which the company Osar S.r.l. submitted commitments pursuant to Article 27, paragraph 7, of the Consumer Code and Article 9 of the Regulation;</w:t>
        <w:br/>
        <w:t>HAVING REGARD TO the documents of the proceeding;</w:t>
        <w:br/>
        <w:t>I. THE PARTY</w:t>
        <w:br/>
        <w:t>1. The company Osar S.r.l. as a professional, pursuant to Article 18, letter b), of the Consumer Code.</w:t>
        <w:br/>
        <w:t>The company is active in the sector of maintenance, repair, and installation of elevators and lifts.</w:t>
        <w:br/>
        <w:t>II. THE COMMERCIAL PRACTICE</w:t>
        <w:br/>
        <w:t>2. The proceeding concerns the behavior carried out by the professional, consisting of the imposition on consumers (including condominiums) of the automatic renewal of the maintenance contract with a notice period excessively early compared to the expiration and with the application of a penalty corresponding to all fees due until the end of the contract, not respecting the consumer's forum for related disputes.</w:t>
        <w:br/>
        <w:t>III. THE OUTCOMES OF THE PROCEEDING: THE PRESENTATION OF COMMITMENTS</w:t>
        <w:br/>
        <w:t>1) The course of the proceeding</w:t>
        <w:br/>
        <w:t>3. In relation to the aforementioned conduct, on November 30, 2021, the professional was notified of the initiation of the PS12059 investigative proceeding. In this context, it was hypothesized that the conduct of Osar S.r.l. could constitute a violation of Articles 20, 21, 22, 24, and 25 of the Consumer Code, as it was likely to mislead the average consumer regarding the rights they hold, omitting relevant information essential for the average consumer to make an informed commercial decision and likely to unduly condition them by significantly limiting their freedom of choice or behavior.</w:t>
        <w:br/>
        <w:t>4. Concurrently with the initiation communication, in order to acquire useful knowledge elements for the assessment of the commercial practice in question, the professional was requested, pursuant to Article 27, paragraphs 3 and 4, of the Consumer Code and Article 12, paragraph 1, of the Regulation, to provide information and relevant documentation regarding the contested conduct.</w:t>
        <w:br/>
        <w:t>5. On December 21, 2021, the professional provided a response to the request for information made with the initiation of the proceeding and submitted a defense memorandum.</w:t>
        <w:br/>
        <w:t>6. On January 17, 2022, the professional submitted a proposal for commitments.</w:t>
        <w:br/>
        <w:t>7. On February 25, 2022, the party was notified of the conclusion date of the investigative phase pursuant to Article 16, paragraph 1, of the Regulation.</w:t>
        <w:br/>
        <w:t>2) The elements acquired and the commitments of the professional</w:t>
        <w:br/>
        <w:t>8. By note received on January 17, 2022, the professional submitted a proposal for commitments, pursuant to Article 27, paragraph 7, of the Consumer Code and Article 9 of the Regulation.</w:t>
        <w:br/>
        <w:t>9. In particular, the first part of these commitments – which are attached to this provision and constitute an integral part thereof – concerns the modification of the clauses of the contractual model adopted by the professional regarding duration and tacit renewal, early termination, and the competent forum for disputes.</w:t>
        <w:br/>
        <w:t>10. In this way, the professional intends to ensure the application of the new content of the modified contractual clauses also to all existing contractual relationships.</w:t>
        <w:br/>
        <w:t>11. The commitments also include the waiver of any request for payment of penalty clauses in the amount of the entire remaining fee and the notification of such waiver even in pending proceedings.</w:t>
        <w:br/>
        <w:t>IV. EVALUATION OF THE COMMITMENTS</w:t>
        <w:br/>
        <w:t>10. The Authority believes that the commitments proposed by the professional are suitable to remedy the possible illegitimacy profiles of the contested commercial practice in the initiation communication of November 30, 2021, also considering that, according to the elements acquired, requests for penalties for early termination of contracts appear to be entirely sporadic, as well as dated.</w:t>
        <w:br/>
        <w:t>1 Commitment No. 1:</w:t>
        <w:br/>
        <w:t>- notice period of 30 days before the expiration date for all types of contracts;</w:t>
        <w:br/>
        <w:t>- Consumer Competent Forum (“ROME” when the Condominium is located in the municipality of Rome);</w:t>
        <w:br/>
        <w:t>- quantification of the penalty for early termination:</w:t>
        <w:br/>
        <w:t>40% of the remaining fees for months up to 12;</w:t>
        <w:br/>
        <w:t>35% of the remaining fees for months from 12 to 24;</w:t>
        <w:br/>
        <w:t>30% of the remaining fees for months exceeding 24.</w:t>
        <w:br/>
        <w:t>2 Commitment No. 2:</w:t>
        <w:br/>
        <w:t>- waiver of the penalty portion not due from the only condominium with respect to which a legal action is ongoing for the payment of the penalty for early termination in an amount exceeding that provided for by its new contractual conditions.</w:t>
      </w:r>
    </w:p>
    <w:p>
      <w:r>
        <w:t>BULLETIN NO. 14 OF APRIL 19, 2022 161</w:t>
        <w:br/>
        <w:t>11. In particular, the proposed measures consist, on the one hand, in eliminating even the minimal remaining consequence on consumers/condominiums of charging an excessive penalty for the interruption of the service supply relationship and, on the other hand, in preparing measures aimed at ensuring the adoption of the same supply conditions towards all its existing consumer/condominium clientele.</w:t>
        <w:br/>
        <w:t>12. The proposal for commitments therefore appears acceptable in light of both the minor nature of the possible unfair practice carried out by the professional and the content of the proposed measures, aimed both at interrupting the – limited – effects of the practice subject to the proceeding and at excluding a possible repetition of the contested conduct in the future.</w:t>
        <w:br/>
        <w:t>13. In light of the above considerations, it is believed that the commitments presented meet the requirements set forth in Article 27, paragraph 7, of the Consumer Code.</w:t>
        <w:br/>
        <w:t>THEREFORE, IT IS CONSIDERED that the commitments presented by the company Osar S.r.l., in the terms outlined above, are suitable to eliminate the possible profiles of unfairness of the commercial practice subject to investigation;</w:t>
        <w:br/>
        <w:t>IT IS CONSIDERED to make the aforementioned commitments mandatory for the company Osar S.r.l.;</w:t>
        <w:br/>
        <w:t>IT IS CONSIDERED, therefore, to be able to close the proceeding without establishing the infringement;</w:t>
        <w:br/>
        <w:t>RESOLVES</w:t>
        <w:br/>
        <w:t>a) to make mandatory, for the company Osar S.r.l., pursuant to Article 27, paragraph 7, of the Consumer Code and Article 9, paragraph 2, letter a), of the Regulation, the commitments presented by the same company on January 17, 2022, as described in the declaration attached to this provision, which constitutes an integral part of the provision;</w:t>
        <w:br/>
        <w:t>b) to close the proceeding without establishing the infringement, pursuant to Article 27, paragraph 7, of the Consumer Code and Article 9, paragraph 2, letter a), of the Regulation;</w:t>
        <w:br/>
        <w:t>c) that the company Osar S.r.l., within sixty days from the date of notification of this resolution, informs the Authority of the implementation of the commitments.</w:t>
        <w:br/>
        <w:t>Pursuant to Article 9, paragraph 3, of the Regulation, the proceeding may be reopened ex officio, where:</w:t>
        <w:br/>
        <w:t>a) the professional does not implement the commitments;</w:t>
        <w:br/>
        <w:t>b) the factual situation changes regarding one or more elements on which the decision is based;</w:t>
        <w:br/>
        <w:t>c) the decision to accept commitments is based on information provided by the Parties that is incomplete, inaccurate, or misleading.</w:t>
        <w:br/>
        <w:t>Pursuant to Article 27, paragraph 12, of the Consumer Code, in case of non-compliance with this resolution, the Authority applies an administrative pecuniary sanction from €10,000 to €5,000,000. In cases of repeated non-compliance, the Authority may order the suspension of business activity for a period not exceeding thirty days.</w:t>
      </w:r>
    </w:p>
    <w:p>
      <w:r>
        <w:rPr>
          <w:b/>
        </w:rPr>
        <w:t>[Pages 160–162]</w:t>
      </w:r>
    </w:p>
    <w:p>
      <w:r>
        <w:t>162 BULLETIN NO. 14 OF APRIL 19, 2022</w:t>
        <w:br/>
        <w:t>This provision will be notified to the interested parties and published in the Bulletin of the Authority for the Guarantee of Competition and the Market.</w:t>
        <w:br/>
        <w:t>THE SECRETARY GENERAL THE PRESIDENT</w:t>
        <w:br/>
        <w:t>Guido Stazi Roberto Rustichelli</w:t>
        <w:br/>
        <w:t>____________________________________________________________________________</w:t>
      </w:r>
    </w:p>
    <w:p>
      <w:r>
        <w:t>BULLETIN NO. 14 OF APRIL 19, 2022 163</w:t>
        <w:br/>
        <w:t>PS12059 - OSAR-ELEVATOR MAINTENANCE</w:t>
        <w:br/>
        <w:t>Annex to provision no. 30096</w:t>
        <w:br/>
        <w:t>DECLARATION OF COMMITMENTS</w:t>
        <w:br/>
        <w:t>In the context of procedure PS12059 initiated by the Authority for the Guarantee of Competition and the Market on November 30, 2022, concerning the commercial conduct of Osar S.r.l. regarding unfair commercial practices, the company Osar S.r.l., pursuant to and for the effects of Article 27, paragraph 7, of the "Consumer Code" (Legislative Decree of September 6, 2005, no. 206 and subsequent amendments) commits, starting from the date of communication of the Authority's provision, to implement the following measures in the manner and within the timeframes indicated below:</w:t>
        <w:br/>
        <w:t>1. Commitment to disseminate a specific circular within the company informing all stakeholders (particularly the administrative offices responsible for issuing invoices) that the contractual conditions of all customers were standardized in 2020 with a specific communication and that therefore the original clauses of all existing contracts are no longer valid as they have been replaced by the subsequent ones, namely:</w:t>
        <w:br/>
        <w:t>- a notice period of 30 days before the expiration date for all types of contracts;</w:t>
        <w:br/>
        <w:t>- Competent Forum of the Consumer (we indicated "ROME" when the Condominium was located in the municipality of Rome);</w:t>
        <w:br/>
        <w:t>- quantification of the penalty for early termination:</w:t>
        <w:br/>
        <w:t>• 40% of the remaining fees for up to 12 months;</w:t>
        <w:br/>
        <w:t>• 35% of the remaining fees for 12 to 24 months;</w:t>
        <w:br/>
        <w:t>• 30% of the remaining fees for more than 24 months.</w:t>
        <w:br/>
        <w:t>2. Commitment to waive the portion of the penalty not owed by a Condominium in relation to the invoice for the penalty for early termination issued on December 31, 2018, subject to forced recovery through legal action initiated at the beginning of 2021, which is the only one currently ongoing by the undersigned company.</w:t>
      </w:r>
    </w:p>
    <w:p>
      <w:r>
        <w:t>164 BULLETIN NO. 14 OF APRIL 19, 2022</w:t>
        <w:br/>
        <w:t>PS12117 - AJO' ENERGIA-COMMERCIAL OFFERS</w:t>
        <w:br/>
        <w:t>Provision no. 30097</w:t>
        <w:br/>
        <w:t>THE AUTHORITY FOR THE GUARANTEE OF COMPETITION AND THE MARKET</w:t>
        <w:br/>
        <w:t>IN ITS MEETING of March 29, 2022;</w:t>
        <w:br/>
        <w:t>HEARD the Rapporteur Professor Michele Ainis;</w:t>
        <w:br/>
        <w:t>VIEWING Part II, Title III of Legislative Decree of September 6, 2005, no. 206, and subsequent amendments (hereinafter, Consumer Code);</w:t>
        <w:b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no. 25411;</w:t>
        <w:br/>
        <w:t>VIEWING the communication of July 22, 2021, with which procedure PS12117 was initiated against the company Ajò Energia S.r.l.;</w:t>
        <w:br/>
        <w:t>VIEWING its decision of January 18, 2022, which, acknowledging the request made by the Regulatory Authority for Energy Networks and Environment (hereinafter also ARERA) regarding the issuance of its opinion on the case, ordered an extension of the deadline for concluding the procedure;</w:t>
        <w:br/>
        <w:t>VIEWING the documents of the procedure;</w:t>
        <w:br/>
        <w:t>I. THE PARTIES</w:t>
        <w:br/>
        <w:t>1. The company Ajò Energia S.r.l. (hereinafter, also just the Company or "Ajò"), as a professional pursuant to Article 18, paragraph 1, letter b), of the Consumer Code, operates in the sector of electricity and natural gas supply. The company's balance sheet, relating to the financial year closed on December 31, 2020, shows revenues of approximately 3.7 million euros.</w:t>
        <w:br/>
        <w:t>2. The consumer associations AECI and CO.DI.CI. Onlus, as complainants.</w:t>
        <w:br/>
        <w:t>II. THE COMMERCIAL PRACTICE</w:t>
        <w:br/>
        <w:t>3. The procedure concerns the conduct carried out by Ajò since 2020, in relation to the commercial offers of electricity and gas supply services provided by it in the free market, consisting of:</w:t>
        <w:br/>
        <w:t>a) lack of complete and transparent information regarding the economic conditions of electricity and/or natural gas supply, with specific reference to marketing charges, as the total amount of these (PCV, QVD, CCR) was not specified in the contractual documentation nor in the sales scripts, except by referring to ARERA resolutions, which set the amount of such charges solely for users of the protected market, nor within the promotional material;</w:t>
      </w:r>
    </w:p>
    <w:p>
      <w:r>
        <w:rPr>
          <w:b/>
        </w:rPr>
        <w:t>[Pages 163–165]</w:t>
      </w:r>
    </w:p>
    <w:p>
      <w:r>
        <w:t>BULLETIN NO. 14 OF APRIL 19, 2022 165</w:t>
        <w:br/>
        <w:t>b) provision for additional marketing costs set at the discretion of the professional, the payment of which was requested from customers in full for the first year of supply, even in the event of withdrawal before 12 months;</w:t>
        <w:br/>
        <w:t>c) incongruous percentage impact, equal to 4%, of marketing costs on the estimated annual expenditure of a typical family, reported in a table of the Technical and Economic Conditions (hereinafter also CTE), considering the significant amount of such fees;</w:t>
        <w:br/>
        <w:t>d) omission of the clause provided in the offer “FISSO GAS AJO’”, under which Ajò Energia reserved the right to unilaterally modify the ordinary consumption billing in a comprehensive manner, without specifying the conditions for activating such a right.</w:t>
        <w:br/>
        <w:t>III. THE RESULTS OF THE PROCEEDING</w:t>
        <w:br/>
        <w:t>1) The procedure process</w:t>
        <w:br/>
        <w:t>4. Based on the complaints from consumers and their representative Associations1, regarding the behaviors described above, on July 22, 2021, the professional was notified of the initiation of the investigative procedure PS12117 for possible violation of Articles 20, 21, 22, 24, and 25 of the Consumer Code, and a request for information and related documentation regarding the contested facts was simultaneously formulated to the professional, in order to acquire useful knowledge elements for the assessment of the commercial practice in question.</w:t>
        <w:br/>
        <w:t>5. On September 16, 2021, the hearing of the representatives of the professional took place.</w:t>
        <w:br/>
        <w:t>6. On September 23, 2021, a request for participation in the investigative procedure2 was received from the consumer association CO.DI.CI. Onlus, the acceptance of which was communicated to the parties on October 6 of the same year3.</w:t>
        <w:br/>
        <w:t>8. Ajò accessed the file and extracted the non-confidential documentation on August 11 and December 22, 2021.</w:t>
        <w:br/>
        <w:t>7. On December 15, 2021, the parties were notified of the conclusion date of the investigative phase pursuant to Article 16, paragraph 1, of the Regulation4, and on December 24, 2021, Ajò's final memorandum was received5.</w:t>
        <w:br/>
        <w:t>8. On January 4, 2022, opinions were requested pursuant to Article 27, paragraph 1-bis, of Legislative Decree No. 206 of September 6, 2005, and subsequent amendments, from the Authority for Communications Guarantees6 (hereinafter also AGCOM) and ARERA7 - which requested on January 13, 2022, an extension of 45 days for the issuance of its opinion - received respectively on February 4, 20228 and March 14, 20229.</w:t>
        <w:br/>
        <w:t>2) The acquired evidence</w:t>
        <w:br/>
        <w:t>9. Based on the evidence acquired during the investigation, relating to the complaints from consumers10, the information provided by the Professional11, as well as the documentary findings acquired ex officio12, the following emerged.</w:t>
        <w:br/>
        <w:t>The conduct under a): the methods of representation of information regarding the economic conditions of supply</w:t>
        <w:br/>
        <w:t>10. The methods of representation of the components of expenditure for sales services were found, as a result of the verification carried out, to be lacking, both in the contractual documentation and in the scripts adopted by the sales agencies (mostly telesellers), and finally, in the promotional material available on the company website, as the indication regarding the amount of marketing costs expected for the supply of electricity and natural gas was not provided, nor was there a correct description of the surcharge due for offers subscribed through telesellers.</w:t>
        <w:br/>
        <w:t>11. In fact, the CTE related to the offers for the supply of electricity and natural gas, marketed by Ajò since 202013, provided for a fee for marketing and sales equal to the components set by ARERA for the protected market, omitting to specify the value of such contribution.</w:t>
        <w:br/>
        <w:t>12. In particular, in the case of electricity, in the CTE related to contracts concluded through the agency channel14, the marketing and sales costs were indicated as equal to the “value of the component (PCV) provided for the protected market pursuant to ARERA Resolution No. 156/07 and subsequent amendments and an additional charge of 114 euros/pod/year, billed monthly and fully due for the first year, even in the event of withdrawal prior to 12 months from the activation date of the supply”15.</w:t>
        <w:br/>
        <w:t>8 Prot. n. 17365/2022.</w:t>
        <w:br/>
        <w:t>9 Prot. n. 26464/2022.</w:t>
        <w:br/>
        <w:t>10 In addition to the complaints mentioned in the initiation communication (see supra), further complaints regarding the informational deficiencies about the costs applied by the professional, as well as regarding the failure to send the contractual documentation (prot. 62917/2021; prot. 64273/2021; prot. 69632/2021; prot. 81368/2021; prot. 87436/2021; prot. 89290/2021; prot. 94625/2021).</w:t>
        <w:br/>
        <w:t>11 Prot. 69083/2021.</w:t>
        <w:br/>
        <w:t>12 See, among others, Figure 1 reported in the initiation communication of July 22, 2021 (prot. 61087) extracted from the company website of Ajò (ajoenergia.it) and relating to the offer named “Ajò Web Mono”.</w:t>
        <w:br/>
        <w:t>13 See, among others, the CTE related to the Fisso Gas Ajò offer valid from October 2020, attached to the report of June 18, 2021, cited.</w:t>
        <w:br/>
        <w:t>14 As emerged from the cited complaints (see note 1, supra), in contracts signed through the agency channel during the period 2020-2021, Ajò applied an additional charge of 104.50 euros/pod/year, billed monthly in installments of 9.50 euros, fully due for the first year of supply, even in the event of withdrawal prior to 12 months from the activation date, as a "Surcharge for marketing and sales costs", which was then increased to 114 euros/pod/year from May 2021.</w:t>
        <w:br/>
        <w:t>15 This additional charge, provided only in the case of contracts signed through the agency channel (mainly via teleselling), was indicated in the contractual documentation (CTE), which, however, was not delivered to the majority of customers, as well as in the bill under the item “Other items”, with monthly billing, or fully settled in case of withdrawal (see CTE related to the Ajò Flex Casa offer, valid from 01/10/2021, prot. 53571/2021, cited).</w:t>
      </w:r>
    </w:p>
    <w:p>
      <w:r>
        <w:t>BULLETIN NO. 14 OF APRIL 19, 2022 167</w:t>
        <w:br/>
        <w:t>13. Similarly, in the case of natural gas, the marketing and sales costs were indicated as equal to the “value of the components QVD and CCR provided for the protected market pursuant to Resolution ARG/gas 64/09 and subsequent amendments (TIVG) and a fixed contribution for Marketing and Sales of the same value as the QVD component pursuant to the TIVG, increased by 60 euros/pdr/year, billed monthly and fully due for the first year, even in the event of withdrawal prior to 12 months of supply”16.</w:t>
        <w:br/>
        <w:t>14. Also with reference to the agency channel (via teleselling), the sales scripts prepared by the professional were found to be lacking in relation to the indication of the economic conditions of supply, as they did not allow the consumer to understand all the items actually provided, particularly considering the manner of stating the prices applied by the professional by the agents responsible for signing contracts by phone. According to what emerged from the listening of a recorded voice order for the subscription of a contract via teleselling, in fact, the costs related to the marketing and sales contribution and the additional charge were reported quickly and without adequate distinction from the regulated costs17.</w:t>
        <w:br/>
        <w:t>15. It also appears from the complaints received that the professional did not provide contracted customers with a copy of the contractual documentation, nor of the recording of consent to the subscription of the offer, even following a specific request18.</w:t>
        <w:br/>
        <w:t>16. Finally, in the promotional material available online19, acquired in the records of the file, only the price of the energy component (equal to 0.059 €/kwh) was reported, without any indication regarding the additional marketing costs (PCV, QVD, Additional Charges) charged by Ajò to customers, nor was there any document detailing such costs in the section called “Documentation and Forms”, which was found to be empty (Figure 1, relating to the offer marketed via the web and named Ajò Web Mono).</w:t>
        <w:br/>
        <w:t>16 See CTE related to the Fisso Gas Ajò offer, valid from 10/10/2020 (prot. 53571/2021, cited).</w:t>
        <w:br/>
        <w:t>17 As can be seen from the listening of the voice order in the records of the file, in which the description of prices takes less than 5 seconds compared to a voice order of over 9 minutes (see complaint prot. n. 53571/2021, cited).</w:t>
        <w:br/>
        <w:t>18 See in particular the complaints referred to in prot. 64273/2021; prot. 69632/2021; prot. 81368/2021; prot. 94625/2021.</w:t>
        <w:br/>
        <w:t>19 As, for example, in the case of the commercial offer Ajò Web Mono in force in July 2021, for which it is indicated that “the price of the energy component is fixed for 12 months at 0.059 €/kwh” without specifying any of the other marketing costs applied by the professional.</w:t>
      </w:r>
    </w:p>
    <w:p>
      <w:r>
        <w:rPr>
          <w:b/>
        </w:rPr>
        <w:t>[Pages 166–168]</w:t>
      </w:r>
    </w:p>
    <w:p>
      <w:r>
        <w:t>168 BULLETIN NO. 14 OF APRIL 19, 2022</w:t>
        <w:br/>
        <w:t>Conduct sub b): the charging of additional marketing costs in the first year of supply in the absence of adequate specification, requested by the professional entirely for the first year of supply even in the case of early withdrawal</w:t>
        <w:br/>
        <w:t>17. According to what emerged during the proceedings, in the case of contracts for the supply of electricity concluded through the teleselling channel, Ajò applied an additional charge of 104.50 euros/pod/year, billed monthly and fully due for the first year, even in the case of withdrawal before the 12 months of supply (and similarly for the supply of natural gas). The reports in the records also reveal that consumers contracted through teleselling were not aware of the existence of such additional charge, as well as the method of charging the entire annual fee in a single payment in the event of early withdrawal20.</w:t>
        <w:br/>
        <w:t>18. Based on the evidence collected21, the methods of presenting the supply costs through the teleselling channel did not allow consumers to understand the overall amount of the marketing costs provided for in the offer and in particular the conditions of applicability, related to the charge of the entire annual amount even in the case of early contractual withdrawal. Moreover, most of the reporters complain that they were not aware of the existence of such charges and conditions, having not received a copy of the voice order recording nor the contractual documentation, despite specific requests22.</w:t>
        <w:br/>
        <w:t>19. The full charge of a marketing cost due for the entire year of supply, even in the case of withdrawal before the 12 months of supply, in the absence of a clear specification regarding its nature as an activation cost, is comparable to a penalty for early withdrawal, as it is likely to influence the economic choices of the consumer at the time of signing the contract.</w:t>
        <w:br/>
        <w:t>20. During the proceedings, it also emerged that the provision of an additional marketing cost, fully due even in the case of early withdrawal, was included by Ajò in the economic conditions of contracts signed through agency channels (via teleselling) starting from October 2020 (with actual charging from December 2020), in order to cover the customer acquisition costs through external sales agencies.</w:t>
        <w:br/>
        <w:t>21. From the information provided by the professional, it appears that the agency channel accounts for about [90-100%]* of Ajò's total acquisitions during the considered period23. In relation to such contracts, it appears that Ajò has collected approximately [500,000-1,000,000] euros, derived from the additional charges applied to electricity supply contracts for domestic and business customers during the period from December 2020 to June 2021; similarly, the Company has collected approximately [100,000-200,000] euros for the additional charges applied to natural gas supply contracts for domestic and business customers during the period from February to June 2021. Previously, the Company billed a higher monthly marketing fee during the first year of supply (called PCVP - Expected Marketing and Sales Price), the amount of which was calculated exclusively on a monthly basis and whose billing continued even beyond 2020, for customers who still had active price lists dating back to the two-year period 2019/2020. With reference to the PCVP, Ajò has collected approximately [400,000-500,000] euros for electricity supply contracts during the period from February 2020 to June 2021, while for gas supply contracts, the PCVP was never applied.</w:t>
        <w:br/>
        <w:t>20 This position is also confirmed (see PACK_TELESELLING_CASA_FLEX, in the Ajò Flex Casa offer, attached to report prot. 53571/2021, cited).</w:t>
        <w:br/>
        <w:t>21 See in particular, the voice order recording attached to report prot. n. 53571/2021, cited.</w:t>
        <w:br/>
        <w:t>22 See report prot. 62917/2021.</w:t>
        <w:br/>
        <w:t>* In this version, some data is omitted, as elements of confidentiality or secrecy of the information were deemed to exist.</w:t>
        <w:br/>
        <w:t>23 See Annex D to the Company's memorandum of September 3, 2021, cited.</w:t>
      </w:r>
    </w:p>
    <w:p>
      <w:r>
        <w:t>170 BULLETIN NO. 14 OF APRIL 19, 2022</w:t>
        <w:br/>
        <w:t>Conduct sub c): incongruous percentage incidence, equal to 4%, of marketing costs on the estimated annual expenditure of a typical family (table in the CTE)</w:t>
        <w:br/>
        <w:t>22. In the contractual documentation used by Ajò, until September 2021, within the marketing through teleselling24, the percentage incidence of marketing costs on the total costs provided in the "typical bill" was indicated as 4%. This figure was incongruous in light of the significant value of the aforementioned charges, which in fact amounted to 25%, as emerged during the proceedings, with specific reference to the Ajò Flex Casa offer25.</w:t>
        <w:br/>
        <w:t>Conduct sub d): omission of the clause provided in the "FISSO GAS AJO’ offer, with unilateral modification of the economic conditions without specification of the conditions of application</w:t>
        <w:br/>
        <w:t>23. The contractual documentation of the "Fisso Gas Ajò" offer included a clause whereby the professional reserved the right to modify the ordinary consumption billing method with an all-inclusive method (so-called Flat), without specifying the conditions under which such a mechanism could be activated starting from the 3rd month of supply.</w:t>
        <w:br/>
        <w:t>24. In particular, as can be seen from the CTE of the aforementioned offer (in force from October 2020 to January 2021), "in order to protect the Customer from price and consumption fluctuations, starting from the third month of supply" the professional reserved the right to "apply a cost inclusive of all tariff components reported in these CTE, of 65.00 €/month, instead of the ordinary billing method," as well as the right to "charge the adjustment to the customer and proceed with an alignment of the installment to the actual expenditure, after notification in the bill."</w:t>
        <w:br/>
        <w:t>25. This clause allowed the seller to modify the ordinary consumption billing method with an all-inclusive method (so-called Flat), upon mere notification to the customer in the bill and without specifying the new supply conditions, thus violating the obligation that exists for energy service providers to communicate unilateral contractual changes with 90 days' notice and through notes separate from the bills.</w:t>
        <w:br/>
        <w:t>26. According to what emerged during the proceedings, this clause was eliminated from the offers marketed by Ajò starting from March 2021 and was never applied.</w:t>
        <w:br/>
        <w:t>3) The defensive arguments of the professional</w:t>
        <w:br/>
        <w:t>27. The professional made multiple defensive observations during the investigation, which are summarized below26.</w:t>
        <w:br/>
        <w:t>Conduct sub a)</w:t>
        <w:br/>
        <w:t>28. Regarding the completeness and transparency of the economic conditions in the contractual documentation, the professional specified that "the choice to indicate the value of only the PCV, QVD, CCR components of the marketing charges through the simple reference to ARERA resolutions was interpreted by the Company as absolutely neutral under the</w:t>
        <w:br/>
        <w:t>24 See in particular the Technical-Economic Conditions of the Ajò Flex Casa offer (in report prot. 62917/2021).</w:t>
        <w:br/>
        <w:t>25 See response to the Company's request for information of September 3, 2021, cited.</w:t>
        <w:br/>
        <w:t>26 See reports prot. 69078/2021, prot. 69083/2021, prot. 73548/2021, prot. 87541/2021, prot. 91855/2021.</w:t>
      </w:r>
    </w:p>
    <w:p>
      <w:r>
        <w:rPr>
          <w:b/>
        </w:rPr>
        <w:t>[Pages 169–171]</w:t>
      </w:r>
    </w:p>
    <w:p>
      <w:r>
        <w:t>BULLETIN NO. 14 OF APRIL 19, 2022 171</w:t>
        <w:br/>
        <w:t>aspects of completeness and contractual clarity, also in light of the accessibility and publicity of the measures of the sector regulator, freely consultable on its website.” In this regard, the professional also appealed to what was the widely shared market practice before the interventions of the Authority initiated in 2020.</w:t>
        <w:br/>
        <w:t>29. Specifically, the professional emphasized that the exact quantitative value of the PCV, QVD, CCR components of the marketing and sales charges is easily obtainable on the sector regulator's website and that the consumer can easily reconstruct the amounts due, summing together the value publicly disseminated by ARERA and the surcharge set at the professional's discretion, clearly indicated both in the technical-economic conditions of supply.</w:t>
        <w:br/>
        <w:t>Conduct sub b)</w:t>
        <w:br/>
        <w:t>30. Ajò fully rejects the assimilability of the one-time charge to a penalty for early termination, as such cost would be necessary to ensure at least partial coverage of the costs actually incurred for acquiring customers through external sales agencies.</w:t>
        <w:br/>
        <w:t>31. With reference to the alleged unawareness of consumers regarding this charge, the professional emphasized that the speed of reading the voice order complained of by some consumers cannot be considered indicative, since, in any case, the recording of voice orders occurs only after a previous telephone conversation, in which the customer is informed of all the conditions and contractual charges that make up the chosen offer and has time to evaluate before proceeding with the recording of their consent.</w:t>
        <w:br/>
        <w:t>32. As for the reasons that led the Company to foresee an additional charge for its users, for contracts signed via teleselling, the professional emphasized the need to at least partially cover the customer acquisition costs, considering that about [30-40%] of new customers terminate the supply relationship within the first three months. In particular, the professional stated that, for each successful acquisition, the Company is required to pay its sales network a commission of over [100] euros, an amount that is not covered by the additional charge requested from residential customers for electricity supplies – amounting to 114 euros – and for gas supplies – amounting to 54 euros.</w:t>
        <w:br/>
        <w:t>Conduct sub c)</w:t>
        <w:br/>
        <w:t>33. The professional admitted that the indication of the percentage impact of the marketing costs of electricity on the estimated annual expenditure of a typical family being 4% was incorrect, as it was the result of a typographical error. In reality, the exact percentage impact is 25%, as indicated in other parts of the contractual documentation27.</w:t>
        <w:br/>
        <w:t>Conduct sub d)</w:t>
        <w:br/>
        <w:t>34. The professional specified that the clause provided in the “Fisso Gas Ajò” offer, through which the Company reserved the right to modify the tariffing methods related to the gas supply, has never caused any harm to consumers, as the aforementioned power of variation has never been exercised by Ajò. Moreover, the offer in question ended in March 2021 and the clause was not proposed in subsequent offers.</w:t>
        <w:br/>
        <w:t>IV. THE CHANGES TO THE CONDUCT ADOPTED BY THE PROFESSIONAL DURING THE INVESTIGATION</w:t>
        <w:br/>
        <w:t>35. During the proceedings, the professional voluntarily adopted some measures, outlined below, aimed at overcoming the contested criticalities at the outset.</w:t>
        <w:br/>
        <w:t>Conduct sub a)</w:t>
        <w:br/>
        <w:t>36. Following the initiation of the present proceedings, starting from September 1, 2021, with reference to the offers marketed through the web channel for the supply of electricity and gas, Ajò has explicitly stated in the CTE the value of the PCV component (and similarly the values of the QVD and CCR components for gas), increased by an “additional fixed fee,” also specifying the total annual cost of marketing and sales, including the additional fixed fee.</w:t>
        <w:br/>
        <w:t>37. Therefore, for the web electricity offers, the Marketing and Sales Fee for each supply point indicated in the CTE, in effect from September 1, 2021, is defined as 65.4364 euros/year increased by an additional fixed fee of 5 euros/month, for a total of 125.4364 euros/year. And similarly for natural gas, this fee is indicated as 60.74 euros/year in fixed quota, plus 0.03 euros/mc in variable quota, increased by an additional fixed fee of 3 euros/month, for a total of 98.74 euros/year in fixed quota28.</w:t>
        <w:br/>
        <w:t>38. Furthermore, the professional immediately took action, after the initiation of the proceedings, to integrate the documents available on the website, as evidenced by the attachments to the first response to the request for information provided to the Authority. In particular, starting from November 29, 2021, all references to the protected market and the cost components set by ARERA (PCV, QVD, and CCR) were removed from the entire contractual documentation available on the professional's website. The CTE related to Ajò's offers currently report, in addition to the price of the energy component, the total annual amount due from each customer for the remuneration of marketing activities, also with monthly breakdown.</w:t>
        <w:br/>
        <w:t>39. Ajò finally emphasizes that, even on the website, starting from December 2021, the marketing costs are presented together with the price of the energy component, with the same graphic prominence as the latter and without any reference to either the protected market or the cost components set by ARERA for the latter. This is to make the economic conditions of its offers clearly visible and, therefore, immediately comparable with those of other competitors.</w:t>
        <w:br/>
        <w:t>40. As seen in Figure 2 below29, Ajò's webpage has also been integrated during the proceedings and, starting from December 2021, includes the following cost items: energy material price (for example, 0.17 euros/kwh), marketing and sales costs (for example, 15 euros/month equal to 180 euros/year), additional costs regulated by ARERA, unspecified (dispatching charges and transport charges).</w:t>
        <w:br/>
        <w:t>Figure 2 – Excerpt from the webpage ajoenergia.it/luce-e-gas-casa/offerte-luce/ajo-web-mono30</w:t>
        <w:br/>
        <w:t>Conduct sub b)</w:t>
        <w:br/>
        <w:t>41. In the case of products marketed through the agency channel (so-called Flex), also starting from September 1, 2021, the professional has explicitly stated in the CTE that, for the first year, the marketing and sales cost is equal to 65.4364 euros/year increased by an additional fixed fee of 114 euros/year, billed monthly and due in full even for supplies of less than 12 months31. A similar provision has also been introduced for gas offers.</w:t>
        <w:br/>
        <w:t>42. Also with reference to the offers through the agency, starting from November 29, 2021, Ajò further modified the contractual documentation, explicitly stating the item related to marketing and sales costs, which provides for a remuneration of marketing activities, equal to 15 euros/month per supply point, to which must be added in the first instance 30 Cfr. also the other pages related to further offers via web: Ajò Web fasce – casa (ajoenergia.it/luce-gas-casa/ajo-web-fasce); Ajò All’ingrosso - casa (ajoenergia.it/luce-gas-casa/ajo-allingrosso); Ajò Web fasce – azienda (ajoenergia.it/luce-gas-azienda/ajo-web-fasce); Ajò All’ingrosso – azienda (ajoenergia.it/luce-gas-azienda/ajo-all’ingrosso). 31 Cfr. CTE attached to the memorandum of September 3, 2021, cited.</w:t>
      </w:r>
    </w:p>
    <w:p>
      <w:r>
        <w:rPr>
          <w:b/>
        </w:rPr>
        <w:t>[Pages 172–174]</w:t>
      </w:r>
    </w:p>
    <w:p>
      <w:r>
        <w:t>174 BULLETIN NO. 14 OF APRIL 19, 2022</w:t>
        <w:br/>
        <w:t>invoices a one-time fee of 95 euros per supply point32. Similarly for gas, the marketing and sales fee is 10 euros/month and the one-time fee charged on the first invoice is 50 euros per supply point.</w:t>
        <w:br/>
        <w:t>43. This additional charge is still provided only for products marketed exclusively through agency channels (such as those called "Flex"), while it has never been provided for other products marketed through the online channel (such as those called "Wholesale" or "Web"), for which the aforementioned commission costs do not exist.</w:t>
        <w:br/>
        <w:t>44. The Company finally emphasized that it modified its billing system starting in December 2021, introducing the obligation to pay the one-time marketing contribution increase on the first invoice, akin to a true activation cost, precisely to eliminate any doubt about the actual purpose of the charge.</w:t>
        <w:br/>
        <w:t>45. The text of the scripts used by sales agents was initially integrated, starting on September 1, 2021, with the addition of an informational text indicating both the marketing and sales fee and the additional charge due for the first year to be paid monthly and in full even for supplies lasting less than twelve months33. Subsequently, starting from November 29, 2021, this text was updated again as follows: “A total marketing charge of 275 euros – per withdrawal point – is provided for the first year (of which 95 euros on the first invoice for commercial activities and 15 euros per month for supply management activities) which is reduced to 180 euros – per withdrawal point – starting from the second year, billed monthly in installments of 15 euros.”34. Therefore, starting from December 2021, the charge for the one-time fee due in full for the first year of supply has been explicitly stated as an activation cost.</w:t>
        <w:br/>
        <w:t>46. To confirm the integrations made to the sales scripts, Ajò also produced a series of recordings, so-called vocal orders, made in December 2021 related to the conclusion of the same number of supply contracts via teleselling, in which the aforementioned information regarding the monthly marketing costs is effectively reproduced, as well as the one-time activation charge35.</w:t>
        <w:br/>
        <w:t>Conduct sub c)</w:t>
        <w:br/>
        <w:t>47. Regarding the incorrect indication of the percentage impact of marketing costs on the estimated annual expenditure of a typical family (equal to 4%), starting from September 1, 2021, the Company corrected this indication by reporting the actual impact of 25% in the economic conditions of the electricity offers, as evidenced by the documentation produced in attachment to the defense brief36.</w:t>
        <w:br/>
        <w:t>32 Cf. CTE attached to the brief of December 24, 2021 (prot. 95452).</w:t>
        <w:br/>
        <w:t>33 Cf. Attachment C-ter to the brief of September 3, 2021, cited.</w:t>
        <w:br/>
        <w:t>34 Cf. Attachment I, Product Information 1121, brief of November 23, 2021 (prot. 87841); as well as the recordings of five contracts concluded via teleselling related to December 2021 and transmitted on December 10, 2021 (prot. 91886).</w:t>
        <w:br/>
        <w:t>35 Cf. recordings, Attachment I to the brief of December 24, 2021, cited.</w:t>
        <w:br/>
        <w:t>36 Cf. CTE attached A to the brief of September 3, 2021, cited.</w:t>
      </w:r>
    </w:p>
    <w:p>
      <w:r>
        <w:t>BULLETIN NO. 14 OF APRIL 19, 2022 175</w:t>
        <w:br/>
        <w:t>IV. OPINION OF THE AUTHORITY FOR GUARANTEES IN COMMUNICATIONS</w:t>
        <w:br/>
        <w:t>48. Since the commercial practice subject to this provision was disseminated also via teleselling and the internet, on January 4, 2022, the opinion was requested from the Authority for Guarantees in Communications, pursuant to Article 27, paragraph 6, of the Consumer Code37.</w:t>
        <w:br/>
        <w:t>49. In a communication received on February 4, 202238, the aforementioned Authority expressed the requested opinion limiting its evaluations to the suitability of the specific means of communication used to disseminate the commercial practices to affect and amplify any misleading and/or incorrect nature of the same practice.</w:t>
        <w:br/>
        <w:t>50. With reference to the practice in question, the Authority for Guarantees in Communications considered that the communications carried out by Ajò were conveyed through teleselling and the Internet. In particular, the teleselling channel is to be considered a “particularly invasive tool of private life, based on a fixed and mobile telephone communication network covering the entire population, capable of quickly offering the user a wide sequence of information aimed at influencing their behavior; in particular, this mode often subjects the contacted individual, a virtual user of the offered services, to an unsolicited solicitation both regarding the content and the timing of its occurrence”; moreover, “the Internet is a global communication network, capable of quickly offering the user a wide sequence of information aimed at influencing their behavior.”</w:t>
        <w:br/>
        <w:t>51. With reference to the case at hand, therefore, the means of communication used, in relation to the service offered by Ajò, are suitable to significantly influence the realization of the commercial practices in question.</w:t>
        <w:br/>
        <w:t>V. OPINION OF THE REGULATORY AUTHORITY FOR ENERGY, NETWORKS AND ENVIRONMENT</w:t>
        <w:br/>
        <w:t>52. Since the commercial practice subject to this provision concerns the energy sector, on January 4, 2022, the opinion was requested from the Regulatory Authority for Energy, Networks and Environment, pursuant to and for the effects of Article 27, paragraph 1-bis, of the Consumer Code39.</w:t>
        <w:br/>
        <w:t>53. In an opinion received on March 14, 2022, the aforementioned Authority preliminarily represented that such conduct involves issues relevant from a regulatory point of view, relating to:</w:t>
        <w:br/>
        <w:t>a) the informational obligations in the offer and contract signing phase;</w:t>
        <w:br/>
        <w:t>b) the prohibition of imposing penalties for withdrawal.</w:t>
        <w:br/>
        <w:t>The Code of Commercial Conduct</w:t>
        <w:br/>
        <w:t>54. With regard to the relevant sector regulation, ARERA extensively referred to the provisions of the “Code of Commercial Conduct for the sale of electricity and natural gas to final customers”40, which represents a sector-specific specification of the general legislation on consumer protection, adopted with the general objective of preventing harmful conduct towards final customers (including small non-domestic customers), at the moment they receive offers for the conclusion of electricity and/or natural gas supply contracts in the free market.</w:t>
        <w:br/>
        <w:t>55. The obligations on sellers concern the pre-contractual phase and specific aspects of the contractual phase, within the relationship that occurs between the parties following the signing of the contract. The Code of Commercial Conduct, the main provisions of which are summarized below, provides that sellers transparently, completely, and non-discriminatorily provide information regarding their contractual offers and adopt all reasonable measures to meet the information and assistance needs of customers in evaluating such offers.</w:t>
        <w:br/>
        <w:t>The new text (in force from July 1, 2021)</w:t>
        <w:br/>
        <w:t>56. The new text of the Code of Commercial Conduct introduces, starting from July 1, 2021, a revision of the criteria for communicating supply prices, as per Article 5, providing for the obligation for sellers to indicate the fees due from final customers for the provision of the service in their unit value gross of network losses, also specifying that the unit fees due in proportion to the consumption of electricity or natural gas must be indicated exclusively in €/kWh or €/Smc while the fixed unit fees are indicated exclusively in €/POD/year or €/PdR/year, those in proportion to the contracted power exclusively in €/kW while those for any reactive energy withdrawals exclusively in €/kvarh.</w:t>
        <w:br/>
        <w:t>57. Also in Article 5, it is specified that the fees cannot have the same name as the unit fees, components, or elements defined by the Authority except in cases where the values of the aforementioned fees are set equal to those currently defined by the Authority itself.</w:t>
        <w:br/>
        <w:t>58. Furthermore, from July 1, 2021, the seller fulfills the preliminary informational obligations prior to signing the contract, providing the final customer, at the time of the proposal and in any case before the conclusion of the supply contract, with the Summary Sheet (as per Attachment 4 to the new text)41.</w:t>
        <w:br/>
        <w:t>59. Regarding the improper billing of penalties for withdrawal, in the opinion of ARERA, it is recalled what is established by the regulation concerning withdrawal from electricity and natural gas supply contracts for small customers. In particular, with reference to cases of supplier change, ARERA recalled the regulation with which the timing of withdrawal has been aligned with the switching procedures provided by the Integrated Information System (hereinafter SII)42; in general, the right of withdrawal, exercised within the aforementioned terms, cannot be subject to penalties or any fees.</w:t>
      </w:r>
    </w:p>
    <w:p>
      <w:r>
        <w:rPr>
          <w:b/>
        </w:rPr>
        <w:t>[Pages 175–177]</w:t>
      </w:r>
    </w:p>
    <w:p>
      <w:r>
        <w:t>BULLETIN NO. 14 OF APRIL 19, 2022 177</w:t>
        <w:br/>
        <w:t>Considerations regarding the conduct contested against the professional</w:t>
        <w:br/>
        <w:t>60. ARERA has specified that the evaluations expressed in the opinion do not address the potential non-compliance with the provisions of the Consumer Code, but relate exclusively to possible profiles of alleged non-conformity of such conduct with the regulatory provisions deemed most significant also due to the sector-specific nature.</w:t>
        <w:br/>
        <w:t>61. With reference to the unfair commercial practice under examination, occurring in the period 2019-2021, ARERA confirmed that the aforementioned provisions of the Code appear to have been disregarded by the professional, “in all cases where Ajò Energia has provided, both in the pre-contractual phase and in the contractual phase, the application to the customer of amounts not previously communicated and determined according to the criteria illustrated above.” In fact, it is necessary that the expenses and fees related to the charges invoiced to final customers find specific and adequate correspondence within the promotional material and in the contractual documentation and that, in the case of domestic customers, they are summarized and correctly framed in the Comparability Sheet according to the aforementioned criteria defined in the Commercial Conduct Code.</w:t>
        <w:br/>
        <w:t>62. In particular, according to ARERA's opinion, the provisions of the Commercial Conduct Code appear to be disregarded by Ajò where:</w:t>
        <w:br/>
        <w:t>- “the illustration of certain fees (such as the one-time charge and the fee for the management of the supply) in the contractual documentation and in the promotional material, regarding the methods and constraints of application, is fragmented and not transparent;</w:t>
        <w:br/>
        <w:t>- the promotional material does not comply with the provisions of Article 7 of the Commercial Conduct Code which require the communication of information regarding the supply conditions subject to one or more contractual offers in a manner suitable to ensure a clear perception of the offers themselves, including, among other things, the indication of the characteristics of the offer.”</w:t>
        <w:br/>
        <w:t>63. Finally, regarding the improper billing of penalties for withdrawal, ARERA recalled in the opinion what is established by the regulation on the matter43, which expressly states that the right of withdrawal, even in the case of a change of operator (so-called switching), “cannot be subject to penalties or any fees and that any clauses in this sense must be considered non-existent.” Therefore, with reference to the contested conduct, the charge of “additional charges” even in the case of withdrawal before the expiration of the 12-month supply period, thus regardless of the duration of the supply, actually constitutes a penalty, which is prohibited by the aforementioned regulation.</w:t>
        <w:br/>
        <w:t>VI. EVALUATIONS</w:t>
        <w:br/>
        <w:t>64. The procedure under examination concerns the behaviors carried out by Ajò, starting from 2020, in relation to the methods of presenting the characteristics and economic conditions of supply, both within the contractual documentation and the promotional material and the sales scripts used by the agencies, related to the commercial offers proposed by the Company.</w:t>
        <w:br/>
        <w:t>43 See resolution June 9, 2016 302/2016/R/com24, as last modified by resolution 783/2017/R/com.</w:t>
      </w:r>
    </w:p>
    <w:p>
      <w:r>
        <w:t>178 BULLETIN NO. 14 OF APRIL 19, 2022</w:t>
        <w:br/>
        <w:t>This, in particular, with regard to the transparency of marketing costs; the charging of additional marketing charges, fully due for the first year of supply, even in the case of withdrawal before 12 months; the percentage incidence of marketing costs on the bill of the typical household; the methods of communicating unilateral changes to economic conditions.</w:t>
        <w:br/>
        <w:t>65. Based on the considerations set forth below, the behaviors described in paragraph II are attributable to distinct unfair commercial practices in violation of the Consumer Code, with the exception of practice sub d), consisting of the omission of the clause provided in the offer “Fisso Gas Ajò” for the automatic transition from the so-called flat-rate billing mode to the consumption-based mode, which, having been eliminated, as stated above, from the offers marketed by the professional since March 2021, without ever being applied to customers, does not appear to have produced prejudicial effects for consumers.</w:t>
        <w:br/>
        <w:t>Practice sub a)</w:t>
        <w:br/>
        <w:t>66. Practice sub a) concerns the lack of transparency of the economic conditions of supply represented in the contractual documentation, in the sales scripts and in the promotional messages, regarding the marketing and sales costs applied to customers.</w:t>
        <w:br/>
        <w:t>67. As already highlighted by the Authority in various precedents in the sector, in the current phase of transition from the protected market to the free market, it is necessary to overcome the information asymmetry existing between the proposer and the customer. In particular, the amount of marketing charges related to the supply of energy products, which in the free market are set at the seller's discretion, represents a cost item, even significant, that must be indicated in its unit value in the economic conditions of supply, in the scripts used by the sales force and in the advertising material, as it significantly affects the overall expenditure for energy, especially in the case of domestic customers.</w:t>
        <w:br/>
        <w:t>68. In this context, the mere reference to the value of the marketing fees set by ARERA for the protected market does not constitute a valid indicator for consumers, who find themselves having to retrieve the relevant resolutions in order to know the extent of such charges. It should be noted in this regard that, in the free market for energy products, the marketing and sales fee represents an important competitive lever that suppliers can use to characterize their offers. Precisely for this purpose, such a charge must be clearly indicated by the seller from the first contact with the consumer, so as to allow the latter to make an informed purchasing choice.</w:t>
        <w:br/>
        <w:t>69. The omission of indicating the value of the marketing charges for electricity and gas in the contractual documentation (CTE) and in the sales scripts, limiting itself to referring to the values set in the ARERA resolutions related to the protected market or completely omitting the existence of such charges in advertising communications, represents a serious informational deficiency. These items, in fact, constitute, as highlighted, a significant part of the energy expenditure, amounting to 25% in the case of Ajò (with reference, for example, to the offers named Ajò Web Mono, Ajò Web Fasce), regarding which the consumer must be informed from the first contact with the professional's commercial proposal.</w:t>
        <w:br/>
        <w:t>70. The aforementioned informational burden has not been fulfilled by the Company at least since October 2020 – the date of validity of the Ajò offers examined in this procedure – since in the</w:t>
      </w:r>
    </w:p>
    <w:p>
      <w:r>
        <w:t>BULLETIN NO. 14 OF APRIL 19, 2022 179</w:t>
        <w:br/>
        <w:t>contractual documentation (CTE) in force at the time Ajò merely referred to the values set by the regulator for the protected market, which were also difficult for customers to retrieve or consult, as they were contained in documents not intended for consumer information.</w:t>
        <w:br/>
        <w:t>71. In this regard, it should also be emphasized that the indication of the marketing fees through reference to the regulated values leads the consumer to make their purchasing choice under the belief that these are regulated costs and therefore independent of the professional's commercial proposal. Whereas, in reality, these items constitute the basis for the development of a competitive offer among the various operators in the free market.</w:t>
        <w:br/>
        <w:t>72. Therefore, the indication of the marketing and sales costs of energy and gas through reference to the PCV, QVD, and CCR values set in the ARERA resolutions for the protected market, in the commercial communications related to Ajò's offers since October 2020, did not allow consumers to immediately know the actual amount of such charges.</w:t>
        <w:br/>
        <w:t>73. This omission has also characterized the informative communications made by sales agents, as well as the advertising messages disseminated through the company website. The conduct under examination therefore constitutes a violation of Articles 20, 21, and 22 of the Consumer Code.</w:t>
        <w:br/>
        <w:t>74. As emerged from the evidence presented above, the conduct under examination ceased only from December 2021, when Ajò modified both the contractual conditions and the sales scripts actually used for voice orders and - as seen in Figure 2 above - the information available on the web page, reporting all the marketing costs provided for its offers (i.e., the price of the energy commodity, the marketing and sales fee, and the other regulated costs) with equal graphic prominence.</w:t>
        <w:br/>
        <w:t>Practice sub b)</w:t>
        <w:br/>
        <w:t>75. Practice sub b) concerns the charging to customers acquired through the agency channel of “additional marketing charges” fully due even in the case of termination of the contractual relationship before the expiration of the 12th month from activation.</w:t>
        <w:br/>
        <w:t>76. Regarding the charge by Ajò, in cases of conclusion of contracts through the agency channel, of additional marketing charges, fully due for the first year of supply, even in the case of termination of the contractual relationship before the expiration of the 12th month from activation, it is noted, first of all, that the activities underlying the provision of such a charge were not indicated by the professional in the contractual documentation, in the sales scripts, and in the promotional material.</w:t>
        <w:br/>
        <w:t>77. In fact, through the verbal representation of the economic conditions of supply, consumers do not have the opportunity to acquire a sufficient level of awareness regarding the actual price of energy expenditure, or of all the cost items applied, among which, in particular, the “additional charges,” which are also due in the case of early withdrawal.</w:t>
        <w:br/>
        <w:t>78. Furthermore, it is noted that the application of this contribution, qualified in the contractual documentation and in the sales scripts as “additional marketing charge,” in the absence of a specification regarding its purpose as compensation for the activation operations of a new contract, did not justify the charge of the entire annual fee, in a single payment, in the case of early withdrawal before twelve months.</w:t>
        <w:br/>
        <w:t>79. Considering that this is a fee applied by Ajò to contracts concluded through the agency channel following the activation of the supply, the consumer must be informed</w:t>
      </w:r>
    </w:p>
    <w:p>
      <w:r>
        <w:rPr>
          <w:b/>
        </w:rPr>
        <w:t>[Pages 178–180]</w:t>
      </w:r>
    </w:p>
    <w:p>
      <w:r>
        <w:t>180 BULLETIN NO. 14 OF APRIL 19, 2022</w:t>
        <w:br/>
        <w:t>aware of the purpose of this contribution within the contractual economic conditions. The fact that consumers have reported not understanding the existence of such a burden, nor the obligation to pay it in full even in the event of withdrawal before the 12-month supply period, confirms the inadequacy of the information provided by Ajò at the time of the contract conclusion.</w:t>
        <w:br/>
        <w:t>80. Therefore, the application by the professional of an additional marketing charge, fully due even in the event of withdrawal before 12 months, without adequate specification regarding its purpose as an activation cost, is effectively configurated as a penalty for withdrawal, capable of unduly conditioning the economic choices of consumers, leading them to adopt non-optimal behaviors, hindering their right to terminate a contract without incurring additional charges.</w:t>
        <w:br/>
        <w:t>81. The conduct in question is therefore characterized as aggressive conduct in violation of Articles 24 and 25 of the Consumer Code.</w:t>
        <w:br/>
        <w:t>82. This conduct persisted from October 2020 until at least December 2021, when the contractual documentation prepared for the agency channel was modified by the professional, with the introduction of a one-time fee for the activation of the contract to be paid in full on the first invoice, and when this specific description was also included in the sales scripts prepared for the agency channel, from which, as highlighted, the majority of the professional's acquisitions derived (over 90%).</w:t>
        <w:br/>
        <w:t>Practice sub c)</w:t>
        <w:br/>
        <w:t>83. The practice sub c) consists of the incongruous indication of the percentage impact of marketing costs on the estimated annual expenditure of a typical family, reported in the table of the CTE published since January 2021.</w:t>
        <w:br/>
        <w:t>84. This erroneous indication of the impact of the marketing costs of Ajò's offers also constitutes a misleading practice, as it may lead the consumer to modify their economic choices, due to the minimal impact of such burdens on energy expenditure. In particular, in this case, considering that marketing costs have a relative weight much higher and equal to 25%, which represents a significant cost item for consumers, the accurate identification of their impact on the bill constitutes an important indicator regarding the convenience of the considered commercial offer. Therefore, from this perspective as well, the conduct constitutes a violation of Articles 20, 21, and 22 of the Consumer Code.</w:t>
        <w:br/>
        <w:t>85. Based on the investigative findings, this practice, traceable at least since October 2020, persisted until September 2021, when, following the initiation of the procedure, the table of the CTE containing the weight of the various cost items in the bill was amended by Ajò.</w:t>
        <w:br/>
        <w:t>VII. QUANTIFICATION OF THE SANCTION</w:t>
        <w:br/>
        <w:t>86.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87. In the case of a procedure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209 of January 19, 2012).</w:t>
        <w:br/>
        <w:t>88. Regarding the quantification of the sanction, the criteria identified by Article 11 of Law No. 689/81 must be taken into account,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89. With regard to the severity of the violations, in this case, consideration is given to: i) the economic size of the Professional; ii) the widespread nature of the commercial practice – capable of harming the rights of all Ajò customers and the extent of the economic harm caused to consumers – as well as iii) the behavior of the professional regarding the adoption, during the investigation, of corrective measures for some critical aspects contested in the initiation communication of the procedure.</w:t>
        <w:br/>
        <w:t>90. Specifically regarding the commercial practice sub a), in assessing the severity of the violation, consideration is also given to the specificity of the sector, in which the purchasing consumer finds themselves in a position of inevitable informational asymmetry compared to the professional; the manner of dissemination of the offer made also through the website, a tool capable of reaching a multitude of consumers; the overall extent of the economic harm potentially caused to consumers.</w:t>
        <w:br/>
        <w:t>91. As for the duration of the violation, from the available elements in the records, it appears that the commercial practice sub a) was carried out by Ajò from October 2020 until December 2021, when with the adoption of an updated version of the CTE, all marketing and sales fees for the supply of electricity and natural gas were specified and the promotional messages of the offers on the web, as well as the scripts, were accordingly integrated.</w:t>
        <w:br/>
        <w:t>92. In light of the above, it is deemed appropriate to determine the amount of the administrative pecuniary sanction applicable to Ajò Energia S.r.l. at the base amount of €100,000 (one hundred thousand euros), which is reduced to €80,000 (eighty thousand euros) taking into account the measures adopted during the procedure that led to the cessation of the conduct.</w:t>
        <w:br/>
        <w:t>93. Specifically regarding the commercial practice sub b), in assessing the severity of the violation, consideration is also given to the conditioning aimed at discouraging users during the withdrawal phase resulting from the unjustified charge of additional burdens.</w:t>
        <w:br/>
        <w:t>94. As for the duration of the violation, from the available elements in the records, it appears that the commercial practice sub b) was carried out from October 2020 until December 2021, as the professional provided for the charge to customers acquired through the agency channel of "additional marketing charges" fully due even in the event of termination of the contractual relationship before the 12th month of supply, without adequate specification regarding their nature as activation costs. In this regard, Ajò's behavior consisting of the full application of such charges even in the event of contractual termination before the 12 months of supply, without specifying that these are charges related to activation, is comparable to a penalty for early withdrawal and as such constitutes a commercial practice characterized by evident aggressiveness given the undue conditioning that the provision of such charges entails for the consumer. This practice ceased only in December 2021 when the contractual documentation and the sales scripts for contracts acquired via teleselling were modified by introducing the specific provision of a one-time additional marketing charge applicable at the activation phase of the supply.</w:t>
        <w:br/>
        <w:t>95. Therefore, it is deemed appropriate to determine the amount of the administrative pecuniary sanction applicable to Ajò Energia S.r.l. at the base amount of €60,000 (sixty thousand euros), which is reduced to €48,000 (forty-eight thousand euros) taking into account the measures adopted during the procedure that led, albeit at different times, to the cessation of the infringement.</w:t>
        <w:br/>
        <w:t>96. Specifically regarding the commercial practice sub c), in assessing the severity of the violation, consideration is also given to the specificity of the sector, in which the purchasing consumer finds themselves in a position of inevitable informational asymmetry compared to the professional and the relevance of the type of information contained in the contractual documentation, particularly regarding the costs determined at the professional's discretion.</w:t>
        <w:br/>
        <w:t>97. As for the duration of the violation, from the available elements in the records, it appears that the commercial practice sub c) was carried out from October 2020 until September 2021, when, following the adoption of an updated version of the CTE related to the offers marketed via the web, the erroneous indication regarding the percentage impact of marketing costs equal to 4% on the bill of a typical family was corrected, reporting the actual impact equal to 25%.</w:t>
        <w:br/>
        <w:t>98. In light of the above, it is deemed appropriate to determine the amount of the administrative pecuniary sanction applicable to Ajò Energia S.r.l. at the base amount of €25,000 (twenty-five thousand euros), which is reduced to €20,000 (twenty thousand euros) taking into account the measures adopted during the procedure that led to the cessation of the infringement.</w:t>
        <w:br/>
        <w:t>CONSIDERING, therefore, based on the aforementioned considerations and taking into account the opinion of the Authority for Communications Guarantees and in accordance with the opinion of the Regulatory Authority for Energy Networks and Environment, that the commercial practice sub A) is deemed unfair pursuant to Articles 20, 21, and 22 of the Consumer Code as it is capable, through misleading presentation and omission of relevant information regarding all price components of the marketed offers, of appreciably distorting the economic behavior of the average consumer in relation to the services offered by the professional;</w:t>
        <w:br/>
        <w:t>CONSIDERING, therefore, taking into account the opinion of the Authority for Communications Guarantees and in accordance with the opinion of the Regulatory Authority for Energy Networks and Environment, based on the aforementioned considerations, that the commercial practice sub B) is deemed unfair pursuant to Articles 24 and 25 of the Consumer Code as it is capable of generating undue conditioning due to the failure to indicate the existence of marketing charges to be paid in full even in the event of withdrawal before the 12 months as an activation cost;</w:t>
        <w:br/>
        <w:t>CONSIDERING, therefore, taking into account the opinion of the Authority for Communications Guarantees and in accordance with the opinion of the Regulatory Authority for Energy Networks and Environment, based on the aforementioned considerations, that the commercial practice sub C) is in contrast with Articles 20, 21, and 22 of the Consumer Code as it is capable, through the erroneous indication of the impact of marketing costs on the bill of a typical family, of generating a false perception regarding the convenience of the professional's offers;</w:t>
      </w:r>
    </w:p>
    <w:p>
      <w:r>
        <w:rPr>
          <w:b/>
        </w:rPr>
        <w:t>[Pages 181–183]</w:t>
      </w:r>
    </w:p>
    <w:p>
      <w:r>
        <w:t>BULLETIN NO. 14 OF APRIL 19, 2022 183</w:t>
        <w:br/>
        <w:t>RESOLUTION</w:t>
        <w:br/>
        <w:t>a) that the commercial practice described in point II, letter a), of this provision, carried out by the company Ajò Energia S.r.l., constitutes, for the reasons and within the limits set out in the motivation, an unfair commercial practice pursuant to Articles 20, 21, and 22 of the Consumer Code, and prohibits its dissemination or repetition;</w:t>
        <w:br/>
        <w:t>b) to impose an administrative monetary penalty of €80,000 (eighty thousand euros) on the company Ajò Energia S.r.l.;</w:t>
        <w:br/>
        <w:t>c) that the commercial practice described in point II, letter b), of this provision, carried out by the company Ajò Energia S.r.l., constitutes, for the reasons and within the limits set out in the motivation, an unfair commercial practice pursuant to Articles 24 and 25 of the Consumer Code, and prohibits its dissemination or repetition;</w:t>
        <w:br/>
        <w:t>d) to impose an administrative monetary penalty of €48,000 (forty-eight thousand euros) on the company Ajò Energia S.r.l.;</w:t>
        <w:br/>
        <w:t>e) that the commercial practice described in point II, letter c), of this provision, carried out by the company Ajò Energia S.r.l., constitutes, for the reasons and within the limits set out in the motivation, an unfair commercial practice pursuant to Articles 20, 21, and 22 of the Consumer Code, and prohibits its dissemination or repetition;</w:t>
        <w:br/>
        <w:t>f) to impose an administrative monetary penalty of €20,000 (twenty thousand euros) on the company Ajò Energia S.r.l.;</w:t>
        <w:br/>
        <w:t>The administrative penalties imposed must be paid within thirty days from the notification of this provision, using the tax codes indicated in the attached F24 model with identifying elements, pursuant to Legislative Decree No. 241/1997.</w:t>
        <w:br/>
        <w:t>Payment must be made electronically by debiting the bank or postal current account, through home banking and CBI services provided by banks or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collector for collection; in this case, the increase absorbs the late payment interest accrued in the same period.</w:t>
      </w:r>
    </w:p>
    <w:p>
      <w:r>
        <w:t>184 BULLETIN NO. 14 OF APRIL 19, 2022</w:t>
        <w:br/>
        <w:t>Notification of the payment must be immediately communicated to the Authority by sending the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monetary penalty from €10,000 to €5,000,000.</w:t>
        <w:br/>
        <w:t>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w:t>
        <w:br/>
        <w:t>Guido Stazi Roberto Rustichelli</w:t>
      </w:r>
    </w:p>
    <w:p>
      <w:r>
        <w:t>BULLETIN NO. 14 OF APRIL 19, 2022 185</w:t>
        <w:br/>
        <w:t>PS12226 - AGENCY OF ENTERPRISES - ASSIGNED TO COLLECTION</w:t>
        <w:br/>
        <w:t>Provision No. 30098</w:t>
        <w:br/>
        <w:t>THE COMPETITION AND MARKET AUTHORITY</w:t>
        <w:br/>
        <w:t>IN ITS MEETING of March 29, 2022;</w:t>
        <w:br/>
        <w:t>HEARD the Rapporteur Professor Michele Ainis;</w:t>
        <w:br/>
        <w:t>VIEWED Part 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the documents of the procedure;</w:t>
        <w:br/>
        <w:t>I. THE PARTY</w:t>
        <w:br/>
        <w:t>1. Agenzia delle Imprese S.r.l.s. (hereinafter also AGIMPRESE) as a professional, pursuant to Article 18, paragraph 1, letter b), of the Consumer Code.</w:t>
        <w:br/>
        <w:t>The company provides IT and advertising consultancy services and was established on September 7, 2021.</w:t>
        <w:br/>
        <w:t>II. THE COMMERCIAL PRACTICE</w:t>
        <w:br/>
        <w:t>2. The commercial practice carried out by AGIMPRESE consists of i) sending to newly established micro-enterprises a communication containing a payment request, which implies that it concerns obligations required by the Chamber of Commerce in relation to the recent registration in the Business Register and is therefore a payment due, while in reality the aim is to induce the unaware adhesion of the recipient companies to a paid IT service represented by the entry of certain business data into the platform "AGENZIADELLEIMPRESE.IT", which is still "UNDER DEVELOPMENT"; ii) opposing obstacles to the exercise of contractual rights.</w:t>
        <w:br/>
        <w:t>III. THE RESULTS OF THE PROCEDURE</w:t>
        <w:br/>
        <w:t>1) The course of the procedure</w:t>
        <w:br/>
        <w:t>3. Following the receipt of reports regarding the above-described practice from the Chamber of Commerce Monte Rosa Laghi Alto Piemonte and from various micro-enterprises, on December 16, 2021, AGIMPRESE was notified of the initiation of the investigative procedure for possible violation of Articles 20, 24, 25, paragraph 1, letter d), and 26, paragraph 1, letter f), of the Consumer Code.1</w:t>
        <w:br/>
        <w:t>1 See communication of initiation of the procedure of December 16, 2021, prot. 93469.</w:t>
      </w:r>
    </w:p>
    <w:p>
      <w:r>
        <w:rPr>
          <w:b/>
        </w:rPr>
        <w:t>[Pages 184–186]</w:t>
      </w:r>
    </w:p>
    <w:p>
      <w:r>
        <w:t>186 BULLETIN NO. 14 OF APRIL 19, 2022</w:t>
        <w:br/>
        <w:t>In this context, it was hypothesized that the commercial conduct of the professional was capable of exerting undue pressure on the recipient companies, leading them to believe that the requested payment stemmed from obligations arising from the recent registration in the Business Register and hindering their withdrawal.</w:t>
        <w:br/>
        <w:t>4. Concurrently with the communication of the initiation of the procedure, a request for information was also sent pursuant to Article 12, paragraph 1, of the Regulation, to which the Party did not respond.</w:t>
        <w:br/>
        <w:t>5. On February 14, 2022, the date of conclusion of the investigative phase was communicated to AGIMPRESE pursuant to Article 16, paragraph 1, of the Regulation2.</w:t>
        <w:br/>
        <w:t>6. The professional did not submit any defense brief.</w:t>
        <w:br/>
        <w:t>2) The evidence acquired</w:t>
        <w:br/>
        <w:t>7. According to reports from the Chamber of Commerce Monte Rosa Laghi Alto Piemonte3 and several micro-enterprises located throughout the national territory (Nuoro4, Udine5, Trieste6, Milan7, Teramo8), starting from the first days of October 20219 and until the end of the same month10, AGIMPRESE sent, via ordinary mail, a communication requesting payment of an amount between 375.70 euros and 402.59 euros, in favor of “AGENZIA DELLE IMPRESE SRLS appointed for collection for the members of the C.C.I.A.A. of [Chamber of Commerce where the recipient of the communication is registered].” This communication, sent by the professional to newly established Italian micro-enterprises, consists of a payment request divided into several sections that includes the general terms and conditions on the back.</w:t>
        <w:br/>
        <w:t xml:space="preserve">8. The commercial communication sent by the professional bears the heading “PAYMENT REQUEST: IST.NR-…,” addressed to the micro-enterprise “REGISTERED WITH THE CHAMBER OF COMMERCE, INDUSTRY, AGRICULTURE AND CRAFTS (C.C.I.A.A.) of [name of the Chamber of Commerce where the recipient is registered].” Below the heading, there are two sections that contain the recipient's details, defined as “payer,” and the business data (company name, address, tax code/VAT number, R.E.A. number, legal form). </w:t>
        <w:br/>
        <w:t>Following is a section “transaction details,” where the month and year of registration/change, the details of the requested amount, the total amount, and a “due date” are indicated. The communication concludes with a payment request included in a section titled “BANK TRANSFER INSTRUCTION” in which “AGENZIA DELLE IMPRESE Srls APPOINTED FOR COLLECTION FOR THE MEMBERS OF THE C.C.I.A.A. of [name of the Chamber of Commerce where the recipient is registered]” is indicated as the beneficiary; followed by the reason (“Payment request: Ist.NR-…”), the requested amount, and an IBAN code for making the payment of the requested sum.</w:t>
        <w:br/>
        <w:t>9. In the same communication under the section “Bank Transfer Instruction,” in small, difficult-to-read characters, it states: “NOTIFICATION OF PAYMENT REQUEST: (IST.NR- …) ADDRESSED TO [name of the recipient company] FOR REGISTRATION ON THE PLATFORM AGENZIADELLEIMPRESE.IT, AS SENDER OF THIS ADVERTISING LETTER COMPOSED OF SHEETS ONE FORMAT A4, FRONT PAGE. THE INDICATED PLATFORM IS UNDER DEVELOPMENT, WE RESERVE ITS ONLINE LAUNCH AT TIMES WE DEEM APPROPRIATE FOLLOWING PAYMENT […] PAGE TWO OF TWO, CONTAINS THE GENERAL TERMS AND CONDITIONS OF CONTRACT.”</w:t>
        <w:br/>
        <w:t>10. On the back of the communication, in a document for mere eventual consultation, the General Terms and Conditions of Contract (“GTC”) are contained, presented in significantly smaller graphic prominence. This document establishes that, with the payment of the bank transfer, the GTC are automatically accepted (Articles 1, 12, and 19) and that the contracting party declares “not to have been induced by anyone to accept the offer … to have fully understood the content and decided to adhere to the offer” (Article 12). In particular, according to Article 12 of these conditions, with the payment, the contracting party “fully and unreservedly accepts the general terms and conditions of contract in every part”; a similar provision is provided in Article 19, according to which the contracting party declares, “upon payment,” to have read, understood, and accepted all the data and contractual articles. According to Article 1 of the GTC, the payment request concerns the inclusion of the recipient company's data “within a public web page” and that “this communication is to be considered solely a commercial proposal.”</w:t>
        <w:br/>
        <w:t>11. Article 3 reiterates the commercial nature of the communication, which constitutes an unsolicited commercial proposal “not requested by the contracting party.” Pursuant to this provision, adherence to this proposal is not mandatory and “does not replace in any way obligations imposed by the Italian State and/or by the Public Administration.” Article 5 further states that the sender of the communication has no relationship with the Chambers of Commerce, nor with the Public Administration.</w:t>
        <w:br/>
        <w:t>12. Article 7 recognizes the right of withdrawal that must be exercised within 14 days from the day of payment of the requested amount. In particular, it is provided that the requesting party sends the refund request within the aforementioned term via PEC, indicating their identifying tax data and the IBAN, as well as documenting the payment of the amount indicated on the bulletin. It is provided that the “sender” of the communication will refund the amount paid indicated in the communication, in the absence of any other further expense incurred by the contracting party, by crediting the IBAN communicated by the latter, after verifying compliance with the deadline for exercising the right of withdrawal.</w:t>
        <w:br/>
        <w:t>13. According to Article 6, the contracting party, after receiving a receipt invoice related to the payment made, can request “to the email address indicated in the invoice username and password” in order to “be able to update the data present on the platform customizing the page to their liking within the legal terms.”</w:t>
      </w:r>
    </w:p>
    <w:p>
      <w:r>
        <w:t>188 BULLETIN NO. 14 OF APRIL 19, 2022</w:t>
        <w:br/>
        <w:t>IV. CONCLUDING EVALUATIONS</w:t>
        <w:br/>
        <w:t>14. Preliminary observations indicate that from the documentation on record, it appears that the conduct under examination has involved companies that meet the characteristics referred to in Article 18, paragraph 1, letter d-bis) of the Consumer Code, prejudicing their economic behavior.</w:t>
        <w:br/>
        <w:t>15. The commercial practice carried out by AGIMPRESE consists of (i) sending to newly established micro-enterprises a communication containing a payment request, which implies that it concerns obligations required by the Chamber of Commerce in relation to the recent registration in the Business Register and is therefore a due payment, while in reality, the aim is to induce the unaware adherence of the recipient companies to a paid IT service represented by the inclusion of certain business data in the platform “AGENZIADELLEIMPRESE.IT,” which is still “UNDER DEVELOPMENT”; (ii) opposing obstacles to the exercise of contractual rights.</w:t>
        <w:br/>
        <w:t>16. The commercial proposal of the professional, which has never been requested or solicited by the recipients (as explicitly stated by the professional in the GTC), appears to suggest, due to the specific qualification of “Appointed for collection for the members of the C.C.I.A.A.” that the professional boasts, as well as for its overall presentation, that it comes from a Chamber of Commerce and is related to the payment due of chamber fees or other administrative obligations. In reality, the actual purpose of the communication consists of the offer of a commercial service represented by the purchase of “an online web page” on a platform called “agenziadelleimprese.it,” which is not yet operational as declared by the professional himself to be “still under development.” The commercial purpose emerges exclusively in a paragraph located at the end of the payment request, presented in tiny graphic characters, almost illegible, significantly smaller than all other indications contained in the communication itself.</w:t>
        <w:br/>
        <w:t>17. This communication, in its overall setup, is therefore capable of unduly conditioning the decision-making process of the recipient micro-enterprises, which, believing that the payment request comes from a Chamber of Commerce, are led to think that it is a payment due for fulfilling specific legally imposed obligations from which they cannot exempt themselves; this also due to their recent registration in the Business Register. The conduct, as it aims to exploit the good faith of newly established micro-enterprises concerning the obligations related to chamber registration, is therefore to be considered in violation of Articles 20 and 24 of the Consumer Code.</w:t>
        <w:br/>
        <w:t>18. The communication also includes the request for payment of a predetermined amount by a peremptory due date related to an unsolicited service and therefore constitutes an aggressive practice per se pursuant to Article 26, paragraph 1, letter f), of the Consumer Code.</w:t>
        <w:br/>
        <w:t>19. The aggressive nature of the practice is also found in the obstacle it poses to the exercise of the right of withdrawal contractually granted to micro-enterprises, in violation of Article 25, paragraph 1, letter d), of the Consumer Code. In this regard, it is noted that on the front page of the communication, the professional does not mention in any way the right of withdrawal, which is cited exclusively in the General Terms and Conditions of Contract, a document placed on the back of the communication and for mere eventual consultation.</w:t>
      </w:r>
    </w:p>
    <w:p>
      <w:r>
        <w:rPr>
          <w:b/>
        </w:rPr>
        <w:t>[Pages 187–189]</w:t>
      </w:r>
    </w:p>
    <w:p>
      <w:r>
        <w:t>BULLETIN NO. 14 OF APRIL 19, 2022 189</w:t>
        <w:br/>
        <w:t>Finally, the provision contained in Articles 12 and 19 of the same General Conditions of Contract, according to which payment would constitute full acceptance of the general contract conditions and proof of conscious adherence to the offer, drafted in small print and placed on the back of the communication, is suitable to constitute a form of undue conditioning aimed at obtaining the adherence of the recipients who, in the absence of clear, timely, and relevant information regarding the nature and characteristics of the commercial proposal, are led not to exercise their rights, believing the deception suffered to be irreparable.</w:t>
        <w:br/>
        <w:t>20. In conclusion, in light of the above, the conduct of AGIMPRESE constitutes an aggressive commercial practice pursuant to Articles 24, 25, paragraph 1, letter d), and 26, paragraph 1, letter f), of the Consumer Code. The conduct of the professional involves the use of a stratagem aimed at unduly conditioning the decision-making process of the recipient companies, leading them to make a rapid commercial decision that they would not have otherwise made regarding the payment for an unsolicited service.</w:t>
        <w:br/>
        <w:t>V. QUANTIFICATION OF THE SANCTION</w:t>
        <w:br/>
        <w:t>21. Pursuant to Article 27, paragraph 9 of the Consumer Code, with the provision that prohibits an unfair commercial practice, the Authority orders the application of an administrative pecuniary sanction from €5,000 to €5,000,000, taking into account the severity and duration of the violation.</w:t>
        <w:br/>
        <w:t>22.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23. With regard to the severity of the violation, consideration is given in the case at hand to the dissemination of the commercial practice throughout the national territory, as the professional sent their communications to micro-enterprises based in various Italian regions. The severity of the practice is also appreciated when considering the type of means used to contact the companies, consisting of a postal communication capable of directly and personally reaching the recipients, the insidious methods adopted to induce newly established micro-enterprises to pay the requested amounts by deceiving their good faith, as well as the significant economic harm caused to recipients who show reduced economic-financial dimensions and have just embarked on their business activity. Finally, it must be considered that the service offered could be non-existent, being qualified by the same professional as "still in development."</w:t>
        <w:br/>
        <w:t>24. Regarding the duration of the violation, it is noted that from the elements acquired in the records, it appears that the commercial practice carried out by AGIMPRESE has been in place since the first days of October 2021 at least until the end of the same month.</w:t>
        <w:br/>
        <w:t>25. With regard to the economic conditions of the professional, it is highlighted that AGIMPRESE is a simplified limited liability company established on September 7, 2021; it has not participated in the investigation and no accounting data related to the first financial year is available in the public registers.</w:t>
        <w:br/>
        <w:t>26. Based on these elements, given the predominantly deterrent effect attributed to the administrative pecuniary sanction, it is deemed appropriate to set its amount at €20,000 (twenty thousand euros).</w:t>
        <w:br/>
        <w:t>THEREFORE, CONSIDERING the above considerations, that the commercial practice in question is deemed unfair pursuant to Articles 20, 24, 25, paragraph 1, letter d), and 26, paragraph 1, letter f), of the Consumer Code, as it is contrary to professional diligence and suitable to unduly condition the economic behavior of the recipient companies, through the unsolicited sending of a commercial communication containing a pre-filled payment request to make a payment in favor of the professional in an amount between €375.70 and €402.59, implying that the requested payment is due due to regulatory obligations arising from the recent registration in the Business Register;</w:t>
        <w:br/>
        <w:t>RESOLVES</w:t>
        <w:br/>
        <w:t>a) that the commercial practice described in point II of this provision, carried out by the company Agenzia delle Imprese S.r.l.s., constitutes, for the reasons and limits stated in the motivation, an unfair commercial practice pursuant to Articles 20, 24, 25, paragraph 1, letter d), and 26, paragraph 1, letter f), of the Consumer Code;</w:t>
        <w:br/>
        <w:t>b) to impose on the company Agenzia delle Imprese S.r.l.s. an administrative pecuniary sanction of €20,000 (twenty thousand euros).</w:t>
        <w:br/>
        <w:t>The imposed administrative sanction must be paid within thirty days from the notification of this provision, using the tax codes indicated in the attached F24 model with identifying elements, pursuant to Legislative Decree No. 241/1997. Payment must be made electronically with a debit from one's bank or postal account, through the home banking and CBI services provided by banks or by Poste Italiane S.p.A., or by using the telematic services of the Revenue Agency, available on the website www.agenziaentrate.gov.it. 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interest accrued in the same period. Immediate communication of the payment must be given to the Authority by sending documentation certifying the payment made. This provision will be notified to the interested parties and published in the Bulletin of the Antitrust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w:t>
        <w:br/>
        <w:t>Guido Stazi Roberto Rustichelli</w:t>
      </w:r>
    </w:p>
    <w:p>
      <w:r>
        <w:rPr>
          <w:b/>
        </w:rPr>
        <w:t>[Pages 190–192]</w:t>
      </w:r>
    </w:p>
    <w:p>
      <w:r>
        <w:t>192 BULLETIN NO. 14 OF APRIL 19, 2022</w:t>
        <w:br/>
        <w:t>PARASITIC ADVERTISING - CONSUMER PROTECTION</w:t>
        <w:br/>
        <w:t>PV16 - ZALANDO - UEFA EURO 2020</w:t>
        <w:br/>
        <w:t>Provision No. 30099</w:t>
        <w:br/>
        <w:t>THE ANTITRUST AUTHORITY</w:t>
        <w:br/>
        <w:t>IN ITS MEETING on March 29, 2022;</w:t>
        <w:br/>
        <w:t>HEARD the Rapporteur, President Roberto Rustichelli;</w:t>
        <w:br/>
        <w:t>HAVING REGARD to Chapter III of Decree-Law No. 16 of March 11, 2020, containing "Urgent provisions for the organization and conduct of the Winter Olympic and Paralympic Games Milan Cortina 2026 and the ATP Finals Turin 2021-2025, as well as regarding the prohibition of parasitic activities," converted with amendments by Law No. 31 of May 8, 2020 (hereinafter, Decree Law or Decree Law 16/2020);</w:t>
        <w:br/>
        <w:t>HAVING REGARD to Legislative Decree No. 145 of August 2, 2007 (hereinafter Legislative Decree);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the communication initiating procedure PV16 of June 8, 2021, aimed at verifying the existence of a parasitic advertising activity in violation of Article 10, paragraphs 1 and 2, letter a), of Decree Law 16/2020 by Zalando SE;</w:t>
        <w:br/>
        <w:t>HAVING REGARD to its resolution of December 3, 2021, with which, pursuant to Article 7, paragraph 3, of the Regulation, the deadline for concluding the procedure was extended, for specific investigative needs;</w:t>
        <w:br/>
        <w:t>HAVING REGARD to its resolution of February 1, 2022, with which, pursuant to Article 7, paragraph 3, of the Regulation, the deadline for concluding the procedure was extended, for specific investigative needs;</w:t>
        <w:br/>
        <w:t>HAVING REGARD to the documents of the procedure;</w:t>
        <w:br/>
        <w:t>I. THE PARTY</w:t>
        <w:br/>
        <w:t>Zalando SE (hereinafter "Zalando" or "Company"), as the company responsible for the conduct. The company is active in the field of e-commerce. The financial statements of Zalando SE closed on December 31, 2020, show revenues of €7,982.00 million.</w:t>
        <w:br/>
        <w:t>II. THE CONDUCT</w:t>
        <w:br/>
        <w:t>1. The procedure concerns the conduct carried out by Zalando, reported by the Guardia di Finanza (hereinafter GDF) on June 8, 2021, consisting of the dissemination, in the same square in Rome where UEFA set up the official Football Village area for the international football event "UEFA Euro 2020," of a large advertisement, reproduced below, in which the expression "Who will be the winner?" was present, the name of Zalando was indicated, and the 24 flags of the participating nations in the event and a white football shirt featuring the distinctive Zalando logo were depicted.</w:t>
        <w:br/>
        <w:t>III. THE FINDINGS OF THE PROCEDURE</w:t>
        <w:br/>
        <w:t>1) The procedure's process</w:t>
        <w:br/>
        <w:t>2. In relation to the conduct described above, on June 8, 2021, the Party was notified of the initiation of the PV16 investigative procedure for possible violation of Article 10, paragraphs 1 and 2, letter a), of Decree Law 16/2020.</w:t>
        <w:br/>
        <w:t>3. In this context, the existence of a parasitic advertising activity was particularly hypothesized, as the message disseminated during the "UEFA Euro 2020" sporting event and posted in the immediate vicinity of the commercial area set up by UEFA (so-called Football Village), through the expressions and depictions appearing therein, would be suitable to create a link between the Zalando brand and the sporting event "UEFA Euro 2020" such as to generate confusion in the public regarding the identity of the official sponsors as well as the erroneous impression that Zalando is a sponsor of the event.</w:t>
        <w:br/>
        <w:t>4. On June 10, 2021, two communications were received from the Special Antitrust Unit of the GDF.</w:t>
        <w:br/>
        <w:t>5. On June 30, 2021, and July 6, 2021, Zalando's defense brief, including attachments, was received.</w:t>
        <w:br/>
        <w:t>6. On December 3, 2021, the Party was notified of the extension of the deadline for concluding the procedure due to the need to examine the documentation on file and the context of the first application of the regulations whose violation is hypothesized.</w:t>
        <w:br/>
        <w:t>7. On January 17, 2022, the Party was notified of the conclusion date of the investigative phase pursuant to Article 16, paragraph 1, of the Regulation.</w:t>
        <w:br/>
        <w:t>8. On February 1, 2022, the Party was notified of the extension of the deadline for concluding the procedure in order to ensure adequate adversarial proceedings for the party.</w:t>
        <w:br/>
        <w:t>9. On February 3, 2022, the Party submitted a request for an extension of the deadline for closing the investigative phase, which was accepted with communication on February 4, 2022.</w:t>
        <w:br/>
        <w:t>10. On February 21, 2022, the Party submitted a request for access to the documents of the procedure, which was responded to on February 24, 2022.</w:t>
        <w:br/>
        <w:t>11. On February 28, 2022, Zalando's final brief was received.</w:t>
        <w:br/>
        <w:t>2) The evidence acquired</w:t>
        <w:br/>
        <w:t>12. Firstly, from the report of the GDF and the statements of Zalando itself, it emerges that the company was not part of the official sponsors of the "UEFA Euro 2020" sporting event.</w:t>
        <w:br/>
        <w:t>13. The advertisement was placed in the location where it was detected by the GDF on June 1, 2021.</w:t>
        <w:br/>
        <w:t>14. On June 10, 2021, the Special Antitrust Unit of the GDF, which had reported the conduct, sent a note indicating that the advertisement subject to the procedure had been removed.</w:t>
        <w:br/>
        <w:t>15. The removal of the billboard was also confirmed and documented by the Company with a brief dated July 6, 2021. In particular, Zalando highlighted that it made the contested image immediately invisible by instructing to turn the banner since June 8, 2021.</w:t>
        <w:br/>
        <w:t>3) The defensive arguments of the Party</w:t>
        <w:br/>
        <w:t>16. In briefs received on July 6, 2021, and February 28, 2022, Zalando summarized the following.</w:t>
        <w:br/>
        <w:t>17. Zalando is a company active in the field of e-commerce and has long conducted advertising campaigns aimed at raising awareness in civil society on issues and topics of social importance. In this context, aspects such as the social inclusion of various minority groups have been addressed over time. As is known, June 2021, not only in Italy but worldwide, was also "pride month," characterized and perceived by the use of rainbow colors.</w:t>
        <w:br/>
        <w:t>18. In the same month of June 2021, the European football championship "EURO 2020" also began. There was much interest and curiosity regarding the interaction between the two events: for example, the decision of the captain of the German national team, who, as the best goalkeeper in the world in 2020, enjoys significant media attention, to wear the captain's armband in rainbow colors generated enormous media coverage.</w:t>
        <w:br/>
        <w:t>19. In the spirit mentioned above, for June 2021, Zalando also devised a campaign that linked current issues with socio-political stances. During the period from June 1 to June 8, 2021, the advertising campaign featured a sample of the contested message, and for the subsequent period, from June 8 to June 15, 2021, the campaign planned to replace the previous image with the following one:</w:t>
      </w:r>
    </w:p>
    <w:p>
      <w:r>
        <w:rPr>
          <w:b/>
        </w:rPr>
        <w:t>[Pages 193–195]</w:t>
      </w:r>
    </w:p>
    <w:p>
      <w:r>
        <w:t>BULLETIN NO. 14 OF APRIL 19, 2022 195</w:t>
        <w:br/>
        <w:t>20. The response to the question of the headline of the first poster would have been to deny – with the transition to the second poster – the conflict, always inherent in competition. The message is a rejection of any hostility and opposition between peoples and groups of individuals and, therefore, the answer to the question "who will be the winner?" would have been and must be: "Love always wins." Beyond the evident reference to the Virgilian "Omnia vincit amor," it becomes clear from the response that the question was not directly related to the European football championship. The message was rather directed at the European context (which in June 2021 certainly finds itself in the sporting moment that constitutes, as mentioned, a mere factual presupposition like many others) to invoke a union – better a chromatic fusion – of the national flags that are already interspersed with whimsical elements, which will ultimately replace national identities to color a rainbow and festive t-shirt.</w:t>
        <w:br/>
        <w:t>21. That said, the contested conduct would not constitute the unlawful act provided for by the cited legislation, which should be interpreted restrictively for both legal and factual reasons.</w:t>
        <w:br/>
        <w:t>22. From the first perspective, the teleological interpretation of the Decree Law should lead to excluding the football championship "Euro 2020" from the scope of application of the legislation, an event in which the unlawful conduct would have been carried out.</w:t>
        <w:br/>
        <w:t>23. The Preamble of the Decree Law, in fact, adopted in view of the 2026 Winter Olympic Games in Milan and Cortina and the ATP finals tennis tournament, contains no reference to the aforementioned championship, and appears to confer importance to the proportionality relationship between the public benefits of the event in question (both in economic terms and in the "social and cultural field") and the temporary restrictions, both limited in time.</w:t>
        <w:br/>
        <w:t>24. The event "EURO 2020" could not be compared to the XXV Winter Olympic Games and the XIV Winter Paralympic Games "Milan Cortina 2026," or to the "ATP Finals Turin 2021-2025," in relation to which the legislation was primarily conceived and introduced in our country. While the two cited events take place entirely in their respective locations and, in any case, on Italian territory, Italy's involvement in "Euro 2020" concerns only four matches (not including the final or the semi-finals) out of a total of 51 matches scheduled in the bracket. This would result in a significantly smaller number of spectators, and it therefore seems evident that in terms of public benefits, the few matches of the European football championship could not be compared to events such as the Olympic Games, at least from an economic perspective.</w:t>
        <w:br/>
        <w:t>25. A systematic interpretation would also seem to favor a restrictive definition of the scope of application of the legislation, supporting this with a comparison to the norms protecting consumers, competition, and trademarks.</w:t>
        <w:br/>
        <w:t>26. In fact, Article 10, paragraph 2, letter a), of Decree Law 16/2020 would be characterized by an excessive breadth of the legal definition since, unlike the norms contained in the Consumer Code and Legislative Decree 145/2007, it lacks the reference to the suitability of the error to "induce the consumer to make a commercial decision that he would not have otherwise made" – or to the circumstance that "the misleading nature may prejudice their economic behavior or that, for this reason, it is capable of harming a competitor." Such elements would allow for avoiding a disproportionate extension of the application scope of the cited provisions.</w:t>
        <w:br/>
        <w:t>27. Regarding the protection of registered trademarks, Article 20, paragraph 1, of the Industrial Property Code limits the powers of the holders of registered signs to cases of double identity, that is, identity or similarity between the signs and identity/similarity between the goods/services. Conversely, Decree Law No. 16/2020 does not presuppose the use of an "identical sign" but only "the creation of a connection, even indirect," a concept devoid of any conceptual limit. Considering the structural exceptionalism and the specialty of the discipline on one hand, and the terminological vagueness used by the legislator on the other, the article in question should be subject to a restrictive interpretation and, above all, a restrictive application (which would also result from a necessary constitutionally oriented reading of the provision in question, as argued further).</w:t>
        <w:br/>
        <w:t>28. Furthermore, the fundamental rights guaranteed by the Constitution, the Charter of Fundamental Rights of the European Union, and other instruments (such as the European Convention on Human Rights and the International Covenant on Civil and Political Rights), in the implementation of the legislation, should lead the interpreter to balance the interests protected by the law, namely the interests of the organizers and official sponsors not to see their investment nullified, and the fundamental principles of free competition and freedom of expression, resorting to the proportionality of protection by limiting the application of the legislation to larger-scale events, sometimes through an ex post evaluation in the implementation phase.</w:t>
        <w:br/>
        <w:t>29. It must be reiterated, according to the Company, the centrality of freedom of expression, a freedom that would be emptied of content in the face of an excess of privatization, which would occur if sporting events were treated as "private ceremonies" on public land – in this case, the contested conduct took place in Piazza del Popolo in Rome –: the risk would be to harm, and indeed extinguish, precisely that general euphoria and empathetic participation of all that constitute the emotional presupposition of great sporting events.</w:t>
        <w:br/>
        <w:t>30. As for the text of Article 10 of the Decree Law, the company highlights that the contested initiative would be characterized by the absence of words such as "Euro 2020" and of protected images as figurative trademarks as well as by the absence of the reproduction of characters protected by copyright, and the connection with the Euro 2020 event would be based on a partial and incomplete reading of the contested advertising project. The advertising image would, in fact, be characterized by additional elements beyond the presence of "flags belonging to the 24 Nations participating in the event," unlinked from Euro 2020. In fact, even the claim "who will be the winner?" would be far from creating connections with the event as the contested image, as highlighted, would have been subsequently replaced by a second poster that under the claim "who will be the winner?" states the answer "Love always wins." An answer that, together with the coloring of the t-shirt, would confirm that the advertising campaign aims at themes related to the social inclusion of sexual orientation minorities rather than the sporting event.</w:t>
        <w:br/>
        <w:t>31. Zalando's conduct, moreover, would be characterized by very short duration and minimal severity. The advertising message was, in fact, displayed for no more than seven days. This duration should be related to the overall duration of the prohibition period referred to in Article 10 of the Decree Law, established by Article 11, according to which "the prohibitions referred to in Article 10 operate from the date of registration of the logos, brands or official trademarks of the events referred to in paragraph 1 of the same Article 10 until the one hundred and eightieth day following the official date of their conclusion." In this case, the community trademark "EURO 2020" was registered on January 4, 2013, so the relationship between the duration of the contested behavior and the period of validity of the prohibition in this case would be negligible.</w:t>
        <w:br/>
        <w:t>32. Regarding the severity, Zalando notes that the inauguration, or the ribbon-cutting for the fan zone in Piazza del Popolo, took place on June 11, 2021, and, therefore, after the removal of the contested poster, so it could not be charged with the undue exploitation of any group of people gathered for a specific event.</w:t>
        <w:br/>
        <w:t>IV. CONCLUDING ASSESSMENTS</w:t>
        <w:br/>
        <w:t>33. This provision concerns the conduct carried out by Zalando consisting of maintaining, from June 1 to June 8, 2021, a large poster in the same square in Rome where UEFA set up the official Football Village area for the international football event "UEFA Euro 2020."</w:t>
        <w:br/>
        <w:t>34. In this regard, it is highlighted that the aforementioned advertising message constitutes, contrary to what the Company argued in its defenses, a parasitic advertising activity prohibited by Decree Law No. 16/2020.</w:t>
        <w:br/>
        <w:t>35. The advertising message, in fact, not authorized by the organizing parties of the event in question, was posted in the immediate vicinity of the commercial area set up by UEFA on the occasion of the event and is characterized by the indication of Zalando's name and the image of a white football t-shirt featuring Zalando's distinctive logo, surrounded by "flags belonging to the 24 Nations participating in the event" and the claim "who will be the winner?". The combination of elements included in the poster is capable of creating a connection between the name and the Zalando brand, on one hand, and the football event, on the other, and of misleading the public into believing, due to this connection, that Zalando is, contrary to the truth, an official sponsor of the event.</w:t>
      </w:r>
    </w:p>
    <w:p>
      <w:r>
        <w:rPr>
          <w:b/>
        </w:rPr>
        <w:t>[Pages 196–198]</w:t>
      </w:r>
    </w:p>
    <w:p>
      <w:r>
        <w:t>198 BULLETIN NO. 14 OF APRIL 19, 2022</w:t>
        <w:br/>
        <w:t>36. On the other hand, the defensive arguments put forward by the Company, according to which, in this case, the configurability of a parasitic advertising activity prohibited by Decree Law 16/2020 should be considered excluded in light of the types of events mentioned in the same Decree Law rather than by the need to favor a restrictive interpretation of the regulatory text in light of elements found in other regulatory frameworks for the protection of consumers and/or competitors/competition, are unfounded.</w:t>
        <w:br/>
        <w:t>37. In this regard, it is noted that Decree Law 16/2020 contains, on the one hand, urgent provisions concerning "the organization and conduct of the Winter Olympic and Paralympic Games Milan Cortina 2026 and the ATP Finals Turin 2021-2025," specifically reported in Chapters I and II of the provision, and under Chapter III, consisting of four articles (Articles 10-14), the "Regulation on the prohibition of parasitic activities," assigning the Authority the competence to ascertain violations and impose monetary sanctions.</w:t>
        <w:br/>
        <w:t>38. The scope of application of the aforementioned regulation is, therefore, defined by the general clause of Article 10 of Decree Law 16/2020, according to which all "fraudulent, misleading, or deceptive parasitic advertising and marketing activities" are prohibited, which i) are carried out "in relation to the organization" of nationally or internationally significant sporting or trade events; ii) are not authorized by the organizing parties; iii) aim to derive an economic or competitive advantage.</w:t>
        <w:br/>
        <w:t>39. The regulation, therefore, is not limited solely to "the organization and conduct of the Winter Olympic and Paralympic Games Milan Cortina 2026 and the ATP Finals Turin 2021-2025," but applies to all sporting events of national or international significance and, therefore, also to the international football event "UEFA Euro 2020." Moreover, contrary to what Zalando claims, the preamble of Decree Law 16/2020 refers to the "extraordinary necessity and urgency to strengthen, also in relation to other national and international sporting events that will take place in Italy starting from the year 2020, the regulatory framework regarding parasitic advertising and the protection of well-known signs in the sports field."</w:t>
        <w:br/>
        <w:t>40. The second paragraph of Article 10 of Decree Law 16/2020 then identifies four typified behaviors that "constitute prohibited parasitic advertising and marketing activities pursuant to paragraph 1," and among these, under letter a) – highlighted in this proceeding – the creation of a connection "even" indirect between a trademark or other distinctive sign and the event such as to "mislead the public about the identity of the sponsors."</w:t>
        <w:br/>
        <w:t>41. Therefore, contrary to what the Company claims, the regulation in question precisely defines the elements under which the case of "parasitic advertising activity" is fulfilled, including the misleading of the public on a specific aspect, "the identity of the sponsors," which can arise from an indirect connection between the advertised trademark and the "event."</w:t>
        <w:br/>
        <w:t>42. The applicability of the advertisement in question under the scope of the regulation is, therefore, evident.</w:t>
        <w:br/>
        <w:t>1 These are, in particular, the following articles: Article 10, Prohibition of parasitic activities; Article 11 Temporal scope; Article 12 Sanctions and administrative and judicial protection; Article 13 Direct protection of damaged parties; Article 14 Registration as a trademark of images depicting trophies.</w:t>
      </w:r>
    </w:p>
    <w:p>
      <w:r>
        <w:t>BULLETIN NO. 14 OF APRIL 19, 2022 199</w:t>
        <w:br/>
        <w:t>43. The fact that the advertising campaign was aimed at promoting socially relevant themes such as the inclusion of sexual orientation minorities does not appear to negate the aforementioned connection between the Zalando trademark and the sporting event and thus the misleading of the public regarding the identity of the official sponsors, especially since the declared objective of the Company was clear only from the advertisement that replaced the one under examination.</w:t>
        <w:br/>
        <w:t>44. In conclusion, the advertising message subject to this provision constitutes a prohibited parasitic advertising activity pursuant to Article 10, paragraphs 1 and 2 of Decree Law 16/2020 as it is capable, due to the location where it was carried out as well as the expressions and representations appearing in the message, of creating a connection between the Zalando trademark and the UEFA Euro 2020 football event and misleading the public recipients about the identity of the sponsors, implying that Zalando is, contrary to the truth, a sponsor of the event.</w:t>
        <w:br/>
        <w:t>V. QUANTIFICATION OF THE SANCTION</w:t>
        <w:br/>
        <w:t>45. Pursuant to Article 12, paragraph 1, of Decree Law 16/2020, with the provision that prohibits parasitic activity, the Authority imposes an administrative monetary sanction from €100,000 to €2,500,000, taking into account the severity and duration of the violation.</w:t>
        <w:br/>
        <w:t>46. Regarding the quantification of the sanction, the criteria identified by Article 11 of Law No. 689/81 must be considered, as applicable, by virtue of the reference provided in Article 8, paragraph 13, of Legislative Decree 145/2007 as recalled by Article 12, paragraph 2, of Decree Law 16/2020 and, in particular, the severity of the violation, the efforts made by the company to eliminate or mitigate the infringement, the personality of the agent, as well as the economic conditions of the company itself.</w:t>
        <w:br/>
        <w:t>47. With regard to the severity of the violation, consideration is given in the case at hand to the economic size of the professional, who generated revenues of €7,982.00 million in 2020, the limited dissemination of the advertising message posted solely in a square in Rome, as well as the context of the first application of the violated regulation.</w:t>
        <w:br/>
        <w:t>48. As for the duration of the violation, the available evidence shows that the conduct was carried out for 7 days from June 1, 2021, to June 8, 2021.</w:t>
        <w:br/>
        <w:t>49. Based on these elements, it is deemed appropriate to determine the amount of the administrative monetary sanction applicable to Zalando at the minimum statutory amount of €100,000 (one hundred thousand euros).</w:t>
        <w:br/>
        <w:t>CONSIDERING, therefore, based on the aforementioned considerations, that the conduct in question, carried out by Zalando SE, constitutes a parasitic advertising activity in violation of Article 10, paragraphs 1 and 2, letter a), of Decree Law March 11, 2020, No. 16, converted with amendments by Law May 8, 2020, No. 31, as it is capable, due to the location of the message dissemination, as well as the expressions and representations that appear therein, of creating a connection between the Zalando trademark and the UEFA Euro 2020 football event and misleading the public recipients about the identity of the sponsors, implying, due to such connection, that Zalando SE is, contrary to the truth, a sponsor of the event;</w:t>
      </w:r>
    </w:p>
    <w:p>
      <w:r>
        <w:t>200 BULLETIN NO. 14 OF APRIL 19, 2022</w:t>
        <w:br/>
        <w:t>RESOLVES</w:t>
        <w:br/>
        <w:t>a) that the conduct described in point II of this provision, carried out by Zalando SE, constitutes, for the reasons and within the limits set forth in the motivation, a parasitic advertising activity pursuant to Article 10, paragraphs 1 and 2, letter a), of Decree Law March 11, 2020, No. 16, converted with amendments by Law May 8, 2020, No. 31;</w:t>
        <w:br/>
        <w:t>b) to impose on Zalando SE an administrative monetary sanction of €100,000 (one hundred thousand euros). The imposed administrative sanction must be paid within thirty days from the notification of this provision, via bank transfer (in euros) to the Treasury, using the IBAN code IT04A0100003245348018359214 (BIC code: BITAITRRENT), which corresponds to accounting number 18/3592/14.</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date on which the role is transmitted to the collection agent; in this case, the increase absorbs the late payment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8, paragraph 12, of the Legislative Decree, in case of non-compliance with the provision, the Authority applies an administrative monetary sanction from €10,000 to €150,000. In cases of repeated non-compliance, the Authority may order the suspension of business activity for a period not exceeding thirty days.</w:t>
      </w:r>
    </w:p>
    <w:p>
      <w:r>
        <w:rPr>
          <w:b/>
        </w:rPr>
        <w:t>[Pages 199–200]</w:t>
      </w:r>
    </w:p>
    <w:p>
      <w:r>
        <w:t>BULLETIN NO. 14 OF APRIL 19, 2022 201</w:t>
        <w:br/>
        <w:t>Against this provision, an appeal may be submitted to the TAR of Lazio, pursuant to Article 135, paragraph 1, letter b), of the Code of Administrative Procedure (Legislative Decree of July 2, 2010, no. 104),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of November 24, 1971, no. 1199, within the term of one hundred and twenty days from the date of notification of the provision itself.</w:t>
        <w:br/>
        <w:t>THE SECRETARY GENERAL THE PRESIDENT</w:t>
        <w:br/>
        <w:t>Guido Stazi Roberto Rustichelli</w:t>
      </w:r>
    </w:p>
    <w:p>
      <w:r>
        <w:t>Antitrust Authority Weekly Bulletin</w:t>
        <w:br/>
        <w:t>of Competition and Market Year XXXII - No. 14 - 2022</w:t>
        <w:br/>
        <w:t>Editorial Coordination Giulia Antenucci</w:t>
        <w:br/>
        <w:t>Editorial Team Valerio Ruocco, Simonetta Schettini, Manuela Villani</w:t>
        <w:br/>
        <w:t>Antitrust Authority</w:t>
        <w:br/>
        <w:t>Office of Statistics and IT Applications</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