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https://www.agcm.it/dotcmsdoc/bollettini/2024/14-24.pdf</w:t>
      </w:r>
    </w:p>
    <w:p>
      <w:r>
        <w:t>Pages translated : 50</w:t>
      </w:r>
    </w:p>
    <w:p/>
    <w:p>
      <w:r>
        <w:rPr>
          <w:b/>
        </w:rPr>
        <w:t>[Pages 1–3]</w:t>
      </w:r>
    </w:p>
    <w:p>
      <w:r>
        <w:t>Bulletin</w:t>
        <w:br/>
        <w:t>Weekly</w:t>
        <w:br/>
        <w:t>Year XXXIV - No. 14</w:t>
        <w:br/>
        <w:t>Published on the website www.agcm.it</w:t>
        <w:br/>
        <w:t>April 8, 2024</w:t>
      </w:r>
    </w:p>
    <w:p>
      <w:r>
        <w:t>SUMMARY</w:t>
        <w:br/>
        <w:t>AGREEMENTS AND ABUSE OF DOMINANT POSITION 5</w:t>
        <w:br/>
        <w:t>A573 - BIO-COMPOSTABLE SHOPPERS</w:t>
        <w:br/>
        <w:t>Decision No. 31143 5</w:t>
        <w:br/>
        <w:t>CONCENTRATION OPERATIONS 20</w:t>
        <w:br/>
        <w:t>C12600 - LIFENET/OSPEDALE DI ERBA</w:t>
        <w:br/>
        <w:t>Decision No. 31139 20</w:t>
        <w:br/>
        <w:t>C12614 - FLORENCE GROUP/STAR NEW GENERATION</w:t>
        <w:br/>
        <w:t>Decision No. 31140 25</w:t>
        <w:br/>
        <w:t>UNFAIR TRADE PRACTICES 30</w:t>
        <w:br/>
        <w:t>PS12582 - AGRICOLAVIOLA.COM-ILREDELLAFORESTA.COM-FAILED DELIVERIES</w:t>
        <w:br/>
        <w:t>Decision No. 31141 30</w:t>
        <w:br/>
        <w:t>VARIOUS 47</w:t>
        <w:br/>
        <w:t>COMMUNICATION REGARDING THE APPLICATION OF ARTICLE 210 BIS, PARAGRAPH 7,</w:t>
        <w:br/>
        <w:t>OF REGULATION (EU) NO. 1308/2013 ON SUSTAINABILITY AGREEMENTS OF</w:t>
        <w:br/>
        <w:t>AGRICULTURAL PRODUCERS</w:t>
        <w:br/>
        <w:t>Decision No. 31142 47</w:t>
      </w:r>
    </w:p>
    <w:p>
      <w:r>
        <w:t>BULLETIN NO. 14 OF APRIL 8, 2024 5</w:t>
        <w:br/>
        <w:t>AGREEMENTS AND ABUSE OF DOMINANT POSITION</w:t>
        <w:br/>
        <w:t>A573 - BIO-COMPOSTABLE SHOPPERS</w:t>
        <w:br/>
        <w:t>Decision No. 31143</w:t>
        <w:br/>
        <w:t>THE COMPETITION AND MARKET AUTHORITY</w:t>
        <w:br/>
        <w:t>IN ITS MEETING of March 26, 2024;</w:t>
        <w:br/>
        <w:t>HEARD the Rapporteur Saverio Valentino;</w:t>
        <w:br/>
        <w:t>HAVING REGARD TO Article 102 of the Treaty on the Functioning of the European Union (TFEU);</w:t>
        <w:br/>
        <w:t>HAVING REGARD TO Council Regulation No. 1/2003 of December 16, 2002 concerning the application</w:t>
        <w:br/>
        <w:t>of the competition rules laid down in Articles 101 and 102 of the TFEU;</w:t>
        <w:br/>
        <w:t>HAVING REGARD TO Law No. 287 of October 10, 1990;</w:t>
        <w:br/>
        <w:t>HAVING REGARD TO Presidential Decree No. 217 of April 30, 1998;</w:t>
        <w:br/>
        <w:t>HAVING REGARD TO the documentation on file;</w:t>
        <w:br/>
        <w:t>CONSIDERING the following</w:t>
        <w:br/>
        <w:t>I. THE PARTIES</w:t>
        <w:br/>
        <w:t>1. Novamont S.p.A. (hereinafter, “Novamont”) is a company operating nationally and</w:t>
        <w:br/>
        <w:t>across Europe in the production of bioplastics and the development of products derived from renewable resources. Novamont is wholly owned by Versalis S.p.A., which is in turn wholly owned by ENI S.p.A.1 In 2022, Novamont generated a consolidated revenue of approximately [100-532]* million euros, of which approximately [100-532] million in Italy.</w:t>
        <w:br/>
        <w:t>2. ENI S.p.A. (hereinafter, “ENI”) is an Italian law company at the head of the eponymous group active</w:t>
        <w:br/>
        <w:t>in the exploration, development, and extraction of oil and natural gas, production and wholesale and retail sale of fuels, biofuels, lubricants, and chemical products, in the procurement,</w:t>
        <w:br/>
        <w:t>supply, trading, and transport of oil, natural gas, LNG, and electricity, as well as the production and</w:t>
        <w:br/>
        <w:t>marketing of chemical products. In 2022, ENI generated a consolidated revenue of approximately [100-150] billion euros, of which approximately [50-70] billion euros generated in Italy.</w:t>
        <w:br/>
        <w:t>3. Novamont is active in the production of bioplastics through the following main product lines: (i) 'Mater-Bi', a family of biodegradable and compostable bioplastics that represents Novamont's main product; (ii) 'Origo-Bi', a family of biodegradable polyester generated in the production process of Mater-Bi; (iii) 'Matrol-Bi', a line of biolubricants obtained from</w:t>
        <w:br/>
        <w:t>1 See European Commission Decision of September 28, 2023, case COMP/M.11150 – Versalis/Novamont.</w:t>
        <w:br/>
        <w:t>* In this version, some data are omitted, as there were deemed to be elements of confidentiality or secrecy of the information.</w:t>
      </w:r>
    </w:p>
    <w:p>
      <w:r>
        <w:rPr>
          <w:b/>
        </w:rPr>
        <w:t>[Pages 4–6]</w:t>
      </w:r>
    </w:p>
    <w:p>
      <w:r>
        <w:t>6 BULLETIN NO. 14 OF APRIL 8, 2024</w:t>
      </w:r>
    </w:p>
    <w:p>
      <w:r>
        <w:t>renewable resources; (iv) 'Celus-Bi', a family of ingredients for the cosmetic sector made from renewable raw materials; and (v) 'Ager-Bi', plant protection products for agricultural use.</w:t>
      </w:r>
    </w:p>
    <w:p>
      <w:r>
        <w:t>4. The main product of Novamont is Mater-Bi. Mater-Bi is purchased and used by third-party manufacturers to produce: (i) shopping bags (light and very lightweight) and waste bags; (ii) products for agriculture; (iii) foodservice products (cutlery, cups, straws, plates). Almost [60-80%] of Novamont's total revenue is attributable to the sale of Mater-Bi. In particular, [20-40%] is related to the sale of Mater-Bi to producers of fruit and vegetable bags (very lightweight bags), [20-40%] to the sale of Mater-Bi to producers of shopping bags (light bags), and [1-20%] to the sale of Mater-Bi to producers of waste bags2. Therefore, the majority of Novamont's revenue comes from the sale of Mater-Bi to producers of fruit and vegetable bags and shopping bags.</w:t>
      </w:r>
    </w:p>
    <w:p>
      <w:r>
        <w:t>II. THE REPORT RECEIVED AND THE EVIDENCE ACQUIRED</w:t>
      </w:r>
    </w:p>
    <w:p>
      <w:r>
        <w:t>II.1. The report</w:t>
      </w:r>
    </w:p>
    <w:p>
      <w:r>
        <w:t>5. On September 21 and 22, 2023, several anonymous reports were received regarding the circumstance that Novamont had entered into various agreements with large-scale retail distribution that would effectively exclude producers of plastic bags that do not use Novamont's raw material.</w:t>
      </w:r>
    </w:p>
    <w:p>
      <w:r>
        <w:t>6. According to the anonymous reporter, “[t]he market for bio-compostable shopping bags (made mandatory by law) and other biocompostable products has been dominated in Italy for years by the raw material producer Novamont S.p.A. and a pool of companies that Novamont has called 'partners' for years. […] These packaging producers, since the law on shopping bags came into force, have captured the majority of the market of the large-scale retail distribution [n.d.r. Grande distribuzione organizzata] through agreements that Novamont has gradually made directly, then distributing supplies to various 'partner' producers divided by geographical areas […] Novamont made agreements and its 'partners' produced bags with the raw material that Novamont provided, thus sidelining hundreds of small companies in the sector (that do not use Mater-Bi raw material) to which only the crumbs of the market remained.”3. The report was subsequently supplemented by referring to other agreements4.</w:t>
      </w:r>
    </w:p>
    <w:p>
      <w:r>
        <w:t>II.2. The information acquired regarding the conduct</w:t>
      </w:r>
    </w:p>
    <w:p>
      <w:r>
        <w:t>7. Following requests for information made in November and December 20235, it emerged that some users – namely the main purchasing centers of the GDO6 – have entered into agreements with Novamont, at least since 2017, containing exclusivity clauses that commit these users (and the retail outlets linked to the purchasing centers) to procure plastic bags7 made exclusively with the raw material produced by Novamont, called Mater-Bi. In exchange for such exclusivity clauses, Novamont pays a fixed amount and sometimes also a variable fee depending on the number of products purchased.</w:t>
      </w:r>
    </w:p>
    <w:p>
      <w:r>
        <w:t>8. The exclusivity or semi-exclusivity agreements are entered into with the main and largest customers who express the demand for lightweight plastic bags (hereinafter also “LPB”) and very lightweight plastic bags (hereinafter also “VLPB”), namely the large purchasing centers of the GDO and other large users. These agreements have in common the conditioning of buyers in the choice of LPB and VLPB bag transformers, restricting the selection of the same to only those transformers that have a supply relationship with Novamont for the use of Mater-Bi.</w:t>
      </w:r>
    </w:p>
    <w:p>
      <w:r>
        <w:t>9. According to preliminary estimates based on information from the main purchasing centers of the GDO, the agreements between the GDO and Novamont appear prima facie to concern more than 60% of the demand for lightweight plastic bags and a majority of very lightweight plastic bags, depending on whether value or volume is considered. On average, this represents more than 50% of the total demand (LPB+VLPB).</w:t>
      </w:r>
    </w:p>
    <w:p>
      <w:r>
        <w:t>10. Furthermore, following additional information obtained between January and February 2024, it emerged that, at least since October 2023, Novamont has implemented a series of agreements with transformers (23 companies in total), which are divided into Premium Partners and Base Partners8. The Premium Partners are “the companies that have signed the agreement for the exclusive use of Mater-Bi® on all compostable applications they produce”9, while the other partners “commit to realizing with Mater-Bi® the predominant share of their revenue in the compostables sector”10. It cannot be excluded that similar agreements were in place previously.</w:t>
      </w:r>
    </w:p>
    <w:p>
      <w:r>
        <w:t>11. According to preliminary estimates based on information from the main purchasing centers of the GDO, the producers of plastic bags (the so-called transformers) who are Novamont partners and therefore have an exclusive or semi-exclusive supply relationship for the raw material represent an estimated share of over 60% of the sales of lightweight and very lightweight plastic bags to the GDO11.</w:t>
      </w:r>
    </w:p>
    <w:p>
      <w:r>
        <w:t>7 In particular, lightweight plastic bags – so-called LPB – and very lightweight plastic bags – so-called VLPB.</w:t>
      </w:r>
    </w:p>
    <w:p>
      <w:r>
        <w:t>8 See doc. 3, 4, 5, 6, 7, 8, 9, 10, 11, 12, 13, 14, 15, 16, 17, 18, 19, 20, 21, 22 (requests for information); 23, 24, 25, 27, 28, 29, 30, 31, 32, 33, 34, 35, 36, 37, 38, 39, 40, 41, 42, 43, 44 (responses to requests for information).</w:t>
      </w:r>
    </w:p>
    <w:p>
      <w:r>
        <w:t>9 See doc. 46, annex 3. The premium partners are Ceplast S.p.A., Ecozema S.r.l. – Società Benefit, Flessobags S.r.l., Ilip S.r.l., Industria Plastica Toscana Soc. Cooperativa, Joeplast S.p.A., Lpm Group S.p.A., Peter Pan Plast S.r.l., Polycart S.p.A., Re.Ma. Plast S.r.l., Sacme S.p.A., Tecnosac S.r.l., Virosac S.r.l.</w:t>
      </w:r>
    </w:p>
    <w:p>
      <w:r>
        <w:t>10 See doc. 46, annex 3. The partners are 2C S.r.l., C.P.B. - Componenti Plastici Biodegradabili S.r.l., Erreti S.r.l., Flexopack S.r.l., Ibi Plast S.r.l., IMB S.p.A., I.M.I. - Industria Monouso Italiana S.p.A., Lady Plastik S.r.l., Stemaplast S.r.l., Stereoflex Group S.r.l.</w:t>
      </w:r>
    </w:p>
    <w:p>
      <w:r>
        <w:t>11 It should be noted that the sales of these transformers are directed both to GDO operators contracted with Novamont (e.g., Conad, Selex, Unicoop Firenze, Carrefour, and Pam) and to other GDO operators that are not contracted with Novamont (e.g., Esselunga, Lidl, MD, etc.).</w:t>
      </w:r>
    </w:p>
    <w:p>
      <w:r>
        <w:t>8 BULLETIN NO. 14 OF APRIL 8, 2024</w:t>
      </w:r>
    </w:p>
    <w:p>
      <w:r>
        <w:t>III. RELEVANT MARKETS</w:t>
      </w:r>
    </w:p>
    <w:p>
      <w:r>
        <w:t>III.1. Regulatory context</w:t>
      </w:r>
    </w:p>
    <w:p>
      <w:r>
        <w:t>III.1.a. The raw material: plastics and bioplastics</w:t>
      </w:r>
    </w:p>
    <w:p>
      <w:r>
        <w:t>12. According to Directives 2015/720/EU12 and 2019/904/EU13, “plastic” means material consisting of a polymer14, to which additives or other substances may have been added, and which can function as the main structural component of finished products, except for natural polymers15 that have not been chemically modified. The term plastic thus refers to all synthetic materials (polymers). Plastics can be classified according to their technical characteristics and the applications for which they can be used.</w:t>
      </w:r>
    </w:p>
    <w:p>
      <w:r>
        <w:t>13. In particular, “biodegradable plastic” refers to plastic that can undergo a physical, biological decomposition whereby it ultimately breaks down into carbon dioxide (CO2), biomass, and water, and is, according to European regulations on packaging, recoverable through composting and anaerobic digestion16. The requirements for biodegradability and compostability are established by the European Committee for Standardization and in particular by standard EN 13432 adopted with national standard UNI EN 13432:200217.</w:t>
      </w:r>
    </w:p>
    <w:p>
      <w:r>
        <w:t>14. “Biomass or bio-based plastic” refers to a material created partially or entirely from biomass, i.e., from non-fossil sources, according to technical standard EN 16575 (UNI EN 16575:2014).</w:t>
      </w:r>
    </w:p>
    <w:p>
      <w:r>
        <w:t>15. The two definitions capture two different aspects of plastic. The characteristic of bio-based plastic is essentially linked to the products from which the polymer originates, of plant origin. In contrast, biodegradability and compostability are independent of plant origin. Not all bio-based plastics are biodegradable, and there are plastics not derived from biomass that are still biodegradable18.</w:t>
      </w:r>
    </w:p>
    <w:p>
      <w:r>
        <w:t>16. According to the European Bioplastics Association19, “bioplastics” are defined as those materials that are alternatively either bio-based or biodegradable, or that exhibit both properties.</w:t>
      </w:r>
    </w:p>
    <w:p>
      <w:r>
        <w:rPr>
          <w:b/>
        </w:rPr>
        <w:t>[Pages 7–9]</w:t>
      </w:r>
    </w:p>
    <w:p>
      <w:r>
        <w:t>BULLETIN NO. 14 OF APRIL 8, 2024</w:t>
      </w:r>
    </w:p>
    <w:p>
      <w:r>
        <w:t>Figure 1 – Distinction of plastics based on biomass origin and biodegradability20</w:t>
      </w:r>
    </w:p>
    <w:p>
      <w:r>
        <w:t>17. The market for biodegradable plastics is currently dominated by three groups of polymers: polyesters, PLA (polylactic acid), and starch blends21. Novamont's Mater-Bi is a polymer based on starch blends and appears to be one of the most marketed for the production of packaging22.</w:t>
      </w:r>
    </w:p>
    <w:p>
      <w:r>
        <w:t>III.1.b. Plastic Bags</w:t>
      </w:r>
    </w:p>
    <w:p>
      <w:r>
        <w:t>18. Plastic bags are usually used a limited number of times and pose the problem of becoming waste. To counteract such environmental impacts, the European Union intervened through Directive 2015/720/EU. According to this Directive, the following definitions are provided23:</w:t>
        <w:br/>
        <w:t>- “plastic carrier bags”: bags for takeaway with or without handles, made of plastic, provided to consumers at points of sale of goods or products;</w:t>
        <w:br/>
        <w:t>- “lightweight plastic carrier bags”: plastic bags with a thickness of less than 50 microns24;</w:t>
        <w:br/>
        <w:t>20 https://www.european-bioplastics.org/bioplastics/materials/</w:t>
        <w:br/>
        <w:t>21 See doc. 46, annex 1 (Relevance of Biodegradable and Compostable Consumer Plastic Products and Packaging in a Circular Economy for the European Commission DG Environment. Project conducted under Framework Contract No ENV.B.3/FRA/2017/005).</w:t>
        <w:br/>
        <w:t>22 “Mater-Bi® is one of the most commercialized starch-based blends used in biodegradable flexible packaging.” See Bouzidi S, Ben Ayed E, Tarrés Q, Delgado-Aguilar M, Boufi S. Processing Polymer Blends of Mater-Bi® and Poly-L-(Lactic Acid) for Blown Film Application with Enhanced Mechanical Strength. Polymers (Basel). 2022 Dec 29;15(1):153. doi: 10.3390/polym15010153. PMID: 36616503; PMCID: PMC9823894.</w:t>
        <w:br/>
        <w:t>23 On this point, see also Article 218 of Legislative Decree No. 152/2006, points dd-ter), dd-quater), dd-quinquies), dd-septies).</w:t>
        <w:br/>
        <w:t>24 These are usually the shoppers, made of lightweight material and typically not reused, found at points of sale for transporting purchased items.</w:t>
      </w:r>
    </w:p>
    <w:p>
      <w:r>
        <w:t>10 BULLETIN NO. 14 OF APRIL 8, 2024</w:t>
      </w:r>
    </w:p>
    <w:p>
      <w:r>
        <w:t>- “very lightweight plastic carrier bags”: plastic bags with a thickness of less than 15 microns required for hygiene purposes or provided as primary packaging for loose food if this helps prevent the generation of food waste25.</w:t>
      </w:r>
    </w:p>
    <w:p>
      <w:r>
        <w:t>19. Article 4 of Directive 2015/720/EU imposes on Member States the obligation to “adopt the necessary measures to achieve a sustained reduction in the use of lightweight plastic carrier bags on their territory. Such measures may include the use of national reduction targets, the maintenance or introduction of economic instruments, as well as marketing restrictions in derogation of Article 18, provided that these restrictions are proportionate and non-discriminatory.” Member States may, at their discretion, adopt two options consisting of:</w:t>
        <w:br/>
        <w:t>a) adopting measures to ensure that the annual usage level does not exceed 90 lightweight plastic bags per capita by December 31, 2019, and 40 lightweight plastic bags per capita by December 31, 2025, or equivalent weight targets;</w:t>
        <w:br/>
        <w:t>b) adopting instruments to ensure that, by December 31, 2018, lightweight plastic bags are not provided free of charge at points of sale of goods or products, unless other equally effective instruments are implemented;</w:t>
        <w:br/>
        <w:t>c) very lightweight plastic bags may be excluded from such obligations.</w:t>
      </w:r>
    </w:p>
    <w:p>
      <w:r>
        <w:t>20. As of November 202126, 7 Member States chose option (a), 11 Member States chose option (b), and 11 Member States, including Italy, adopted both options (a) and (b). However, in each Member State, the measures may vary in the extent of the imposed limits and for the presence of exemptions for certain products, as well as for the provision of specific measures not required by the aforementioned Directive, for VLPB.</w:t>
      </w:r>
    </w:p>
    <w:p>
      <w:r>
        <w:t>21. Therefore, while from a definitional point of view, European and national regulations appear to define a harmonized framework, they allow for differentiation among Member States in the measures aimed at reducing the use of lightweight plastic bags and very lightweight plastic bags, which may include marketing bans for plastic bags containing certain materials.</w:t>
      </w:r>
    </w:p>
    <w:p>
      <w:r>
        <w:t>22. In Italy, the regulations regarding the marketing of plastic bags have been incorporated into Legislative Decree No. 152/2006, which transposed Directive 2015/720/EU, providing significant restrictions on the marketing of LPB and VLPB. In particular, Article 226 bis:</w:t>
        <w:br/>
        <w:t>- prohibits the marketing of lightweight plastic bags, except for biodegradable and compostable plastic bags;</w:t>
        <w:br/>
        <w:t>- prohibits the marketing of all plastic bags (including those made of lightweight material, thus with a thickness of less than 50 microns) except for reusable plastic bags that have a thickness of 60, 100, or 200 microns depending on the case27;</w:t>
      </w:r>
    </w:p>
    <w:p>
      <w:r>
        <w:t>25 It should be noted that the definition of VLPB is not only dimensional but also concerns the intended use, namely the use as primary packaging (i.e., packaging that comes into contact with the product unit) for loose food (fruits, vegetables, fish, etc.). These are, in fact, plastic bags used as packaging for loose food products.</w:t>
      </w:r>
    </w:p>
    <w:p>
      <w:r>
        <w:t>26 European Commission, 2021, Scoping study to assess the feasibility of further EU measures on waste prevention and implementation of the Plastic Bags Directive. Part II, Implementation of Plastic Bags Directive https://op.europa.eu/en/publication-detail/-/publication/3f3ee30e-7cc5-11ec-8c40-01aa75ed71a1/language-en.</w:t>
      </w:r>
    </w:p>
    <w:p>
      <w:r>
        <w:t>27 In particular, for reusable plastic bags with an external handle outside the useful size of the bag, those are allowed: (i) with a single wall thickness greater than 200 microns and containing a percentage of recycled plastic of at least 30 percent provided, as packaging for transport, in establishments that market food products; (ii) with a single wall thickness greater than 100 microns and containing a percentage of recycled plastic of at least 10 percent provided, as packaging for transport, in establishments that market exclusively goods and products other than food products. For reusable plastic bags with an internal handle within the useful size of the bag, those are allowed (i) with a single wall thickness greater than 100 microns and containing a percentage of recycled plastic of at least 30 percent provided, as packaging for transport, in establishments that market food products; (ii) with a single wall thickness greater than 60 microns and containing a percentage of recycled plastic of at least 10 percent provided, as packaging for transport, in establishments that market exclusively goods and products other than food products.</w:t>
      </w:r>
    </w:p>
    <w:p>
      <w:r>
        <w:t>11 BULLETIN NO. 14 OF APRIL 8, 2024</w:t>
      </w:r>
    </w:p>
    <w:p>
      <w:r>
        <w:t>- prohibits free distribution.</w:t>
      </w:r>
    </w:p>
    <w:p>
      <w:r>
        <w:t>23. Regarding very lightweight bags, Article 226 ter prohibits the marketing of VLPB except for those (i) biodegradable and compostable and (ii) starting from January 1, 2021, with a minimum content of renewable raw material of no less than 60%. The distribution of VLPB cannot be free of charge.</w:t>
      </w:r>
    </w:p>
    <w:p>
      <w:r>
        <w:t>Table 1 – Requirements for marketing</w:t>
      </w:r>
    </w:p>
    <w:p>
      <w:r>
        <w:t>| Bags in very lightweight material (VLPB) | Bags in lightweight material (LPB) | Reusable Bags |</w:t>
        <w:br/>
        <w:t>|------------------------------------------|------------------------------------|----------------|</w:t>
        <w:br/>
        <w:t>| Thickness less than 15 microns and used as primary packaging for loose food | Not present (all plastic bags that by their nature are usually reused) | 1. At least 30% recycled plastic |</w:t>
        <w:br/>
        <w:t>|                                          | 1. compostable and biodegradable    | 2. Wall thickness: |</w:t>
        <w:br/>
        <w:t>|                                          |                                    | ai 200 microns for bags with external handle; |</w:t>
        <w:br/>
        <w:t>|                                          |                                    | ai 100 microns for bags with internal handle; |</w:t>
        <w:br/>
        <w:t>|                                          | 1. compostable and biodegradable    | 1. At least 10% recycled plastic |</w:t>
        <w:br/>
        <w:t>|                                          |                                    | 2. Wall thickness: |</w:t>
        <w:br/>
        <w:t>|                                          |                                    | ai 100 microns for bags with external handle; |</w:t>
        <w:br/>
        <w:t>|                                          |                                    | ai 60 microns for bags with internal handle; |</w:t>
      </w:r>
    </w:p>
    <w:p>
      <w:r>
        <w:t>III.2. Definition of Relevant Markets</w:t>
      </w:r>
    </w:p>
    <w:p>
      <w:r>
        <w:t>24. The report concerns the supply chain of the production of (bio)plastic bags. As can be seen from Figure 2 below, the first level, located upstream of the supply chain, concerns the producers of raw materials. Novamont is active at this level of the supply chain with various products (primarily, Mater-Bi). The plastic raw materials are varied; however, each of them can only be used for certain applications and intended for specific uses, also based on national regulations that govern such destinations, including the production of biodegradable and compostable shoppers.</w:t>
      </w:r>
    </w:p>
    <w:p>
      <w:r>
        <w:t>25. The second level of the supply chain concerns that of transformation: transformers produce, starting from the (bio)plastic raw material, the finished products (for example, shoppers or bags used for...</w:t>
      </w:r>
    </w:p>
    <w:p>
      <w:r>
        <w:rPr>
          <w:b/>
        </w:rPr>
        <w:t>[Pages 10–12]</w:t>
      </w:r>
    </w:p>
    <w:p>
      <w:r>
        <w:t>12 BULLETIN NO. 14 OF APRIL 8, 2024</w:t>
      </w:r>
    </w:p>
    <w:p>
      <w:r>
        <w:t>for loose food). The transformers sell their products to users, namely the points of sale that offer consumers the shoppers and bags for loose food (fruits, vegetables, fish, etc.). A significant group of users is represented by the Large Organized Distribution (GDO).</w:t>
      </w:r>
    </w:p>
    <w:p>
      <w:r>
        <w:t>Figure 2 - Supply chain of (bio)plastic bag production (illustrative figure)</w:t>
      </w:r>
    </w:p>
    <w:p>
      <w:r>
        <w:t>III.2.a. Downstream markets: plastic bags</w:t>
      </w:r>
    </w:p>
    <w:p>
      <w:r>
        <w:t>26. With regard to plastic bags, there do not appear to be any national or community precedents in which such types of products have been examined, except incidentally to exclude them from other relevant markets28. In this context, it is considered possible to identify prima facie the following relevant markets from a merchandise perspective:</w:t>
      </w:r>
    </w:p>
    <w:p>
      <w:r>
        <w:t>28 In particular, in case COMP/M.2441 – Amcor/Danisco/Ahlstrom, the European Commission considered the market for flexible packaging, excluding from this market certain types of products, including carrier bags and supermarket self-service and counter bags (“Flexible packaging excludes shrink and stretch films used for secondary packaging, pallet wrap, carrier bags, supermarket self-service and counter bags, silage bags, refuse sacks, and industrial heavy duty sacks.”). See European Commission Decision of June 11, 2001, case COMP/M.2441 – Amcor/Danisco/Ahlstrom. Also see European Commission Decision of February 24, 2003, case COMP/M.3049 – Alcan/Flexpack.</w:t>
      </w:r>
    </w:p>
    <w:p>
      <w:r>
        <w:t>BULLETIN NO. 14 OF APRIL 8, 2024</w:t>
      </w:r>
    </w:p>
    <w:p>
      <w:r>
        <w:t>i. the market for lightweight plastic bags, understood as plastic bags with a thickness of less than 50 microns used both in establishments that market food products and in other establishments, produced according to Italian regulations (biodegradable and compostable);</w:t>
        <w:br/>
        <w:t>ii. the market for very lightweight plastic bags, understood as plastic bags with a thickness of less than 15 microns used in contact with loose food, produced according to Italian regulations (biodegradable, compostable with a minimum of 60% renewable raw material content).</w:t>
      </w:r>
    </w:p>
    <w:p>
      <w:r>
        <w:t>27. This merchandise distinction is based, first and foremost, on the regulatory context and, in particular, on the definitions of the two types of products identified by Directive 2015/720/EU and, consequently, by Legislative Decree No. 152/2006. As a result, each type of plastic bag has specific requirements for their production29.</w:t>
      </w:r>
    </w:p>
    <w:p>
      <w:r>
        <w:t>28. The second reason derives from the function of use. LPB30 and VLPB31 bags are, by their very construction nature, poorly reused and tend to become waste more easily32. In contrast, thicker plastic bags are usually reused. From the perspective of both buyers (commercial establishments) and end consumers, there are different functions of use and different prices for each type of plastic bag. In particular, VLPB are ultralight plastic bags that must be in contact with loose food, thus they must have characteristics suitable for not contaminating food and are usually not suitable for different uses. Therefore, it is plausible to assume that, for commercial establishments, VLPB, LPB, and reusable bags are not substitutable as commercial establishments tend to offer all three types of bags.</w:t>
      </w:r>
    </w:p>
    <w:p>
      <w:r>
        <w:t>29. From a geographical perspective, it is believed that both markets have a national scope. In fact, European regulations regarding the marketing of lightweight and very lightweight plastic bags show significant differences among Member States, also providing the possibility of imposing marketing bans in derogation of Directive 94/62/EC. In Italy, the adopted regulations are particularly stringent compared to other Member States and allow the marketing of only compostable and biodegradable LPB bags, as well as compostable, biodegradable VLPB bags made up of at least 60% renewable material (bio-based).</w:t>
      </w:r>
    </w:p>
    <w:p>
      <w:r>
        <w:t>30. Furthermore, almost all purchases made by the purchasing centers of the GDO have been made with contractors (transformers) that have headquarters and facilities in Italy and with international groups that appear to operate in Italy through subsidiaries established in the national territory.</w:t>
      </w:r>
    </w:p>
    <w:p>
      <w:r>
        <w:t>29 In particular, in Italy, LPB bags must be made from biodegradable and compostable material, while VLPB bags, in addition to the characteristics of LPB, must also be bio-based for at least 60%, reusable plastic bags (thicker) may not be degradable and compostable and must have a minimum percentage of recycled plastic.</w:t>
      </w:r>
    </w:p>
    <w:p>
      <w:r>
        <w:t>30 These are usually the shoppers, made of lightweight material and usually not reused, found in points of sale for transporting purchases made.</w:t>
      </w:r>
    </w:p>
    <w:p>
      <w:r>
        <w:t>31 These are the bags used as packaging for loose food (for example, fruit and vegetable bags).</w:t>
      </w:r>
    </w:p>
    <w:p>
      <w:r>
        <w:t>32 In this sense, see the fourth recital of Directive 2015/720/EU, according to which plastic bags with a thickness of less than 50 microns (LPB) represent the vast majority of plastic bags used in the Union and their reuse occurs less frequently compared to thicker bags.</w:t>
      </w:r>
    </w:p>
    <w:p>
      <w:r>
        <w:t>14 BULLETIN NO. 14 OF APRIL 8, 2024</w:t>
      </w:r>
    </w:p>
    <w:p>
      <w:r>
        <w:t>III.2.b. Upstream markets: bioplastic raw materials</w:t>
      </w:r>
    </w:p>
    <w:p>
      <w:r>
        <w:t>31. With regard to the upstream markets of raw materials, there do not appear to be any national and European precedents related to bioplastics33. In this specific case, in the first approximation, the characteristics of biodegradability and compostability, the amount of biomass material present, as well as the usability of the polymers to produce lightweight and/or very lightweight plastic bags are relevant. In particular, due to national regulations, it is observed that: (i) lightweight plastic bags can only be made from biodegradable and compostable polymers; (ii) very lightweight plastic bags can only be made from biodegradable and compostable polymers and with at least 60% of the material coming from renewable sources (biomass);</w:t>
      </w:r>
    </w:p>
    <w:p>
      <w:r>
        <w:t>32. As a result, regarding the input market (plastic polymers), the specific national regulations concerning the production of LPB and VLPB suggest identifying, at least initially, two relevant markets:</w:t>
      </w:r>
    </w:p>
    <w:p>
      <w:r>
        <w:t>i. the market for the sale of raw material (bioplastic polymers) suitable for producing LPB according to Italian regulations, that is, those that are technically suitable to be transformed into bags and that are biodegradable and compostable;</w:t>
        <w:br/>
        <w:t>ii. the market for the sale of raw material (bioplastic polymers) suitable for producing VLPB according to Italian regulations, that is, those that are technically suitable to be transformed into bags and that are biodegradable and compostable and with at least 60% of the material coming from renewable sources.</w:t>
      </w:r>
    </w:p>
    <w:p>
      <w:r>
        <w:t>33. This market definition has been analyzed by the European Commission34, although it has left the market definition open. Mater-Bi from Novamont can be used for both LPB and VLPB plastic bags according to Italian regulations.</w:t>
      </w:r>
    </w:p>
    <w:p>
      <w:r>
        <w:t>34. From a geographical perspective, although the plastic raw materials market may be broader than the national one, it should be noted that there are significant differences among Member States regarding the composition of LPB and VLPB bags that could lead to an Italian geographical differentiation. In fact, the differing regulations likely result in significant differences in the prevailing competitive conditions in Italy compared to other Member States, arising, for example, from the lesser ability of Novamont's competitors active in the production of (bio)plastic polymers to exert competitive pressure specifically regarding the production of LPB and VLPB bags. In particular, market shares appear to be extremely different considering the various national contexts, and it also seems to emerge that certain producers of (bio)plastic raw materials introduce products specifically made for the</w:t>
      </w:r>
    </w:p>
    <w:p>
      <w:r>
        <w:t>33 In particular, in case COMP/M.7115 – Kuraray / GLSV Business, the European Commission identified a relevant market from a product perspective related to a single polymer having biodegradability characteristics (PVA - polyvinyl alcohol). In case COMP/M.11150 – Versalis / Novamont, the European Commission left the merchandise definition of the market open, particularly whether to distinguish a different market for bioplastics and various polymers. In fact, the approach usually used for defining plastic raw materials consists of considering each type of polymer as separate. Therefore, polymers could be segmented based on their characteristics and their industrial applications. See European Commission Decisions of April 29, 2014, case COMP/M.7115 – Kuraray / GLSV Business; of April 29, 2014, September 28, 2023, case COMP/M.11150 – Versalis/Novamont.</w:t>
      </w:r>
    </w:p>
    <w:p>
      <w:r>
        <w:t>34 See European Commission Decision of September 28, 2023, case COMP/M.11150 – Versalis/Novamont.</w:t>
      </w:r>
    </w:p>
    <w:p>
      <w:r>
        <w:rPr>
          <w:b/>
        </w:rPr>
        <w:t>[Pages 13–15]</w:t>
      </w:r>
    </w:p>
    <w:p>
      <w:r>
        <w:t>BULLETIN NO. 14 OF APRIL 8, 2024</w:t>
      </w:r>
    </w:p>
    <w:p>
      <w:r>
        <w:t>15</w:t>
        <w:br/>
        <w:t>the Italian market35. Therefore, it is possible to consider that the geographical definition of the market is national.</w:t>
      </w:r>
    </w:p>
    <w:p>
      <w:r>
        <w:t>35. According to the information provided in the context of the recent concentration M.11150 – Versalis / Novamont of October 2023, the market shares of bioplastics suitable for producing LPB and VLPB are illustrated in the following Table.</w:t>
        <w:br/>
        <w:t>Table 2 – Estimated market shares of Novamont in the (bio)plastic markets suitable for the production of LPB and VLPB36.</w:t>
        <w:br/>
        <w:t>European Economic Area Italy</w:t>
        <w:br/>
        <w:t>Value Volume Value Volume</w:t>
        <w:br/>
        <w:t>Bioplastics for LPB [35-40%] [35-40%] [50-55%] [50-55%]</w:t>
        <w:br/>
        <w:t>Bioplastics for VLPB [65-70%] [60-65%] [70-75%] [70-75%]</w:t>
        <w:br/>
        <w:t>Bioplastics for LPB+VLPB [45-50%] [45-50%] [55-60%] [55-60%]</w:t>
      </w:r>
    </w:p>
    <w:p>
      <w:r>
        <w:t>IV. ASSESSMENTS</w:t>
      </w:r>
    </w:p>
    <w:p>
      <w:r>
        <w:t>36. The conduct under examination concerns the supply chain of the production of lightweight and very lightweight plastic bags. In particular, preliminary information suggests that Novamont – which produces bioplastics and specifically, Mater-Bi suitable for the production of lightweight and very lightweight plastic bags according to the standards required in Italy – has entered into agreements with exclusivity that affect two different levels of the supply chain.</w:t>
      </w:r>
    </w:p>
    <w:p>
      <w:r>
        <w:t>37. On one hand, there are exclusive agreements concerning users (purchasing centers of large-scale distribution and other buyers of LPB and VLPB plastic bags) that commit them to purchase LPB and VLPB bags made exclusively with Mater-Bi. On the other hand, Novamont seems to have entered into partnership agreements with a majority of national transformers aimed at committing them to produce all or a predominant part of their products with its raw material (Mater-Bi).</w:t>
      </w:r>
    </w:p>
    <w:p>
      <w:r>
        <w:t>IV.1. The Dominant Position</w:t>
      </w:r>
    </w:p>
    <w:p>
      <w:r>
        <w:t>38. The dominant position has been defined by Community law as an economic power enjoyed by a company, which allows it to prevent the maintenance of effective competition in a relevant market, granting it the power to behave to a significant extent independently of its competitors, its customers, and ultimately, consumers.</w:t>
      </w:r>
    </w:p>
    <w:p>
      <w:r>
        <w:t>39. With reference to the upstream markets (i) of raw materials suitable for the production of lightweight plastic bags according to Italian regulations and (ii) of raw materials suitable for the production of very lightweight plastic bags according to Italian regulations, Novamont is a primary operator capable of expressing the majority of sales in Italy of (bio)plastics for such applications. In particular, the market share related to sales in Italy of (bio)plastics suitable for the production of LPB is between 50% and 55%, while for those suitable for the production of VLPB it is between 70% and 75%. Furthermore, Novamont is one of the leading companies in the development and production of bioplastics and in biochemistry, having invented bioplastic in 198937 and invested in research and development of raw materials.</w:t>
      </w:r>
    </w:p>
    <w:p>
      <w:r>
        <w:t>40. According to the Commission Communication — “Guidelines on the Commission's priorities in applying Article 82 of the EC Treaty to the abusive behavior of dominant companies aimed at excluding competitors” (2009/C 45/02), it is possible to hypothesize that there is a dominant position if the market share of the company is above 40% in the relevant market, although there are specific cases where it can be considered that a company holds a dominant position even below this threshold. Moreover, it can be legitimately considered that extremely high market shares constitute, in themselves, and barring exceptional circumstances, evidence of the existence of a dominant position. This may occur in the case of a market share equal to or greater than 50%38.</w:t>
      </w:r>
    </w:p>
    <w:p>
      <w:r>
        <w:t>41. Therefore, in light of these elements, it is believed that Novamont may hold a dominant position in the markets (i) of raw materials suitable for the production of lightweight plastic bags according to Italian regulations and (ii) of raw materials suitable for the production of very lightweight plastic bags according to Italian regulations.</w:t>
      </w:r>
    </w:p>
    <w:p>
      <w:r>
        <w:t>IV.2. The Conduct in Question</w:t>
      </w:r>
    </w:p>
    <w:p>
      <w:r>
        <w:t>42. The protection of the environment and the use of material that is as eco-friendly as possible is an “extremely” important objective, as recognized by stringent Italian regulations. In addition to Novamont's Mater-Bi, there are several bioplastics capable of meeting national requirements for the marketing of LPB and VLPB. The protection of an open competitive process – countering restrictions that limit outlets for transformers using alternative eco-friendly materials to Mater-Bi – could bring to light bioplastic products that meet the requirements set in Italy whose production is more efficient (in terms of costs, qualitative characteristics such as strength, etc.) and could also promote, from a dynamic perspective, the development of alternative (bio)plastics and their continuous improvement. Therefore, the protection of competition is a fundamental element for achieving the environmental protection objectives set at the regulatory level.</w:t>
      </w:r>
    </w:p>
    <w:p>
      <w:r>
        <w:t>37. For this reason, Novamont was awarded the “European Inventor of the Year 2007” prize by the European Patent Office. In the award's rationale, it states: “(Novamont S.p.a., Novara, Italy) In 1989, Italians Catia Bastioli, Vittorio Bellotti, Luciano Del Giudice and Roberto Lombi invented biodegradable plastics - plastics that fall apart and turn into soil in three to eight weeks when thrown onto a regular compost heap. These biodegradable plastics are made of crops, and they reduce greenhouse gas emissions and the consumption of non-renewable resources. Bio-plastics, which are based on insoluble starch, are renewable, recyclable and reusable and can be turned into a near infinite range of products, including shopping bags, disposable cups, sheet mulch and even car tires. Adding to the intrigue, bio-plastics are renewable, recyclable, and reusable. Traditional plastics are dirty to produce, they use up oil, and they don't decompose naturally. Traditional plastics take 100 to 400 years to decompose, or, when burned, they emit toxic fumes. The breakthrough came in 1992 when the city of Fürstenfeldbruck in southern Germany started to test the new so-called "Pneo bag”. Until now, over 3,500 cities have followed suit. What started out with just Catia Bastioli, Vittorio Bellotti, Luciano Del Giudice and Roberto Lombi, has evolved into a world-leading company in bio-plastics, with a turnover of € 50 million in 2006 and nearly 60 patents. The company employs some 120 people and invests some 30% of its resources into research and development, among them US outfitter Goodyear and Italy's largest farmers association Coldiretti.” https://ec.europa.eu/commission/presscorner/detail/en/MEMO_07_137</w:t>
      </w:r>
    </w:p>
    <w:p>
      <w:r>
        <w:t>38. See, inter alia, case C-62/86 [1991] ECR I-3359, [1993] 5 CMLR 215, para 60.</w:t>
      </w:r>
    </w:p>
    <w:p>
      <w:r>
        <w:t>BULLETIN NO. 14 OF APRIL 8, 2024</w:t>
      </w:r>
    </w:p>
    <w:p>
      <w:r>
        <w:t>17</w:t>
        <w:br/>
        <w:t>43. Preliminary evidence on file shows the presence of conduct by Novamont consisting of the conclusion of two groups of agreements (Novamont-Transformers and Novamont-Users) that present exclusives or semi-exclusives and that, even cumulatively and recursively, could limit the sales of LPB and VLPB bags produced according to national regulations with competing raw materials to Novamont's Mater-Bi.</w:t>
      </w:r>
    </w:p>
    <w:p>
      <w:r>
        <w:t>44. The peculiarity of the exclusives is that they operate at two separate levels of the supply chain, namely that of transformers (producers of LPB and VLPB) and users (large-scale distribution and other retailers). This implies that they have a “circular” impact on both types of agents, indeed:</w:t>
        <w:br/>
        <w:t>i. on one hand, users observe that a good part of transformers (on average, estimated to be greater than 50%)39 use Mater-Bi and therefore more easily accept exclusive agreements as there would be no adequate alternatives to transformers using Mater-Bi;</w:t>
        <w:br/>
        <w:t>ii. on the other hand, transformers observe that larger customers (more than 60%)40 expressly require products made with Mater-Bi, whose license seems to be conditioned on exclusivity or semi-exclusivity.</w:t>
      </w:r>
    </w:p>
    <w:p>
      <w:r>
        <w:t>45. This conduct implies that the interactions between the two groups of economic agents placed at different levels of the vertical supply chain (transformers and users) result in a large part of production and purchases being made with Mater-Bi, excluding LPB and VLPB plastic bags produced with alternative bioplastics to that of Novamont.</w:t>
      </w:r>
    </w:p>
    <w:p>
      <w:r>
        <w:t>46. The exclusives concern a majority and extremely significant part of both users (purchasing centers of large-scale distribution) and transformers (producers of LPB and VLPB plastic bags). Furthermore, these agreements have a broader coverage than just the parties contracted by Novamont, producing externalities41.</w:t>
      </w:r>
    </w:p>
    <w:p>
      <w:r>
        <w:t>47. In fact, since transformers commit to the exclusive or semi-exclusive use of Mater-Bi, all or almost all of the products of these transformers will be made with this raw material. This implies that even other users not contracted by Novamont (large-scale distribution and other retailers without exclusives) who purchase LPB and VLPB from Novamont Partners will receive supplies of products made with this raw material. This effect also extends to other products different from LPB and VLPB (for example, disposable plates and cups) that must be produced, by virtue of the agreements, with Mater-Bi.</w:t>
      </w:r>
    </w:p>
    <w:p>
      <w:r>
        <w:t>39. According to preliminary estimates based on information from the main purchasing centers of large-scale distribution, the agreements between large-scale distribution and Novamont appear prima facie to concern more than 60% of the demand for lightweight plastic bags (LPB) and most of the very lightweight plastic bags (VLPB), depending on whether value or volume is considered. On average, this represents more than 50% of the total demand (LPB+VLPB).</w:t>
      </w:r>
    </w:p>
    <w:p>
      <w:r>
        <w:t>40. According to preliminary estimates based on information from the main purchasing centers of large-scale distribution, the producers of plastic bags (the so-called transformers) who are Novamont partners and therefore have an exclusive or semi-exclusive supply relationship for the raw material represent an estimated share of more than 60% of the sales of lightweight and very lightweight plastic bags to large-scale distribution. However, it cannot be ruled out that the agreements may involve a broader range of subjects.</w:t>
      </w:r>
    </w:p>
    <w:p>
      <w:r>
        <w:t>41. Due to such external effects and the presence of agreements at different levels of the supply chain, such exclusives could be granted without a significant economic sacrifice for Novamont.</w:t>
      </w:r>
    </w:p>
    <w:p>
      <w:r>
        <w:rPr>
          <w:b/>
        </w:rPr>
        <w:t>[Pages 16–18]</w:t>
      </w:r>
    </w:p>
    <w:p>
      <w:r>
        <w:t xml:space="preserve">18 BULLETIN NO. 14 OF APRIL 8, 2024  </w:t>
        <w:br/>
        <w:t xml:space="preserve">Figure 3 – Exemplary scheme of the cumulative effect of the behaviors  </w:t>
        <w:br/>
        <w:t xml:space="preserve">48. Therefore, the behaviors under examination could have a detrimental effect on competition consisting of limiting the use of alternative inputs to Mater-Bi for the production of LPB and VLPB bags according to Italian regulations, and also preventing transformers from producing LPB and VLPB bags made with alternative inputs to Mater-Bi in Italy. It is not excluded that the behaviors under examination may also affect technological evolution for the production of other single-use products (plates, cups, etc.), preventing transformers from using more efficient raw materials suitable for such products from emerging in the national market.  </w:t>
        <w:br/>
        <w:t>49. In conclusion, the behaviors adopted by Novamont, at least since 2017 – limiting the outlets for alternative (bio)plastic raw materials (competitors of Mater-Bi) that have adequate standards for the production of LPB and VLPB bags according to Italian regulations, as well as the production and marketing of compliant LPB and VLPB bags made with alternative (bio)plastic materials – could constitute an abuse of a dominant position in violation of Article 102 of the TFEU.</w:t>
      </w:r>
    </w:p>
    <w:p>
      <w:r>
        <w:t xml:space="preserve">BULLETIN NO. 14 OF APRIL 8, 2024  </w:t>
        <w:br/>
        <w:t xml:space="preserve">V. THE DETRIMENT TO INTRA-EUROPEAN TRADE  </w:t>
        <w:br/>
        <w:t xml:space="preserve">50. According to the Commission Communication “Guidelines on the notion of detriment to trade between Member States under Articles 81 and 82 of the Treaty” (2004/C 101/07), the concept of detriment to intra-European trade must be interpreted taking into account the direct or indirect, actual or potential influence on trade flows between Member States.  </w:t>
        <w:br/>
        <w:t xml:space="preserve">51. The behaviors under examination appear to fall within the scope of Article 102 of the TFEU, as the strategies allegedly implemented by Novamont concern the entire national market, which constitutes a significant part of the European Union market, and are abstractly capable of limiting trade between Member States, hindering and/or delaying the access of other producers of (bio)plastic raw materials to the Italian market.  </w:t>
        <w:br/>
        <w:t xml:space="preserve">CONSIDERING, therefore, that the behaviors carried out by Novamont S.p.A., for the reasons outlined above, appear to constitute a violation of Article 102 TFEU;  </w:t>
        <w:br/>
        <w:t xml:space="preserve">RESOLVES  </w:t>
        <w:br/>
        <w:t xml:space="preserve">a) to initiate the investigation, pursuant to Article 14 of Law No. 287 of October 10, 1990, against Novamont S.p.A. and ENI S.p.A. to ascertain the existence of competition violations pursuant to Article 102 of the TFEU;  </w:t>
        <w:br/>
        <w:t xml:space="preserve">b) to set a deadline of sixty days, starting from the date of notification of this provision, for the legal representatives of the parties to exercise their right to be heard, specifying that the request for a hearing must be submitted to the Manufacturing, Agri-food, Pharmaceutical and Commercial Distribution Directorate of the Competition Department – 2 of this Authority at least fifteen days before the expiration of the aforementioned deadline;  </w:t>
        <w:br/>
        <w:t xml:space="preserve">c) that the person responsible for the procedure is Dr. Luigi Di Gaetano;  </w:t>
        <w:br/>
        <w:t xml:space="preserve">d) that the documents of the procedure can be viewed, at the Manufacturing, Agri-food, Pharmaceutical and Commercial Distribution Directorate of the Competition Department – 2 of this Authority, by the legal representatives of the parties or by persons delegated by them;  </w:t>
        <w:br/>
        <w:t xml:space="preserve">e) that the procedure must be concluded by April 30, 2025.  </w:t>
        <w:br/>
        <w:t xml:space="preserve">This provision will be notified to the interested parties and published in the Bulletin of the Competition and Market Authority.  </w:t>
        <w:br/>
        <w:t xml:space="preserve">THE SECRETARY GENERAL THE PRESIDENT  </w:t>
        <w:br/>
        <w:t>Guido Stazi Roberto Rustichelli</w:t>
      </w:r>
    </w:p>
    <w:p>
      <w:r>
        <w:t xml:space="preserve">20 BULLETIN NO. 14 OF APRIL 8, 2024  </w:t>
        <w:br/>
        <w:t xml:space="preserve">CONCENTRATION OPERATIONS  </w:t>
        <w:br/>
        <w:t xml:space="preserve">C12600 - LIFENET/OSPEDALE DI ERBA  </w:t>
        <w:br/>
        <w:t xml:space="preserve">Provision No. 31139  </w:t>
        <w:br/>
        <w:t xml:space="preserve">THE COMPETITION AND MARKET AUTHORITY  </w:t>
        <w:br/>
        <w:t xml:space="preserve">IN ITS MEETING of March 19, 2024;  </w:t>
        <w:br/>
        <w:t xml:space="preserve">HEARD the Rapporteur, Professor Elisabetta Iossa;  </w:t>
        <w:br/>
        <w:t xml:space="preserve">HAVING REGARD to Regulation (EC) No. 139/2004;  </w:t>
        <w:br/>
        <w:t xml:space="preserve">HAVING REGARD to Law No. 287 of October 10, 1990;  </w:t>
        <w:br/>
        <w:t xml:space="preserve">HAVING REGARD to the Presidential Decree No. 217 of April 30, 1998;  </w:t>
        <w:br/>
        <w:t xml:space="preserve">HAVING REGARD to the communication made by Lifenet S.p.A., received on January 15, 2024;  </w:t>
        <w:br/>
        <w:t xml:space="preserve">HAVING REGARD to the request for additional information sent to the Parties on February 7, 2024;  </w:t>
        <w:br/>
        <w:t xml:space="preserve">HAVING REGARD to the response of Lifenet S.p.A. to the aforementioned request for information, received on February 28, 2024;  </w:t>
        <w:br/>
        <w:t xml:space="preserve">HAVING REGARD to the documentation on file;  </w:t>
        <w:br/>
        <w:t xml:space="preserve">CONSIDERING the following:  </w:t>
        <w:br/>
        <w:t xml:space="preserve">I. THE PARTIES  </w:t>
        <w:br/>
        <w:t xml:space="preserve">1. Lifenet S.p.A. (hereinafter, “Lifenet”) is a company active, directly and through subsidiaries, in the private healthcare sector also accredited with the National Health Service (hereinafter “SSN”) and, in particular, in the provision of outpatient and hospital services. The company is jointly controlled by Exor N.V. (hereinafter, “Exor”) and Invin S.r.l. (hereinafter, “Invin”) which hold, respectively, 44.67% and 54.13% of its share capital1. The revenue generated in Italy by Lifenet in 2022 was between [100-532]* million euros.  </w:t>
        <w:br/>
        <w:t xml:space="preserve">2. Exor is a Dutch holding company, subject to the exclusive control of Giovanni Agnelli B.V., which in turn is a Dutch holding company (which does not directly engage in any economic activity) and whose shareholders are individuals2. Invin is an Italian holding company whose share capital is held by two individuals. In 2022, Exor generated consolidated revenue in Italy of approximately [4-5] billion euros. Invin, due to the fact that its  </w:t>
        <w:br/>
        <w:t xml:space="preserve">1 See provision No. 30158 of May 17, 2022, C12452 - Exor-Invin/Lifenet, in Bulletin No. 21/2022, with which the Authority authorized the acquisition by Exor of joint control of Lifenet (previously exclusively controlled by Invin). The remaining 1.20% of Lifenet's share capital is held by GBH S.p.A..  </w:t>
        <w:br/>
        <w:t xml:space="preserve">* In this version, some data are omitted, as there were deemed to be elements of confidentiality or secrecy of the information.  </w:t>
        <w:br/>
        <w:t>2 Exor is active, through controlled companies, in various commodity sectors, including the production and sale of industrial and commercial vehicles, the production and sale of luxury automobiles, the Italian football sector, publishing, and luxury lifestyle. It is specified that, except for the participation held in Lifenet, Exor is not active in the healthcare sector in Italy.</w:t>
      </w:r>
    </w:p>
    <w:p>
      <w:r>
        <w:rPr>
          <w:b/>
        </w:rPr>
        <w:t>[Pages 19–21]</w:t>
      </w:r>
    </w:p>
    <w:p>
      <w:r>
        <w:t>BULLETIN NO. 14 OF APRIL 8, 2024</w:t>
      </w:r>
    </w:p>
    <w:p>
      <w:r>
        <w:t>The activity is limited to managing the participation in Lifenet and did not generate any revenue in the fiscal year 2022.</w:t>
      </w:r>
    </w:p>
    <w:p>
      <w:r>
        <w:t>3. Ospedale di Erba S.r.l. (hereinafter, "Ospedale di Erba," "Target," or "NewCo") is a newly established company entirely owned by the Lombard-Venetian Province of the Hospitaller Order of St. John of God (hereinafter, "Fatebenefratelli"), a legally recognized ecclesiastical entity. The latter has transferred to the Target the business complex organized for the exercise of healthcare-hospital activities at the "Ospedale Sacra Famiglia Fatebenefratelli" facility, located in Erba (CO). The revenue generated entirely in Italy by the Target in the financial year 2022 was between [32-100] million euros.</w:t>
      </w:r>
    </w:p>
    <w:p>
      <w:r>
        <w:t>II. DESCRIPTION OF THE OPERATION</w:t>
      </w:r>
    </w:p>
    <w:p>
      <w:r>
        <w:t>4. The communicated operation consists of the acquisition by Lifenet of the entire share capital of Ospedale di Erba.</w:t>
      </w:r>
    </w:p>
    <w:p>
      <w:r>
        <w:t>5. The rationale for the operation lies in Lifenet's intention to expand its activities.</w:t>
      </w:r>
    </w:p>
    <w:p>
      <w:r>
        <w:t>III. QUALIFICATION OF THE OPERATION</w:t>
      </w:r>
    </w:p>
    <w:p>
      <w:r>
        <w:t>6. The communicated operation, aimed at acquiring exclusive control of a company, constitutes a concentration pursuant to Article 5, paragraph 1, letter b), of Law No. 287/1990. It falls within the scope of application of Law No. 287/1990 as the conditions set out in Article 1 of Regulation (EC) 139/2004 do not apply, and it is subject to the obligation of prior notification provided for by Article 16, paragraph 1, of the same law, as the total revenue generated in the last fiscal year at the national level by the group of companies involved exceeded 532 million euros and the total revenue generated in the last fiscal year at the national level by at least two of the companies involved exceeded 32 million euros.</w:t>
      </w:r>
    </w:p>
    <w:p>
      <w:r>
        <w:t>IV. EVALUATION OF THE OPERATION</w:t>
      </w:r>
    </w:p>
    <w:p>
      <w:r>
        <w:t>Relevant markets</w:t>
      </w:r>
    </w:p>
    <w:p>
      <w:r>
        <w:t>7. From a product perspective, the markets relevant to the operation are those in which the company subject to acquisition operates, namely:</w:t>
      </w:r>
    </w:p>
    <w:p>
      <w:r>
        <w:t>i) the market for outpatient healthcare services;</w:t>
        <w:br/>
        <w:t>ii) the market for hospital healthcare services.</w:t>
      </w:r>
    </w:p>
    <w:p>
      <w:r>
        <w:t>The market for outpatient healthcare services</w:t>
      </w:r>
    </w:p>
    <w:p>
      <w:r>
        <w:t>8. The market for outpatient healthcare services concerns the services provided by the Regional Tariff Nomenclature for Specialist Services, which can be delivered at healthcare facilities to patients not hospitalized. Outpatient services can be provided by both public facilities belonging to the National Health Service (SSN) and private facilities and/or professionals accredited with the SSN or outside of this regime. Furthermore, such services are performed at specialist clinics, both inpatient and outpatient, at residential or semi-residential facilities, and at the patient's home.</w:t>
      </w:r>
    </w:p>
    <w:p>
      <w:r>
        <w:t>9. According to the national precedents cited from the supply side, the market in question could also be distinguished based on the public or private nature of the service providers. Additionally, further segmentation of the aforementioned product markets could be made based on the regime of the services provided (i.e., services provided through the SSN and services provided in a private capacity). This is because, from the demand side, patients who turn to public or accredited private facilities only pay the so-called health ticket - the amount of which varies depending on the service requested, income, and the region in which the facility is located - while the remaining part is borne by the SSN according to tariffs established at the regional level. Conversely, patients who receive healthcare services in a private capacity (at a private facility) bear the entire cost of the service. In any case, in its precedents, the Authority has left the exact product market definition open.</w:t>
      </w:r>
    </w:p>
    <w:p>
      <w:r>
        <w:t>10. In this specific case, a precise delimitation of the product market is not necessary, as the assessment of it would not change.</w:t>
      </w:r>
    </w:p>
    <w:p>
      <w:r>
        <w:t>11. Regarding the geographical dimension, the Authority has so far considered that the market for outpatient healthcare services has a regional dimension, considering: (i) the proximity constraint to the place of care that characterizes the needs of the demand; and (ii) the Italian regulatory framework, which provides for regulation at the regional level of authorization and accreditation systems.</w:t>
      </w:r>
    </w:p>
    <w:p>
      <w:r>
        <w:t>12. However, the analysis of user flows accessing outpatient services shows that it would be possible to hypothesize a narrower geographical extension of the market in question, for example, provincial. In fact, from the information provided by the Parties in this case, it appears that over [75-80%] of the sample of users considered who access outpatient services come from the same province where the facility in question is located. Furthermore, the geographical extension of the relevant market may also vary depending on the type of service and/or the significance of the facility in relation to a specific pathology.</w:t>
      </w:r>
    </w:p>
    <w:p>
      <w:r>
        <w:t>13. The acquired elements appear to lean towards a local geographical dimension. However, the exact geographical delimitation of the market can be left open, as it is not necessary in this case to fully define catchment areas given the very limited horizontal overlaps at the provincial level.</w:t>
      </w:r>
    </w:p>
    <w:p>
      <w:r>
        <w:t>The market for hospital healthcare services</w:t>
      </w:r>
    </w:p>
    <w:p>
      <w:r>
        <w:t>14. Regarding the market for hospital healthcare services, hospital care involves the provision of services even in a hospitalization regime. With respect to hospital healthcare services, it is possible to identify two categories of service providers, depending on their public or private nature. For the former, local health authorities and hospital companies are allowed to provide hospital services as well as specialist services, instrumental diagnostics, and laboratory services, using either their own facilities, other healthcare institutions (public or private), and/or private professionals. Private facilities, on the other hand, provide hospital healthcare services in a regime of accreditation with the SSN, or outside of this regime.</w:t>
      </w:r>
    </w:p>
    <w:p>
      <w:r>
        <w:t>15. Similarly to the market for outpatient healthcare services, according to the cited national precedents from the supply side, the market for hospital healthcare services could also be distinguished based on the public or private nature of the service providers. Additionally, further segmentation of the aforementioned product markets could be made based on the regime of the services provided (i.e., services provided through the SSN and services provided in a private capacity). This is because patients who turn to public or accredited private facilities only pay the so-called health ticket - the amount of which varies depending on the service requested, income, and the region in which the facility is located - while the remaining part is borne by the SSN according to tariffs established at the regional level. Conversely, patients who receive healthcare services in a private capacity (at a private facility) bear the entire cost of the service. In any case, in its precedents, the Authority has left the exact product market definition open.</w:t>
      </w:r>
    </w:p>
    <w:p>
      <w:r>
        <w:t>16. Even in this specific case, a precise delimitation of the product market is not necessary, as the assessment of it would not change since the concentration does not create horizontal overlaps as Lifenet is not active in this market.</w:t>
      </w:r>
    </w:p>
    <w:p>
      <w:r>
        <w:t>17. Regarding the geographical dimension, in this case, the Authority has also considered that the market for hospital services has regional dimensions, considering: (i) the proximity constraint to the place of care that characterizes the needs of the demand; and (ii) the Italian regulatory framework, which provides for regulation at the regional level of authorization and accreditation systems. However, the same considerations made previously regarding the possibility that the geographical delimitation of the relevant market may vary, considering different aspects such as, for example, the significance of the healthcare facility in treating a specific pathology, apply here as well.</w:t>
      </w:r>
    </w:p>
    <w:p>
      <w:r>
        <w:t>18. However, also with reference to the geographical extension of the relevant market, in this case, for the reasons stated above, the exact delimitation of it does not appear necessary.</w:t>
      </w:r>
    </w:p>
    <w:p>
      <w:r>
        <w:t>The effects of the operation</w:t>
      </w:r>
    </w:p>
    <w:p>
      <w:r>
        <w:t>19. The communicated operation does not appear to be capable of producing distortive effects on competition considering the small market shares held by the Parties in the relevant markets.</w:t>
      </w:r>
    </w:p>
    <w:p>
      <w:r>
        <w:t>20. In fact, in the market for the provision of outpatient services as a result of the operation, the Parties will hold a joint share, calculated in value at the provincial level (specifically, in the province of Como, the only province where NewCo is active), of less than [1-5%], consisting of Lifenet's share of [1-5%] and the Target's share of [less than 1%].</w:t>
      </w:r>
    </w:p>
    <w:p>
      <w:r>
        <w:t>21. As for the regional market for the provision of hospital services, it is noted that the operation does not lead to any overlap of the Parties' activities, as Lifenet does not own or manage any hospital facility in Lombardy.</w:t>
      </w:r>
    </w:p>
    <w:p>
      <w:r>
        <w:rPr>
          <w:b/>
        </w:rPr>
        <w:t>[Pages 22–24]</w:t>
      </w:r>
    </w:p>
    <w:p>
      <w:r>
        <w:t>24 BULLETIN NO. 14 OF APRIL 8, 2024</w:t>
      </w:r>
    </w:p>
    <w:p>
      <w:r>
        <w:t>22. Finally, in the aforementioned relevant markets, there are numerous qualified competitors, each of whom holds a market share greater than that of the parties. Therefore, the operation is not likely to significantly alter the competitive structure in the markets in question.</w:t>
      </w:r>
    </w:p>
    <w:p>
      <w:r>
        <w:t>23. In light of the above considerations, the concentration under examination does not appear to be capable of significantly hindering competition in the affected markets or of resulting in the establishment or strengthening of a dominant position.</w:t>
      </w:r>
    </w:p>
    <w:p>
      <w:r>
        <w:t>CONSIDERING, therefore, that the operation under examination does not significantly hinder effective competition in the affected markets pursuant to Article 6, paragraph 1, of Law No. 287/1990 and does not involve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decision will be published in the Bulletin of the Antitrust Authority.</w:t>
      </w:r>
    </w:p>
    <w:p>
      <w:r>
        <w:t>THE SECRETARY GENERAL THE PRESIDENT</w:t>
        <w:br/>
        <w:t>Guido Stazi Roberto Rustichelli</w:t>
      </w:r>
    </w:p>
    <w:p>
      <w:r>
        <w:t>BULLETIN NO. 14 OF APRIL 8, 2024</w:t>
      </w:r>
    </w:p>
    <w:p>
      <w:r>
        <w:t>C12614 - GRUPPO FLORENCE/STAR NEW GENERATION</w:t>
      </w:r>
    </w:p>
    <w:p>
      <w:r>
        <w:t>Decision No. 31140</w:t>
      </w:r>
    </w:p>
    <w:p>
      <w:r>
        <w:t>THE ANTITRUST AUTHORITY</w:t>
      </w:r>
    </w:p>
    <w:p>
      <w:r>
        <w:t>IN ITS MEETING of March 19, 2024;</w:t>
      </w:r>
    </w:p>
    <w:p>
      <w:r>
        <w:t>HEARD the Rapporteur, Professor Elisabetta Iossa;</w:t>
      </w:r>
    </w:p>
    <w:p>
      <w:r>
        <w:t>HAVING REGARD to Regulation (EC) No. 139/2004 of the Council of January 20, 2004, concerning the control of concentrations between undertakings;</w:t>
      </w:r>
    </w:p>
    <w:p>
      <w:r>
        <w:t>HAVING REGARD to Law No. 287 of October 10, 1990;</w:t>
      </w:r>
    </w:p>
    <w:p>
      <w:r>
        <w:t>HAVING REGARD to Presidential Decree No. 217 of April 30, 1998;</w:t>
      </w:r>
    </w:p>
    <w:p>
      <w:r>
        <w:t>HAVING REGARD to the communication from Gruppo Florence S.p.A., received on March 4, 2024;</w:t>
      </w:r>
    </w:p>
    <w:p>
      <w:r>
        <w:t>CONSIDERING the following:</w:t>
      </w:r>
    </w:p>
    <w:p>
      <w:r>
        <w:t>I. THE PARTIES</w:t>
      </w:r>
    </w:p>
    <w:p>
      <w:r>
        <w:t>1. Gruppo Florence S.p.A. (hereinafter, "Gruppo Florence") is an integrated platform, formed by laboratories and companies active in the development and manufacturing of high-fashion clothing, footwear, and leather goods for the most important international luxury brands. Gruppo Florence is controlled by Bradbury 2 S.A.P.A. of Bradbury 1 S.r.l., which is in turn exclusively controlled by Permira Holding Ltd. (hereinafter "Permira").</w:t>
      </w:r>
    </w:p>
    <w:p>
      <w:r>
        <w:t>2. Permira is a company established under the laws of Guernsey, active globally in the private equity sector, which directly and indirectly controls numerous private equity funds, whose portfolios include companies operating in various sectors (consumer goods, financial services, health, etc.). In addition to Gruppo Florence, Permira controls the following companies active in the production and marketing of luxury products: Golden Goose S.p.A. and Italian Fashion Team S.r.l.</w:t>
      </w:r>
    </w:p>
    <w:p>
      <w:r>
        <w:t>3. In 2022, the worldwide revenue generated by Permira from its controlled portfolio companies was approximately [10-20]* billion euros, of which [6-7] billion euros in the European Union and [567-700] million euros in Italy.</w:t>
      </w:r>
    </w:p>
    <w:p>
      <w:r>
        <w:t>4. Star New Generations S.p.A. (hereinafter, "SNG" or "Target") is the holding company of a group of companies and laboratories active in the design and realization of prototypes, as well as in the production of clothing on behalf of several internationally renowned luxury fashion brands. The share capital of SNG is held 70% by Star Capital SGR and the remaining 30% is divided among four individuals.</w:t>
      </w:r>
    </w:p>
    <w:p>
      <w:r>
        <w:t>5. In 2022, the worldwide revenue of the Target was [35-100] million euros, of which [35-100] million euros generated in the European Union and [35-100] million euros generated in Italy.</w:t>
      </w:r>
    </w:p>
    <w:p>
      <w:r>
        <w:t>II. DESCRIPTION OF THE OPERATION</w:t>
      </w:r>
    </w:p>
    <w:p>
      <w:r>
        <w:t>6. The operation consists of the acquisition, by Gruppo Florence, of the entire share capital of SNG. According to the communication, the operation aims, on the one hand, to strengthen the development and manufacturing platform for luxury products of Gruppo Florence, in order to offer its clients, companies active in luxury goods, more innovative solutions, personalized and high-quality services, and on the other hand, to expand the offer and level of services of SNG while maintaining the identity and tradition of the controlled companies and artisanal laboratories.</w:t>
      </w:r>
    </w:p>
    <w:p>
      <w:r>
        <w:t>7. Pursuant to Article 14 of the Sale and Purchase Agreement, the sellers have committed for a period of three years from the completion of the operation to: (i) not to engage, directly or indirectly, in activities (B2B) in competition with those carried out by Gruppo Florence (including the controlled companies) and the Target in EU countries and in non-EU countries in favor of a number of luxury brands and the current clients of the Parties; (ii) not to acquire, directly or indirectly, shares (except for purely financial minority investments not exceeding 1% of the share capital of listed companies) in companies that carry out the activities of the Target and Gruppo Florence; (iii) to refrain from soliciting executives, employees, or minority shareholders of SNG (and controlled companies) to terminate, suspend, or interrupt their relationship with such companies; (iv) to refrain from hiring the individuals referred to in point (iii).</w:t>
      </w:r>
    </w:p>
    <w:p>
      <w:r>
        <w:t>III. QUALIFICATION OF THE OPERATION</w:t>
      </w:r>
    </w:p>
    <w:p>
      <w:r>
        <w:t>8. The notified operation, as it involves the acquisition of exclusive control of a company, constitutes a concentration pursuant to Article 5, paragraph 1, letter b), of Law No. 287/1990.</w:t>
      </w:r>
    </w:p>
    <w:p>
      <w:r>
        <w:t>9. It falls within the scope of application of Law No. 287/1990, as the conditions of Article 1 of Regulation (EC) No. 139/2004 are not met, and is subject to the prior notification obligation established by Article 16, paragraph 1, of the same law, as the total revenue generated in the last fiscal year at the national level by the group of companies involved exceeded 532 million euros and the revenue generated individually at the national level by at least two of the companies involved exceeded 32 million euros.</w:t>
      </w:r>
    </w:p>
    <w:p>
      <w:r>
        <w:t>10. The non-competition agreement and the non-solicitation agreement described above can be considered directly connected and necessary for the realization of the concentration operation in</w:t>
      </w:r>
    </w:p>
    <w:p>
      <w:r>
        <w:t>6 These include the following countries: Albania, Algeria, Bangladesh, Belarus, Bosnia, Brazil, Cambodia, China, Egypt, India, Indonesia, Libya, Morocco, Moldova, Montenegro, Serbia, and Herzegovina, Malaysia, Mexico, Myanmar, Philippines, Republic of North Macedonia, Singapore, Sri Lanka, South Korea, Switzerland, Taiwan, Thailand, Tunisia, Turkey, United Kingdom, United States of America, Ukraine, and Vietnam.</w:t>
      </w:r>
    </w:p>
    <w:p>
      <w:r>
        <w:t>7 Attached to the Sale and Purchase Agreement is a list of over three hundred international luxury goods brands.</w:t>
      </w:r>
    </w:p>
    <w:p>
      <w:r>
        <w:rPr>
          <w:b/>
        </w:rPr>
        <w:t>[Pages 25–27]</w:t>
      </w:r>
    </w:p>
    <w:p>
      <w:r>
        <w:t>BULLETIN NO. 14 OF APRIL 8, 2024</w:t>
      </w:r>
    </w:p>
    <w:p>
      <w:r>
        <w:t>examination, as it is functional to safeguarding the value of the acquired company, provided that they are limited to a duration of two years8.</w:t>
      </w:r>
    </w:p>
    <w:p>
      <w:r>
        <w:t>IV. ASSESSMENT OF THE CONCENTRATION</w:t>
      </w:r>
    </w:p>
    <w:p>
      <w:r>
        <w:t>The product market</w:t>
      </w:r>
    </w:p>
    <w:p>
      <w:r>
        <w:t>11. From a merchandise perspective, considering that the Target is active in the production on behalf of third parties and sale, according to a B2B model, of luxury clothing, based on the Authority's decision-making practice9, the market affected by the operation in question is that of the production and marketing of luxury goods, a sector in which the acquiring Group also operates. Following the established community and national orientation10, luxury products differ from other products belonging to the same merchandise category but not considered luxury, due to different characteristics on both the demand and supply sides.</w:t>
      </w:r>
    </w:p>
    <w:p>
      <w:r>
        <w:t>12. From the demand side, luxury goods are characterized by their high quality, determined by the materials used and the use of specialized labor, by their association with prestigious brands, by the sophistication of the design, and by the application of particularly high prices. Due to the added value represented by the brand, luxury goods are poorly substitutable with goods of the same merchandise category but sold under unknown brands, at lower prices, and in non-luxury retail points. The demand for luxury goods therefore presents low elasticity, as their purchase can be considered, regardless of actual use and consumption, in terms of the image and idea of prestige they convey.</w:t>
      </w:r>
    </w:p>
    <w:p>
      <w:r>
        <w:t>13. From the supply side, the development strategy followed by most companies producing luxury goods is centered on the realization of a wide range of products characterized by a high degree of diversification and innovation. Such a strategy makes it inappropriate to classify individual products into merchandise groupings.</w:t>
      </w:r>
    </w:p>
    <w:p>
      <w:r>
        <w:t>14. Given the specific activity carried out by the Target, the Parties believe that it is possible to identify, within the luxury goods market, a narrower merchandise segment, namely that of production on behalf of third parties of luxury clothing, according to the B2B model.</w:t>
      </w:r>
    </w:p>
    <w:p>
      <w:r>
        <w:t>15. In this specific case, however, the exact merchandise identification of the market can be left open due to the absence of significant competitive effects regardless of the definition adopted.</w:t>
      </w:r>
    </w:p>
    <w:p>
      <w:r>
        <w:t>8 See "Commission Communication on restrictions directly related and necessary to concentrations" (O.J. C 2005/C-56/03 of March 5, 2005), paragraphs 18-26.</w:t>
      </w:r>
    </w:p>
    <w:p>
      <w:r>
        <w:t>9 See, inter alia, decision no. 31040 of January 23, 2024, C12572 - San Quiricio/Goretti-Deadema-Tecknomabel-Estrolab, in Bulletin no. 6/2024; decision no. 30363 of November 2, 2022, cited; decision no. 27973 of October 29, 2019, C12263 - LVMH Moet Hennessy Louis Vuitton–Stella McCartney/Anin Star Holding, in Bulletin no. 46/2019; decision no. 21837 of November 24, 2010, C10806 - L Capital Management-Florac/Sandro Andy-MajeStorenext-HF Biousse, in Bulletin no. 46/2010; decision no. 21197 of May 26, 2010, C10579 - Gucci Group Italia/Creazioni Focardi, in Bulletin no. 21/2010; decision no. 20901 of March 10, 2010, C10495 - 3I SGR/Mosaicon, in Bulletin no. 10/10; decision no. 20211 of August 6, 2009, C10200 - S.L.D.J.-Cotec-Altea-Newco/Arcadia-Accademia-Atmosfera, in Bulletin no. 33/2009.</w:t>
      </w:r>
    </w:p>
    <w:p>
      <w:r>
        <w:t>10 See, inter alia, M9793-Permira/Sneakers Maker, cited; M1780-LVMH/Prada/Fendi of May 25, 2000; M1534-Pinault-Printemps-Redoute/Gucci of July 22, 1999; decision no. 31040 of January 23, 2024, cited; decision no. 30363 of November 2, 2022, cited; decision no. 27973 of October 29, 2019, cited; decision no. 21837 of November 24, 2010, cited; decision no. 21197 of May 26, 2010, cited; decision no. 20901 of March 10, 2010, cited; decision no. 20211 of August 6, 2009, cited.</w:t>
      </w:r>
    </w:p>
    <w:p>
      <w:r>
        <w:t>28 BULLETIN NO. 14 OF APRIL 8, 2024</w:t>
      </w:r>
    </w:p>
    <w:p>
      <w:r>
        <w:t>The geographic market</w:t>
      </w:r>
    </w:p>
    <w:p>
      <w:r>
        <w:t>16. From a geographical perspective, according to community and national decision-making practice11, the market size can be considered supranational, generally coinciding with the territory of the European Union (hereinafter, "EU") or global, due to the presence of a large number of producers active worldwide, the realization of advertising, promotional, and marketing campaigns on an international scale, and the absence of a particular consumer preference for only certain brands. It is also relevant that most operators are now able to export their products worldwide from a limited number of production sites.</w:t>
      </w:r>
    </w:p>
    <w:p>
      <w:r>
        <w:t>17. For the purposes of assessing this operation, the exact identification of the relevant geographical area can, however, be left open as the concentration is not likely to generate competitive concerns.</w:t>
      </w:r>
    </w:p>
    <w:p>
      <w:r>
        <w:t>Effects of the operation</w:t>
      </w:r>
    </w:p>
    <w:p>
      <w:r>
        <w:t>18. The concentration operation, considering the shares held by the parties, does not pose competitive issues, at the EU or global level, whether considering the relevant market of luxury goods or the market segment of production on behalf of third parties and sale (B2B) of luxury branded clothing.</w:t>
      </w:r>
    </w:p>
    <w:p>
      <w:r>
        <w:t>19. In this regard, it is noted that, according to estimates provided by the Party, in the global luxury goods market, SNG's share in 2022 is [less than 1%] while Permira's share is [less than 1%], for a combined share of [less than 1%], while at the EU level the combined share is [1-5%].</w:t>
      </w:r>
    </w:p>
    <w:p>
      <w:r>
        <w:t>20. If, however, the narrower segment of production on behalf of third parties and B2B sale of luxury clothing is considered, SNG's share at the global level in 2022 is [less than 1%] while Permira's share is [1-5%], resulting in a combined post-operation share of [1-5%], while at the EU level the combined share of the Parties is [1-5%].</w:t>
      </w:r>
    </w:p>
    <w:p>
      <w:r>
        <w:t>21. In light of the above considerations, it is believed that in the relevant markets the operation will not have adverse effects on competition, not resulting in substantial changes in the competitive structure of the same.</w:t>
      </w:r>
    </w:p>
    <w:p>
      <w:r>
        <w:t>CONSIDERING, therefore, that the operation in question does not significantly impede effective competition in the relevant market pursuant to Article 6, paragraph 1, of Law No. 287/1990 and does not result in the establishment or strengthening of a dominant position;</w:t>
      </w:r>
    </w:p>
    <w:p>
      <w:r>
        <w:t>CONSIDERING, also, that the non-competition and non-solicitation obligations between the Parties are ancillary to this operation only to the extent described above and that the Authority reserves the right to assess, where the conditions exist, the aforementioned agreements that exceed the limits indicated therein;</w:t>
      </w:r>
    </w:p>
    <w:p>
      <w:r>
        <w:t>RESOLVES</w:t>
      </w:r>
    </w:p>
    <w:p>
      <w:r>
        <w:t>not to initiate the investigation referred to in Article 16, paragraph 4, of Law No. 287/1990.</w:t>
      </w:r>
    </w:p>
    <w:p>
      <w:r>
        <w:t>11 Ibidem.</w:t>
      </w:r>
    </w:p>
    <w:p>
      <w:r>
        <w:t>BULLETIN NO. 14 OF APRIL 8, 2024</w:t>
      </w:r>
    </w:p>
    <w:p>
      <w:r>
        <w:t>The above conclusions will be communicated, pursuant to Article 16, paragraph 4, of Law No. 287/1990, to the interested companies and to the Minister of Enterprises and Made in Italy.</w:t>
      </w:r>
    </w:p>
    <w:p>
      <w:r>
        <w:t>This provision will be published in the Bulletin of the Competition and Market Authority.</w:t>
      </w:r>
    </w:p>
    <w:p>
      <w:r>
        <w:t>THE SECRETARY GENERAL THE PRESIDENT</w:t>
      </w:r>
    </w:p>
    <w:p>
      <w:r>
        <w:t>Guido Stazi Roberto Rustichelli</w:t>
      </w:r>
    </w:p>
    <w:p>
      <w:r>
        <w:rPr>
          <w:b/>
        </w:rPr>
        <w:t>[Pages 28–30]</w:t>
      </w:r>
    </w:p>
    <w:p>
      <w:r>
        <w:t>30 BULLETIN NO. 14 OF APRIL 8, 2024</w:t>
        <w:br/>
        <w:t>UNFAIR TRADE PRACTICES</w:t>
        <w:br/>
        <w:t>PS12582 - AGRICOLAVIOLA.COM-ILREDELLAFORESTA.COM-FAILURE TO DELIVER</w:t>
        <w:br/>
        <w:t>Decision No. 31141</w:t>
        <w:br/>
        <w:t>THE ANTITRUST AUTHORITY</w:t>
        <w:br/>
        <w:t>IN ITS MEETING of March 26, 2024;</w:t>
        <w:br/>
        <w:t>HEARD the Rapporteur, Professor Elisabetta Iossa;</w:t>
        <w:br/>
        <w:t>VIEWED Part II, Title III, and Part III,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decision of October 17, 2023, No. 30834, by which the adoption of the precautionary measure against the company Red Fish S.r.l.s. was resolved, pursuant to Article 27, paragraph 3, of the Consumer Code;</w:t>
        <w:br/>
        <w:t>VIEWED its decision of October 17, 2023, by which the inspection was ordered, pursuant to Article 27, paragraphs 2 and 3, of the Consumer Code, carried out on November 6, 2023, at the physical retail outlet named Doolittle Pet Shop, located in Florence;</w:t>
        <w:br/>
        <w:t>VIEWED its resolution of January 30, 2024, by which, pursuant to Article 7, paragraph 3, of the Regulation, the deadline for concluding the procedure was extended, considering the need to examine the findings in the records in order to evaluate the case subject to the procedure and to fulfill the procedural requirements necessary for its conclusion;</w:t>
        <w:br/>
        <w:t>VIEWED the documents of the procedure;</w:t>
        <w:br/>
        <w:t>I. THE PARTIES</w:t>
        <w:br/>
        <w:t>1. The company Red Fish S.r.l.s., as a Professional pursuant to Article 18, paragraph 1, letter b), of the Consumer Code, is active in the online sale of pet food and veterinary products, etc., through the websites “agricolaviola.com” and “ilredellaforesta.com” (hereinafter, also the Sites). According to information obtained from the Infocamere database, the company has been registered in the business register since May 2023 and is inactive. As of now, no financial statements have been filed by the company.</w:t>
        <w:br/>
        <w:t>2. The company Pharmaland S.r.l., as a Professional pursuant to Article 18, paragraph 1, letter b), of the Consumer Code, is active in the online sale of pet food and veterinary products, etc., through the website www.temizon.com (hereinafter, also Temizon). According to information obtained from the Infocamere database, the company was established in August 2019 and no financial statements have been filed by the company.</w:t>
        <w:br/>
        <w:t>3. Jacopo Capitani, in his own capacity and as the sole shareholder and sole director of the company Red Fish S.r.l.s., as well as a shareholder of the company Pharmaland S.r.l. and - as he himself declared - the actual manager of both activities attributable to the aforementioned companies and, for this role, considered a Professional, pursuant to Article 18, paragraph 1, letter b), of the Consumer Code.</w:t>
        <w:br/>
        <w:t>4. Vanessa Castri, as the sole director and majority shareholder of the company Pharmaland S.r.l. and, for this role, considered a Professional in the act of extension of the procedure, pursuant to Article 18, paragraph 1, letter b), of the Consumer Code.</w:t>
        <w:br/>
        <w:t>II. THE CONDUCTS SUBJECT TO THE PROCEDURE</w:t>
        <w:br/>
        <w:t>5. The procedure concerns the conducts carried out by the aforementioned Professionals, consisting of:</w:t>
        <w:br/>
        <w:t>- the offer of products for sale online - at particularly convenient prices - through the websites www.agricolaviola.com and www.ilredellaforesta.com and www.temizon.com, the failure to deliver the products (for animals) ordered and paid for by consumers and the failure to refund the amounts paid by consumers following complaints for non-delivery or exercise of the right of withdrawal;</w:t>
        <w:br/>
        <w:t>- the failure to provide post-sale assistance services, given that the phone number and email address, apparently made available to customers, are inactive or otherwise useless as their use does not elicit any response from the Professionals.</w:t>
        <w:br/>
        <w:t>III. THE FINDINGS OF THE PROCEDURE</w:t>
        <w:br/>
        <w:t>The course of the procedure</w:t>
        <w:br/>
        <w:t>6. Starting from May 2023, numerous requests for intervention were received from various consumers who complained about the aforementioned conducts carried out by the company Red Fish S.r.l.s. through the websites https://www.agricolaviola.com/ and https://ilredellaforesta.com and, subsequently, by Pharmaland S.r.l., through the website www.temizon.com.</w:t>
        <w:br/>
        <w:t>7. On October 6, 2023, the company Red Fish S.r.l.s. (hereinafter, also, Red Fish) was notified of the initiation of the investigative procedure PS12582 regarding the commercial practices carried out by the aforementioned company towards consumers through the websites “agricolaviola.com” and “ilredellaforesta.com”. In this context, it was particularly hypothesized: the misleading nature of the information published on the sites regarding the availability and delivery times of the products offered online; the unfairness of the online sales process concerning the immediate charge of payment at the time of the order and the subsequent failure to deliver the products (in particular, pet food); the failure/inadequate provision of post-sale assistance services as well as the obstruction of consumers' rights of withdrawal and refund; the failure to comply with certain provisions for the protection of consumer rights in distance contracts.</w:t>
        <w:br/>
        <w:t>8. Concurrently with the notification of the initiation of the procedure, the aforementioned company was invited, pursuant to Article 8, paragraph 2, of the Regulation, to submit written statements and documents within five days of receipt, in order to assess the grounds for the adoption of precautionary measures. The Professional did not respond to this invitation.</w:t>
        <w:br/>
        <w:t>9. By decision of October 17, 2023, No. 30834, the Authority resolved to adopt the precautionary measure, pursuant to Article 27, paragraphs 3 and 3-bis, of the Consumer Code, against the company Red Fish S.r.l.s., ordering it to suspend all activities aimed at the marketing and sale of products through the websites “agricolaviola.com” and “ilredellaforesta.com” carried out in the manner contested in the initiation communication. In execution of the aforementioned precautionary measure, furthermore, the Guardia di Finanza, on November 7, 2023, reported having inhibited consumer access to said sites.</w:t>
        <w:br/>
        <w:t>10. On November 3, 2023, the communication of the objective and subjective extension of the procedure against the company Pharmaland S.r.l. was transmitted, contesting the same commercial conducts contested in the aforementioned initiation communication and carried out through the site temizon.com. The cited act was also communicated to Mr. Jacopo Capitani in his own capacity and as the sole director and shareholder of the company Red Fish S.r.l.s., as well as to Ms. Vanessa Castri, in her own capacity and as the sole director and majority shareholder of the company Pharmaland S.r.l..</w:t>
        <w:br/>
        <w:t>11. On December 19 and 20, 2023, the Professionals were sent a summons for a hearing, scheduled for January 11, 2024. The aforementioned companies and the invited individuals did not appear at the hearing, nor did they send any communication in this regard.</w:t>
        <w:br/>
        <w:t>12. By communication of January 11, 2024, the burden of proof was assigned, pursuant to and for the purposes of Article 27, paragraph 5, of Legislative Decree No. 206 of September 6, 2005.</w:t>
        <w:br/>
        <w:t>13. The aforementioned Professionals (Companies and individuals) did not provide any feedback by the deadline of January 22, 2024, set in the communication assigning the burden, failing to fulfill this procedural obligation.</w:t>
        <w:br/>
        <w:t>14. On January 24, 2024, the date of conclusion of the investigative phase was communicated to the Professionals, pursuant to Article 16, paragraph 1, of the Regulation.</w:t>
        <w:br/>
        <w:t>The acquired elements</w:t>
        <w:br/>
        <w:t>15. During the inspection on November 6, 2023, Mr. Jacopo Capitani stated on record that “Ms. Vanessa Castri is his spouse and director of the company Pharmaland S.r.l., she does not have an active role in the management of the company Pharmaland as the management of all the companies is attributable to him.” Mr. Capitani also stated that: “the management of the sales activities of pet food, through the establishment of the various companies attributable to him, is referable to the same entrepreneurial activity”1.</w:t>
        <w:br/>
        <w:t>16. During the inspection activity, numerous complaints were acquired regarding the failures to deliver purchases made from the Temizon site and the responses provided by the Professional which are found to be irrelevant and unresolving.</w:t>
        <w:br/>
        <w:t>17. In particular, based on the factual elements acquired2 during the procedure, as well as contained in the requests for intervention received since May 20233 - which continue to be reported - the cited reports and complaints are exemplary - and not exhaustive - of the unfairness profiles of the conducts carried out by the Professionals and contested here.</w:t>
      </w:r>
    </w:p>
    <w:p>
      <w:r>
        <w:rPr>
          <w:b/>
        </w:rPr>
        <w:t>[Pages 31–33]</w:t>
      </w:r>
    </w:p>
    <w:p>
      <w:r>
        <w:t>BULLETIN NO. 14 OF APRIL 8, 2024</w:t>
      </w:r>
    </w:p>
    <w:p>
      <w:r>
        <w:t>33</w:t>
        <w:br/>
        <w:t>to reach the Authority - and in the complaints present on review sites, the company Red Fish S.r.l.s. and Mr. Jacopo Capitani would have engaged in unfair commercial practices through the websites "agricolaviola.com" and "ilredellaforesta.com" consisting of: publishing incorrect information about the availability and delivery times of products, failing to deliver the products purchased on the aforementioned sites, failing to refund the amount paid by the consumer in the event of order cancellation or withdrawal; and inadequate post-sale assistance.</w:t>
      </w:r>
    </w:p>
    <w:p>
      <w:r>
        <w:t>18. The same conduct described above has also been found to be carried out by the company Pharmaland and Mr. Jacopo Capitani through the website Temizon.</w:t>
      </w:r>
    </w:p>
    <w:p>
      <w:r>
        <w:t>19. Specifically, the numerous reports received since May 20234, the experiences reported in the complaints present on review sites5, acquired in the case file, highlight that the aforementioned Professionals would have offered for sale - at particularly convenient prices - through the identified websites, products that they then failed to deliver, despite payments made by consumers.</w:t>
      </w:r>
    </w:p>
    <w:p>
      <w:r>
        <w:t>20. In this context, moreover, the cited Professionals would not have provided any post-sale assistance service. In fact, as highlighted by many reporters, the phone number and email address provided to customers would have been inactive or otherwise useless as their use would not have resulted in any contact or feedback from the Professional.</w:t>
      </w:r>
    </w:p>
    <w:p>
      <w:r>
        <w:t>21. The existence of such conduct is evidenced by the numerous and continuous complaints from consumers - all of a similar nature - regarding the non-delivery of products purchased from the websites "agricolaviola.com," "ilredellaforesta.com," and "temizon.com" and the failure to refund what was paid by consumers.</w:t>
      </w:r>
    </w:p>
    <w:p>
      <w:r>
        <w:t>22. Many consumers complain, in fact, of having made purchases of pet food from the aforementioned sites and never receiving the purchased goods. The reporters also complain about the impossibility of contacting the seller as the contact details and email addresses listed on the sites are not functional and do not allow for any response to email inquiries. Other consumers then complain that the personal and identifying data of the selling companies are incorrect or refer to data - for example, VAT number - related to other legal entities. For example, the website www.temizon.com - reported by some consumers for the same conduct (purchase of goods paid for and never delivered and inability to recover money) - lists at the bottom the indication Farmaland srl - Via della Cernaia 55, 50129 Florence (FI) - VAT IT44385187510 - REA FI-479110 - Share Capital €10,000 - Pec: farmalandsrl@legalmail.it. In reality, the company name is Pharmaland S.r.l., the company's VAT number is 06951560488, and the correct digital address is “06951560488@impresa.italia.it”6.</w:t>
      </w:r>
    </w:p>
    <w:p>
      <w:r>
        <w:t>23. Below, by way of example and not exhaustive, is the content of some of the consumer reports received, where such factual circumstances are fully described:</w:t>
        <w:br/>
        <w:t>4 See, for example, report prot. no. 40480 of May 2, 2023.</w:t>
        <w:br/>
        <w:t>5 From the Trustpilot site, for example, there are more than 500 reviews for “agricolaviola,” of which 91% are absolutely negative; for “ilredellaforesta,” there are more than 400 reviews, of which 86% are absolutely negative; for “Temizon,” there are more than 600 reviews, of which 87% are absolutely negative. See survey of January 22, 2024.</w:t>
        <w:br/>
        <w:t>6 See information transmitted by the Guardia di Finanza - Antitrust Unit on October 19, 2023, prot. no. 83774.</w:t>
      </w:r>
    </w:p>
    <w:p>
      <w:r>
        <w:t>34 BULLETIN NO. 14 OF APRIL 8, 2024</w:t>
        <w:br/>
        <w:t>- a consumer reports having purchased on May 2, 2023, from the online site www.agricolaviola.com a bag of 11kg kibble and having paid €66.00 via Postepay, but the package with the food was never delivered; moreover, the reporter complains of having made numerous calls to the phone number listed at the bottom of the site pages and having sent various emails requesting tracking of the package, but received no response7;</w:t>
        <w:br/>
        <w:t>- other consumers complain of having purchased dog food online that never arrived and having sent numerous emails, which were never acknowledged by the Company8.</w:t>
        <w:br/>
        <w:t>- another consumer states that “They sell food for dogs and cats, after making the purchase, you receive an email confirming the payment and a reference code with which the package should be tracked, the code is not valid and every attempt to contact is in vain, both via email (it is rejected) and by phone (the phone number is always off)”9;</w:t>
        <w:br/>
        <w:t>- yet another consumer states: “On 9/07/23 I purchased through the site agricolaviola.com 2 packages of Forza 10 Active Dermo dog kibble for a total of €96.00. As of today (July 18, 2023), I have not yet received the products, they do not respond to emails or phone calls, and if I check the status of my order, it shows that they have only received the payment”10;</w:t>
        <w:br/>
        <w:t>- the Carabinieri, Scoglitti station (RG) on August 7, 2023, reported a complaint received from a consumer who claims to have purchased animal food on the site agricolaviola.com and never received the paid goods11;</w:t>
        <w:br/>
        <w:t>- a report from a consumer states: “I am writing to report a scam against me carried out by the site IL RE DELLA FORESTA https://www.ilredellaforesta.com/. On August 11, I placed an order paid by credit card for €131.10. They immediately responded that my order was accepted and was being prepared, then I received no further communications. I have tried dozens of times to call the number on the site but initially it was unreachable and, subsequently, always busy or the call dropped immediately without answer. I also sent an email but received no response”12;</w:t>
        <w:br/>
        <w:t>- a consumer reports having purchased online, on Tuesday 19/09/2023 from the site temizon.com a package of dog food. On Friday 22/09, he starts calling the number +39 3505762562 but no one answers, writes emails and receives no response. On Monday 25/09, they answer the phone: it is a man with a Tuscan accent, who reassures him and says that it has been taken over by Bartolini, delivery is expected for Wednesday 27/09/2023 and that the tracking of the shipment will definitely arrive during the day; as of 26/09, no tracking and they do not respond through any channel13;</w:t>
        <w:br/>
        <w:t>- another consumer reports that, on 19/10/2023, he ordered from the TEMIZON WEBSITE the Monge Bwild Grain Free Duck with Potatoes All Breeds Puppy &amp; Junior 12 kg kibble. Payment was made via American Express credit card with a regular receipt of €53.50, the credit was registered to PHARMALAND SRL. As of October 27, he has received nothing, no response to the email, and no one answers at the phone number +39 350576256214;</w:t>
        <w:br/>
        <w:t>- a consumer states that he purchased online from the TEMIZON site, a 5 kg package of Ocean kibble from Farmina on October 23, 2023, costing about €60, delivery was to be made within 5 days, but as of 30/10/2023, there has been no delivery. Furthermore, having tried to contact the company at the number 3505762562, it is either unreachable or unresponsive. A similar report from a consumer who complains of having purchased on 12/10/2023 from the online store Temizon 2 PACKS of 12 kg Monge Light for dogs, paying the amount of €84 at the same time. Upon confirmation of the order, he was informed that delivery would take place within 5 working days. However, despite repeated reminders, as of November 2, he has still not received the goods nor any response from customer service15.</w:t>
      </w:r>
    </w:p>
    <w:p>
      <w:r>
        <w:t>The Parties' Statements</w:t>
        <w:br/>
        <w:t>24. The companies Red Fish S.r.l.s. and Pharmaland S.r.l. and Mr. Jacopo Capitani and Ms. Vanessa Castri have not submitted defensive statements or provided any feedback regarding the allegations raised in the aforementioned initiation communications of procedure PS12582 and the objective/subjective integration of the procedure itself, nor responded to the requests for information contained therein.</w:t>
      </w:r>
    </w:p>
    <w:p>
      <w:r>
        <w:t>The burden of proof pursuant to Article 27, paragraph 5, of the Consumer Code and Article 15 of the Regulation.</w:t>
      </w:r>
    </w:p>
    <w:p>
      <w:r>
        <w:t>25. Given the lack of response provided by the Professionals to the request for information and documentation made on October 6, 2023, with the initiation of the procedure, on January 11, 2024, the Professionals were informed of the assignment of the burden of proof to them, pursuant to Article 27, paragraph 5, of the Consumer Code and Article 15 of the Regulation.</w:t>
      </w:r>
    </w:p>
    <w:p>
      <w:r>
        <w:t>26. In the course of the investigative proceedings, the Professionals were requested to demonstrate:</w:t>
        <w:br/>
        <w:t>(cid:1) total number of orders received monthly, indicating the total value;</w:t>
        <w:br/>
        <w:t>(cid:1) number of orders actually delivered and related delivery times, specifying any delays (delivery days) and non-deliveries;</w:t>
        <w:br/>
        <w:t>(cid:1) number and reasons for requests for order cancellations/withdrawals by consumers, indicating the outcome;</w:t>
        <w:br/>
        <w:t>(cid:1) number of refund requests received and related outcomes, with specific indication of the number of refunds actually granted and the related execution timing;</w:t>
        <w:br/>
        <w:t>(cid:1) number of complaints received and description of the methods of handling complaints and requests for withdrawal/refund.</w:t>
      </w:r>
    </w:p>
    <w:p>
      <w:r>
        <w:t>27. The Professionals have not provided any feedback regarding the burden of proof.</w:t>
      </w:r>
    </w:p>
    <w:p>
      <w:r>
        <w:t>28. Therefore, pursuant to and for the effects of the provision of Article 27, paragraph 15 of the Consumer Code, the burden of proof has not been fulfilled by the Professionals.</w:t>
        <w:br/>
        <w:t>14 See report prot. no. 87496 of October 22, 2023.</w:t>
        <w:br/>
        <w:t>15 See report prot. no. 88124 of October 30, 2023, and prot. no. 89180 of November 2, 2023. Reports of the same content have also been received regarding the Temizon site on January 2, 2024, prot. no. 10230, on January 15, 2024, prot. no. 12954, and on January 19, 2024, prot. no. 14332. See document no. 37 of the index of the investigative file.</w:t>
      </w:r>
    </w:p>
    <w:p>
      <w:r>
        <w:rPr>
          <w:b/>
        </w:rPr>
        <w:t>[Pages 34–36]</w:t>
      </w:r>
    </w:p>
    <w:p>
      <w:r>
        <w:t>36 BULLETIN NO. 14 OF APRIL 8, 2024</w:t>
      </w:r>
    </w:p>
    <w:p>
      <w:r>
        <w:t>IV. OPINION OF THE AUTHORITY FOR GUARANTEES IN COMMUNICATIONS</w:t>
      </w:r>
    </w:p>
    <w:p>
      <w:r>
        <w:t>29. Since the conduct subject to this provision has been disseminated via the internet, on February 16, 2024, an opinion was requested from the Authority for Guarantees in Communications, pursuant to Article 27, paragraph 6, of the Consumer Code.</w:t>
      </w:r>
    </w:p>
    <w:p>
      <w:r>
        <w:t>30. By resolution received on March 12, 2024, this Authority expressed the requested opinion, limiting its assessments to the suitability of the specific means of communication used to disseminate the commercial practice to amplify any misleading and/or unfair nature of the same practice.</w:t>
      </w:r>
    </w:p>
    <w:p>
      <w:r>
        <w:t>31. In particular, the aforementioned Authority, considering that “the means of communication and purchase used, in relation to the service offered by the Professionals, is suitable to develop a significant impact on consumers who, based on the information read on the websites used by the Professionals, could be induced to make a commercial decision that they otherwise would not have made, thus concretely developing the full potential of the promotional and sales methods used” and that “therefore, based on the documentation in the records, in this case, the Internet is a means of communication suitable to significantly influence the realization of the commercial practice for which this Authority is requested to provide an opinion.”</w:t>
      </w:r>
    </w:p>
    <w:p>
      <w:r>
        <w:t>V. CONCLUDING ASSESSMENTS</w:t>
      </w:r>
    </w:p>
    <w:p>
      <w:r>
        <w:t>32. This provision concerns the unlawfulness of the behaviors carried out by the companies Red Fish S.r.l.s. and Pharmaland S.r.l. – as well as by the actual manager of the commercial activities carried out by them, Mr. Jacopo Capitani, based on the statement made by him in the minutes drawn up during the inspection16. At this stage, there are no sufficient elements regarding an active role of Ms. Vanessa Castri, majority shareholder and legal representative of Pharmaland S.r.l., also considering the statements made by Mr. Jacopo Capitani during the inspection, according to which “Ms. Vanessa Castri is his spouse and administrator of Pharmaland S.r.l., she does not have an active role in the management of Pharmaland as the management of all the Companies is attributable to him”17.</w:t>
      </w:r>
    </w:p>
    <w:p>
      <w:r>
        <w:t>33. In light of the above and due to the solely active role of Mr. Jacopo Capitani, the recipients of this provision are Mr. Jacopo Capitani himself in his own capacity and as a partner of the two companies through which the behaviors subject to this provision were carried out, as well as the companies Red Fish S.r.l.s.18 and Pharmaland S.r.l., as legal entities that operated and effectively carried out the aforementioned behaviors and, for this reason, are responsible for the same behaviors carried out to the detriment of consumers.</w:t>
      </w:r>
    </w:p>
    <w:p>
      <w:r>
        <w:t>34. In fact, in addition to the explicit assumption of responsibility - during the inspection minutes - for all commercial activities carried out through the aforementioned Companies Red Fish S.r.l.s. and Pharmaland S.r.l.,16 Mr. Jacopo Capitani (who conducts entrepreneurial activities through various capital companies19, including the two companies involved in this proceeding) can also be considered responsible, as an entrepreneur, for the unlawful acts materially carried out by Red Fish S.r.l.s. and Pharmaland S.r.l.</w:t>
      </w:r>
    </w:p>
    <w:p>
      <w:r>
        <w:t>35. Based on the above, a joint liability can be asserted under Article 6, paragraph 3, of Law 689/1981 for Mr. Jacopo Capitani, in his own capacity and as a partner and effective owner of both Companies, who operated through them - of which he had de jure or de facto ownership and/or managerial responsibility - for the commission of the unlawful acts in question.</w:t>
      </w:r>
    </w:p>
    <w:p>
      <w:r>
        <w:t>36. Regarding the merits of the conduct, it is noted that they, although carried out through different and articulated behaviors developed in the various phases of the formation of the consumer relationship, constitute a single violation of the provisions of the Consumer Code.</w:t>
      </w:r>
    </w:p>
    <w:p>
      <w:r>
        <w:t>37. In fact, the commercial behaviors contested to the Professionals, although concerning the distinct phases of consumption – in particular, after repeatedly creating online sales sites for seemingly complete and functional pet products, offering pet products at particularly convenient prices, the failure to deliver the purchased products, the omission of refunds for amounts paid by consumers, the omission of after-sales services, the indication on the aforementioned sites of phone numbers and email addresses, seemingly made available to customers, but in fact inactive or unusable - are the result of an intentional unified strategy20, aimed at “hooking” the consumer misleadingly, inducing them to make the purchase and pay the corresponding price, without then delivering the products and not recognizing after-sales assistance and refunds for the amounts paid. Instrumental to this unified action also appears to be the omission of information regarding the identifying data of the Company, or rather the indication of incorrect data reported on the respective sites.</w:t>
      </w:r>
    </w:p>
    <w:p>
      <w:r>
        <w:t>38. Furthermore, it should be considered that the behaviors - collectively considered within this proceeding - seem to be part of a unified strategy, carried out by the same individual, Mr. Jacopo Capitani, through the two companies Red Fish and Pharmaland and the aforementioned websites. In particular, the aforementioned behaviors were carried out through the site agricolaviola.com and then through the site ilredellaforesta.com; when consumer reports became numerous, also on review sites, the same behaviors were substantially “redirected,” starting around September 2023, to a new website, temizon.com.</w:t>
      </w:r>
    </w:p>
    <w:p>
      <w:r>
        <w:t>39. From the investigative findings, the central role played, within the aforementioned strategy, by Mr. Jacopo Capitani has emerged.</w:t>
      </w:r>
    </w:p>
    <w:p>
      <w:r>
        <w:t>The context in which the established conduct is situated</w:t>
      </w:r>
    </w:p>
    <w:p>
      <w:r>
        <w:t>40. The investigation conducted concerns the e-commerce sector, a rapidly growing area characterized by the presence of numerous operators, in which the depersonalization of the purchasing relationship weakens the consumer/buyer and places them in a position of inevitable informational asymmetry compared to the professional. It follows, therefore, the need to ensure greater correctness in commercial relationships, the fulfillment of the main obligations of the contract, and the delivery of the purchased goods corresponding to those subject to promotion and offer.</w:t>
      </w:r>
    </w:p>
    <w:p>
      <w:r>
        <w:t>41. It is worth emphasizing that under the Consumer Code, to protect the consumer's freedom of choice, the consumer must have, from the very first contact, the useful information to freely make a commercial decision; this is even more so in the e-commerce sector, characterized by the remote conclusion of commercial transactions, where the need to ensure the correctness of consumer relationships is of paramount importance, from the moment the user is hooked, through a clear and complete representation of the characteristics of the offers being advertised and the resulting contractual obligation, to allow the consumer an informed commercial choice first regarding the purchase and, subsequently, in relation to the continuation of the contractual relationship.</w:t>
      </w:r>
    </w:p>
    <w:p>
      <w:r>
        <w:t>42. In the pre-purchase phase, it is therefore necessary that precise and comprehensive information is provided regarding the essential characteristics of the products sold, their availability, the related delivery times, and the methods of execution of the relevant contract, in order to allow the consumer to first verify the convenience of the transaction, and then the compliance with the proposed offer conditions. In the phase following the online purchase, concerning the execution of the distance sale transaction, the professional is required to ensure the necessary assistance to consumers, providing correct information on the actual status and concrete developments of a purchase order, as well as guaranteeing the full exercise of their rights related to the delivery of products, withdrawal/cancellation, and refund of the amount paid. This is also because, if promptly and adequately informed about the possible impossibility of fulfilling the order under the proposed conditions, the consumer can turn to another competing operator.</w:t>
      </w:r>
    </w:p>
    <w:p>
      <w:r>
        <w:t>43. The online commerce sector therefore requires particular rigor in evaluating the conduct of professionals given the vulnerability of consumers and the risk that harmful conduct may easily be carried out to their detriment.</w:t>
      </w:r>
    </w:p>
    <w:p>
      <w:r>
        <w:t>44. As previously indicated, the conduct subject to the investigation has proven to be the result of a conscious unified strategy implemented by the partner of both companies (Red Fish and Pharmaland), Mr. Jacopo Capitani, through each of them and their respective websites (“agricolaviola.com,” “ilredellaforesta.com,” and “temizon.com”) with which consumers were “hooked” in misleadingly similar ways, also presenting particularly convenient selling prices for pet products - as reported by various consumers - in order to sell products without then delivering them.</w:t>
      </w:r>
    </w:p>
    <w:p>
      <w:r>
        <w:t>45. In this regard, it is noted that the aforementioned sites use methods of “hooking” consumers, exploiting levers capable of generating interest in the purchase among consumers. In particular, the presentation of particularly convenient prices is likely to mislead consumers about the economic feasibility of the purchase, while the presence on the sales site of identifying data of the Companies – later revealed to be false, as for Pharmaland - is capable of generating confidence regarding the seriousness and reliability of the sellers.</w:t>
      </w:r>
    </w:p>
    <w:p>
      <w:r>
        <w:t>46. Finally, it is recalled that, from a legal perspective, the consolidated orientation of administrative jurisprudence is relevant, according to which the characteristic of consumer wrongdoing is that of being mere “danger” with the consequence that “the possible insignificance of the reports and the occasional or episodic nature of the conduct are entirely irrelevant,” also noting “the mere potential harmfulness of the behavior carried out by the professional, regardless of the actual harm caused to the behavior of the recipients, induced to make a decision.</w:t>
      </w:r>
    </w:p>
    <w:p>
      <w:r>
        <w:rPr>
          <w:b/>
        </w:rPr>
        <w:t>[Pages 37–39]</w:t>
      </w:r>
    </w:p>
    <w:p>
      <w:r>
        <w:t>BULLETIN NO. 14 OF APRIL 8, 2024</w:t>
      </w:r>
    </w:p>
    <w:p>
      <w:r>
        <w:t>39</w:t>
        <w:br/>
        <w:t>of a commercial nature that they would not have otherwise made”21. It follows, moreover, that the actual impact of the unfair commercial practice on consumers does not constitute an element capable of eliminating or reducing the “contra legem” profiles of the same, as it is not required “that there is an actual injury to the interests of consumers, but rather that a practice is capable of producing it. The legal interest protected, in fact, is only indirectly the patrimonial sphere of the consumer: immediately, through the freedom of choice, the correct functioning of the competitive market is intended to be safeguarded”22.</w:t>
      </w:r>
    </w:p>
    <w:p>
      <w:r>
        <w:t>The profiles of misleadingness and aggressiveness of the conduct</w:t>
        <w:br/>
        <w:t>47. The set of these behaviors, considered as a whole, constitutes a single unfair commercial practice, characterized by elements of misleadingness and aggressiveness, pursuant to Articles 20, 21, and 22 as well as 24 and 25 of the Consumer Code. The behaviors in question have proven to be contrary to professional diligence and capable of misleading consumers about certain relevant characteristics and delivery times of the products sold online, thus inducing them to make a commercial decision for the immediate purchase and payment of a product that they would not have otherwise made; the failure to deliver the products and the obstacles placed to refund requests have, moreover, substantiated an aggressive practice detrimental to consumers.</w:t>
      </w:r>
    </w:p>
    <w:p>
      <w:r>
        <w:t>48. From the investigative findings, it has emerged that the companies Red Fish and Pharmaland, as well as Mr. Jacopo Capitani, in the context of the offers published on their respective websites and, therefore, in the pre-purchase phase of consumers' online choices, provided information regarding the availability of the marketed products that, in reality, turned out to be unreliable and, therefore, deceptive, to the extent that they presented the possibility of purchasing online, at particularly convenient prices, products for animals that were actually unavailable or that were not delivered.</w:t>
      </w:r>
    </w:p>
    <w:p>
      <w:r>
        <w:t>49. Correct and timely information on the actual availability of products is essential for a fully informed purchasing decision, capable of guaranteeing consumers genuine freedom of choice, allowing them to adequately weigh the opportunity to purchase products of which the Companies did not have, or were not certain of having, material availability or, conversely, to turn to another professional.</w:t>
      </w:r>
    </w:p>
    <w:p>
      <w:r>
        <w:t>50. In reality, the information provided by Red Fish and Pharmaland, as well as by Mr. Jacopo Capitani, on the availability of the products sold online turned out to be incorrect, as demonstrated by the investigative findings related to numerous reports attesting to the constant failure to deliver products, even months after the online purchase and simultaneous payment; due to this non-fulfillment, several consumers were indeed induced and/or forced to request the withdrawal/cancellation of the order and the consequent refund of the amount paid at the time of the online order. The refund remained, moreover, unfulfilled as also demonstrated by the failure to send by the Professionals – requested in the context of the burden of proof – documentation certifying the refund to consumers of what was paid for the purchase of the products never delivered.</w:t>
      </w:r>
    </w:p>
    <w:p>
      <w:r>
        <w:t>21 Cf. Council of State ruling, section VI, February 8, 2021, no. 1152.</w:t>
        <w:br/>
        <w:t>22 Cf. Council of State ruling, section VI, March 12, 2020, no. 1751.</w:t>
      </w:r>
    </w:p>
    <w:p>
      <w:r>
        <w:t>40 BULLETIN NO. 14 OF APRIL 8, 2024</w:t>
      </w:r>
    </w:p>
    <w:p>
      <w:r>
        <w:t>The online sales process</w:t>
        <w:br/>
        <w:t>51. From the documentation in the case file, it has emerged that the Companies adopted incorrect methods of managing the online sales process, specifically regarding – in addition to having repeatedly created seemingly complete and functional online sales sites for animal products – the presentation of particularly convenient prices. This is an important “hook” element considering that price is one of the aspects that influence the consumer's purchasing decision. Following this purchasing decision, the immediate charge of the price of the products purchased by consumers, at the time of the online order, while the Professionals were aware of the issues concerning the non-delivery of the same, constitutes particularly serious conduct, in evident violation of the general principles of fairness and good faith in the e-commerce sector.</w:t>
      </w:r>
    </w:p>
    <w:p>
      <w:r>
        <w:t>52. The conduct is fully reflected in the numerous reports from consumers who complained about the non-delivery of products paid for in advance and the failure to refund the amount paid even in the face of complaints and refund requests sent to the Professionals.</w:t>
      </w:r>
    </w:p>
    <w:p>
      <w:r>
        <w:t>53. In conclusion, the misleading nature of the information provided by the websites in question, at the delicate moment of advertising engagement, regarding particularly convenient prices and the availability of the products offered online, is certainly capable of significantly distorting the economic behavior of consumers and influencing their commercial decisions, inducing them to purchase the products sold online by the Professionals.</w:t>
      </w:r>
    </w:p>
    <w:p>
      <w:r>
        <w:t>54. What emerges from the investigation is that the Professionals offered products for sale, immediately charging the corresponding price, without then delivering them. This modus operandi takes on particularly serious characteristics considering that, in this way, consumers are deprived of the availability of economic resources, for an indefinite period, which could have allowed, among other things, the purchase of the product from another supplier. The Professionals thus ensure immediate collection of the payment, to the serious detriment of consumers who do not receive the delivery of the products, moreover hindering the exercise of their contractual rights, including the right to terminate the contract, to change the product, or to turn to another commercial operator.</w:t>
      </w:r>
    </w:p>
    <w:p>
      <w:r>
        <w:t>55. The aforementioned behaviors are therefore unfair and misleading, pursuant to Articles 21 and 22 of the Consumer Code, as they are capable of significantly affecting, through the presentation of untrue information, the freedom of choice of consumers regarding the products offered online, inducing them to make a commercial decision that they would not have otherwise made, since they involve the immediate withdrawal of the amount at the time of the online order, only to result in the outright non-delivery of the purchased good.</w:t>
      </w:r>
    </w:p>
    <w:p>
      <w:r>
        <w:t>The phase following the purchase</w:t>
        <w:br/>
        <w:t>56. With regard to the phase following the purchase, the Professionals have engaged in a series of behaviors that consist of the non-delivery of products sold online, the omission of information regarding the shipping status of orders, the failure or inadequate provision of post-sale assistance services, and the hindrance to the exercise of consumers' rights of withdrawal and/or refund. These behaviors, considered as a whole, constitute an unfair commercial practice, carried out in violation of Articles 20, 24, and 25 of the Consumer Code, as they are contrary to professional diligence and capable of significantly limiting the</w:t>
      </w:r>
    </w:p>
    <w:p>
      <w:r>
        <w:t>BULLETIN NO. 14 OF APRIL 8, 2024 41</w:t>
      </w:r>
    </w:p>
    <w:p>
      <w:r>
        <w:t>freedom of choice of consumers regarding the products sold, as well as hindering the exercise of consumers' rights, including the right to obtain delivery of the good within the expected times, the right to terminate a contract and obtain a refund according to the times and methods provided by the contractual discipline and in accordance with the provisions of the law, or to change the product or turn to another professional, as well as the right to receive a refund of what was paid with adequate post-sale assistance.</w:t>
      </w:r>
    </w:p>
    <w:p>
      <w:r>
        <w:t>57. The investigative findings account for numerous non-deliveries of products ordered and paid for by consumers, even months after the respective online order. In this context, consumer reports attest to a dilatory and obstructive attitude of the Professionals who, in the face of customer inquiries about the shipping status of the order and various reminders, completely failed to respond and became unreachable.</w:t>
      </w:r>
    </w:p>
    <w:p>
      <w:r>
        <w:t>58. The inspection findings and, in particular, the complaints received also attest to the Professionals' awareness of the non-delivery of the products sold on the aforementioned sites and the consequent discomfort of consumers who, after making the purchase, request information on delivery times or complain about the non-delivery of the products23.</w:t>
      </w:r>
    </w:p>
    <w:p>
      <w:r>
        <w:t>59. The failure to fulfill the main obligation, related to the delivery of the product sold online, is characterized by elements of aggressiveness, to the extent that consumers, despite having paid the price, are deprived of the availability of the goods purchased online or the possibility of using them in a timely manner, thereby suffering undue conditioning that could also prevent them from purchasing the same products from other competing operators, or from using the amounts paid as consideration and collected by the Professionals for other purposes.</w:t>
      </w:r>
    </w:p>
    <w:p>
      <w:r>
        <w:t>60. Based on the documentation acquired in the case file, the incorrect conduct consisting of hindering the exercise of the right of withdrawal and refund by consumers following the non-delivery of the products purchased online is also confirmed. In this regard, the reported impossibility of contacting the selling companies is significant. In this regard, the indications on the aforementioned online sales sites of false addresses and/or non-functional telephone and email contacts are also significant. It has, in fact, been found that the telephone references and email addresses present on the Sites were unusable, as no operator responded to customer calls or emails, forcing consumers to various futile attempts at communication. Notably, the site www.temizon.com lists at the bottom the indication Farmaland srl - Via della Cernaia 55, 50129 Florence (FI) - VAT IT44385187510 - REA FI-479110 - Share Capital €10,000 - Pec: farmalandsrl@legalmail.it while, in reality, the company name is Pharmaland S.r.l., the company's VAT number is 06951560488, and the true digital address is “06951560488@impresa.italia.it”.</w:t>
      </w:r>
    </w:p>
    <w:p>
      <w:r>
        <w:t>61. The failure or inadequate provision of post-sale assistance services by the Companies, as described above, therefore constitutes aggressive conduct, as it is capable of unduly conditioning the behavior of consumers to the extent that it appears overall aimed at creating a series of non-contractual obstacles to the ability of these latter to exercise their rights.</w:t>
      </w:r>
    </w:p>
    <w:p>
      <w:r>
        <w:t>23 Cf. also document no. 37 of the index of the investigative file.</w:t>
      </w:r>
    </w:p>
    <w:p>
      <w:r>
        <w:rPr>
          <w:b/>
        </w:rPr>
        <w:t>[Pages 40–42]</w:t>
      </w:r>
    </w:p>
    <w:p>
      <w:r>
        <w:t>42 BULLETIN NO. 14 OF APRIL 8, 2024</w:t>
      </w:r>
    </w:p>
    <w:p>
      <w:r>
        <w:t>62. The set of the aforementioned behaviors related to the execution of the purchase contract and consumer assistance thus constitutes a violation of Articles 20, 24, and 25 of the Consumer Code, as they are capable of unduly influencing the behavior of consumers, who find themselves in a position of marked weakness, also due to the informational asymmetries that characterize the tool used for concluding remote purchase contracts. Consumers have consequently suffered significant inconveniences both from the failure to deliver the products and from the failure to refund the purchase price paid at the time of the order, without being able to obtain from the Professionals the necessary post-sale assistance services.</w:t>
      </w:r>
    </w:p>
    <w:p>
      <w:r>
        <w:t>63. For the purposes of proving the existence of the overall conduct described above, the failure to fulfill the investigative burden of proof, pursuant to and for the effects of Article 27, paragraph 5, of the Consumer Code, by the Professionals is also relevant, as they did not send any response to the communication assigning the burden.</w:t>
      </w:r>
    </w:p>
    <w:p>
      <w:r>
        <w:t>64. From another perspective, the Professionals violated the pre-contractual information obligations provided in the case of concluding distance contracts by Article 49, paragraph 1, letters b), c), and d) of the Consumer Code, particularly regarding the omission of contact details and systems to file complaints. In this regard, it is evident that to fulfill this obligation, it is not sufficient for addresses and phone numbers to be present on the site; it is necessary that these contacts are real, effective, and functional to allow the consumer to effectively file a complaint and easily resolve any issues or service disruptions.</w:t>
      </w:r>
    </w:p>
    <w:p>
      <w:r>
        <w:t>65. Furthermore, within the framework of distance contracts, Article 61 of the Consumer Code also establishes a specific deadline – 30 days – within which such delivery must occur. The Professionals have evidently violated this obligation, given the failure to comply with the legally established deadline, by not delivering the products purchased and paid for by consumers.</w:t>
      </w:r>
    </w:p>
    <w:p>
      <w:r>
        <w:t>VI. QUANTIFICATION OF THE SANCTION</w:t>
      </w:r>
    </w:p>
    <w:p>
      <w:r>
        <w:t>66. Pursuant to Article 27, paragraph 9, of the Consumer Code - as recently amended by Article 1, paragraph 7, of Legislative Decree No. 26 of March 7 - with the provision that prohibits the unfair commercial practice, the Authority orders the application of an administrative pecuniary sanction from €5,000 to €10,000,000, taking into account the severity and duration of the violation as well as the economic and asset conditions of the professional.</w:t>
      </w:r>
    </w:p>
    <w:p>
      <w:r>
        <w:t>67. Regarding the quantification of the sanction, the criteria identified by Article 11 of Law No. 689/1981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Quantification of the sanction for Red Fish S.r.l.s. and Jacopo Capitani</w:t>
      </w:r>
    </w:p>
    <w:p>
      <w:r>
        <w:t>68. Regarding the violation committed by Red Fish S.r.l.s. and Mr. Jacopo Capitani, through the websites https://www.agricolaviola.com/ and https://ilredellaforesta.com, in assessing its severity, the following elements are taken into account: i) the specificity of the e-commerce sector, which places the purchasing consumer in a position of inevitable informational asymmetry compared to online sellers; ii) the means used to convey commercial offers, namely the two websites of the Professionals, a tool capable of quickly reaching a large number of consumers located throughout the national territory; iii) the overall extent of the economic harm potentially suffered by consumers (especially in the case of online purchases of multiple products combined in a single order), as well as having deceived and adopted aggressive conduct regarding the purchase of pet products (mostly food), also exploiting their particular sensitivity towards these animals. The absence of any cooperation from the Professionals during the investigative activity is also taken into account.</w:t>
      </w:r>
    </w:p>
    <w:p>
      <w:r>
        <w:t>69. For the purposes of evaluating the severity of the case, the plurality of illicit profiles identified and the specific type of violations, which pertain to a very delicate phase of the consumer relationship, that of the first advertising contact in which the "hook" effect on the consumer occurs, are also relevant. The conduct is also characterized by a significant degree of offensiveness due to the unfair and insidious methods of the overall online purchasing process, given the immediate charge of payment at the time of the purchase order and the failure to deliver the purchased goods. Furthermore, regarding the severity, it is relevant that the company Red Fish has engaged in the aforementioned conduct through two websites: https://www.agricolaviola.com/ and https://ilredellaforesta.com.</w:t>
      </w:r>
    </w:p>
    <w:p>
      <w:r>
        <w:t>70. It is also noted that the established conduct concerns an important phase of the consumer relationship, which consists of the execution of the online sales contract and the provision of post-sale assistance services to consumers, and is also characterized by a significant degree of offensiveness due to the obstacle to the exercise of the main rights of consumers in the decisive phase following the remote purchase, regarding the failure to deliver the goods and the failure to refund within the times and in the manner provided by the contractual discipline and by law. Finally, the full awareness and intentionality of the unlawful conduct by Red Fish and Mr. Jacopo Capitani is noted.</w:t>
      </w:r>
    </w:p>
    <w:p>
      <w:r>
        <w:t>71. Regarding the duration of the violation committed by Mr. Jacopo Capitani and Red Fish S.r.l.s., from the available elements in the records, it appears that it has been in effect since at least May 2023 and has ceased in November 2023 following the subsequent closure of the websites https://www.agricolaviola.com/ and https://ilredellaforesta.com.</w:t>
      </w:r>
    </w:p>
    <w:p>
      <w:r>
        <w:t>72. Based on these elements – taking into account the need to ensure a deterrent effect for the sanction – it is deemed appropriate to determine the amount of the applicable administrative pecuniary sanction, jointly, to Jacopo Capitani and Red Fish S.r.l.s. in the amount of €200,000 (two hundred thousand euros).</w:t>
      </w:r>
    </w:p>
    <w:p>
      <w:r>
        <w:t>Quantification of the sanction for Pharmaland S.r.l. and Jacopo Capitani</w:t>
      </w:r>
    </w:p>
    <w:p>
      <w:r>
        <w:t>73. Regarding the violation committed by Pharmaland S.r.l. and Mr. Jacopo Capitani, in assessing the severity of the violations, the following elements are taken into account: i) the specificity of the e-commerce sector, which places the purchasing consumer in a position of inevitable informational asymmetry compared to online sellers; ii) the means used to convey commercial offers, namely the website of the Professionals, a tool capable of quickly reaching a large number of consumers located throughout the national territory; iii) the overall extent of the economic harm potentially suffered by consumers (especially in the case of online purchases of multiple products combined in a single order), as well as having deceived and adopted aggressive conduct regarding the purchase of pet products (mostly food), also exploiting their particular sensitivity towards these animals. The absence of any cooperation from the Professionals during the investigative activity is also taken into account.</w:t>
      </w:r>
    </w:p>
    <w:p>
      <w:r>
        <w:t>74. For the purposes of evaluating the severity of the case, the plurality of illicit profiles identified and the specific type of violations, which pertain to a very delicate phase of the consumer relationship, that of the first advertising contact in which the "hook" effect on the consumer occurs based on the presentation of the characteristics of the commercial offer, are also relevant. The conduct is also characterized by a significant degree of offensiveness due to the unfair and insidious methods of the overall online purchasing process, given the immediate charge of payment at the time of the purchase order and the subsequent failure to deliver the goods.</w:t>
      </w:r>
    </w:p>
    <w:p>
      <w:r>
        <w:t>75. It is also noted that the established conduct concerns an important phase of the consumer relationship, which consists of the execution of the online sales contract and the provision of post-sale assistance services to consumers, and is also characterized by a significant degree of offensiveness due to the failure to respect and/or the obstacle to the exercise of the main rights of consumers in the decisive phase following the remote purchase, regarding the failure to deliver the goods, the failure to refund within the times and in the manner provided by the contractual discipline and by law. Finally, the full awareness and intentionality of the unlawful conduct by Pharmaland and Mr. Jacopo Capitani is noted.</w:t>
      </w:r>
    </w:p>
    <w:p>
      <w:r>
        <w:t>76. Regarding the duration of the violation committed by Mr. Jacopo Capitani and Pharmaland S.r.l., from the available elements in the records, it appears that it has been in effect since September 2023 and can be considered to have ceased as of today, given that the site temizon.com has been unreachable since March 202424.</w:t>
      </w:r>
    </w:p>
    <w:p>
      <w:r>
        <w:t>77. Based on these elements – taking into account the need to ensure a deterrent effect for the sanction – it is deemed appropriate to determine the amount of the applicable administrative pecuniary sanction, jointly, to Pharmaland S.r.l. and Jacopo Capitani in the amount of €100,000 (one hundred thousand euros).</w:t>
      </w:r>
    </w:p>
    <w:p>
      <w:r>
        <w:t>THEREFORE, also in light of the opinion of the Authority for Guarantees in Communications, based on the considerations set forth above, it is determined that the commercial practice carried out by Red Fish S.r.l.s., Pharmaland S.r.l., and Mr. Jacopo Capitani is unfair and aggressive pursuant to Articles 20, 21, 22 as well as 24 and 25, 49, paragraph 1, letters b), c), and d), and 61 of the Consumer Code, as it is contrary to professional diligence and capable of misleading consumers regarding the availability and delivery times of the products sold online, as well as being able to significantly limit the freedom of choice of consumers regarding the product, through the immediate charge to their credit card of the payment for online orders, inducing them thereby to make a commercial decision to purchase and pay for a product they would not otherwise have made. Furthermore, the conduct carried out by the aforementioned Professionals is found to be capable of significantly limiting the freedom of choice of consumers regarding the product, as well as hindering the exercise of consumers' rights, including the right to obtain delivery of the goods within the stipulated times and to receive information on the status of the shipment of the products, the right to obtain adequate post-sale assistance, to resolve the purchase contract and to collect a refund according to the times and methods provided by the contractual discipline and in accordance with the provisions of the law, or the right to change the product or turn to another professional;</w:t>
      </w:r>
    </w:p>
    <w:p>
      <w:r>
        <w:t>24 See report prot. No. 28273 of March 6, 2024.</w:t>
      </w:r>
    </w:p>
    <w:p>
      <w:r>
        <w:rPr>
          <w:b/>
        </w:rPr>
        <w:t>[Pages 43–45]</w:t>
      </w:r>
    </w:p>
    <w:p>
      <w:r>
        <w:t>BULLETIN NO. 14 OF APRIL 8, 2024</w:t>
      </w:r>
    </w:p>
    <w:p>
      <w:r>
        <w:t>RESOLUTION</w:t>
        <w:br/>
        <w:t>a) that the commercial practice carried out by the company Red Fish S.r.l.s. and Mr. Jacopo Capitani constitutes, for the reasons and within the limits set out in the motivation, an unfair and aggressive commercial practice, pursuant to Articles 20, 21, 22, 24, and 25, 49, paragraph 1, letters b), c) and d), and 61 of the Consumer Code, and prohibits its repetition;</w:t>
        <w:br/>
        <w:t>b) that the commercial practice carried out by the company Pharmaland S.r.l. and Mr. Jacopo Capitani constitutes, for the reasons and within the limits set out in the motivation, an unfair and aggressive commercial practice, pursuant to Articles 20, 21, 22, 24, and 25, 49, paragraph 1, letters b), c) and d), and 61 of the Consumer Code, and prohibits its repetition;</w:t>
        <w:br/>
        <w:t>c) to impose, jointly and severally, on the company Red Fish S.r.l.s. and Mr. Jacopo Capitani, for the violation referred to in point a), an administrative pecuniary sanction of €200,000 (two hundred thousand euros);</w:t>
        <w:br/>
        <w:t>d) to impose, jointly and severally, on the company Pharmaland S.r.l. and Mr. Jacopo Capitani, for the violation referred to in point b), an administrative pecuniary sanction of €100,000 (one hundred thousand euros).</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€10,000,000.</w:t>
      </w:r>
    </w:p>
    <w:p>
      <w:r>
        <w:t>In cases of repeated non-compliance, the Authority may order the suspension of business activities for a period not exceeding thirty days.</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Guido Stazi Roberto Rustichelli</w:t>
      </w:r>
    </w:p>
    <w:p>
      <w:r>
        <w:t>BULLETIN NO. 14 OF APRIL 8, 2024</w:t>
      </w:r>
    </w:p>
    <w:p>
      <w:r>
        <w:t>VARIOUS</w:t>
        <w:br/>
        <w:t>COMMUNICATION REGARDING THE APPLICATION OF ARTICLE 210 BIS, PARAGRAPH 7, OF REGULATION (EU) NO. 1308/2013 ON SUSTAINABILITY AGREEMENTS OF AGRICULTURAL PRODUCERS</w:t>
        <w:br/>
        <w:t>Provision No. 31142</w:t>
        <w:br/>
        <w:t>THE COMPETITION AND MARKET AUTHORITY</w:t>
        <w:br/>
        <w:t>IN ITS MEETING of March 19, 2024;</w:t>
        <w:br/>
        <w:t>HEARD the Rapporteur, Professor Elisabetta Iossa;</w:t>
        <w:br/>
        <w:t>HAVING REGARD to Law No. 287 of October 10, 1990;</w:t>
        <w:br/>
        <w:t>HAVING REGARD to Article 210bis, paragraph 1 and following, of Regulation (EU) No. 1308/2013, which excludes certain types of agreements on sustainability in the production and marketing of agricultural products from the application of Article 101 of the Treaty on the Functioning of the European Union (TFEU);</w:t>
        <w:br/>
        <w:t>HAVING REGARD in particular to Article 210bis, paragraph 7, of Regulation (EU) No. 1308/2013, which provides for the intervention of the Authority after the conclusion or implementation of an agricultural producers' sustainability agreement upon the occurrence of certain conditions;</w:t>
        <w:br/>
        <w:t>HAVING REGARD also to the "Guidelines of the Commission on the exclusion from the application of Article 101 of the Treaty on the Functioning of the European Union for sustainability agreements of agricultural producers pursuant to Article 210bis of Regulation (EU) No. 1308/2013," adopted on December 8, 2023, which provide clarifications on the conditions for the application of the aforementioned Article 210bis and on the subjective, material, and temporal scope of application;</w:t>
        <w:br/>
        <w:t>CONSIDERING the need to define the procedural rules for the application of Article 210bis, paragraph 7, of Regulation (EU) No. 1308/2013, in accordance with the legal framework of the European Union and in addition to the Commission's Guidelines;</w:t>
        <w:br/>
        <w:t>HAVING REGARD to the public consultation on the draft Communication attached, regarding the application of Article 210bis, paragraph 7, of Regulation (EU) No. 1308/2013, which took place from February 2, 2024, to March 4, 2024, in order to gather and consider the comments of interested parties, taking into account that the relationship between consultation and the quality of regulation is also valued at the community level, as shared regulation allows for better application of the rules;</w:t>
        <w:br/>
        <w:t>RESOLVES</w:t>
        <w:br/>
        <w:t>to adopt the "Communication regarding the application of Article 210bis, paragraph 7, of Regulation (EU) No. 1308/2013 on sustainability agreements of agricultural producers," the text of which is attached and forms an integral part of this provision.</w:t>
      </w:r>
    </w:p>
    <w:p>
      <w:r>
        <w:rPr>
          <w:b/>
        </w:rPr>
        <w:t>[Pages 46–48]</w:t>
      </w:r>
    </w:p>
    <w:p>
      <w:r>
        <w:t>48 BULLETIN NO. 14 OF APRIL 8, 2024</w:t>
      </w:r>
    </w:p>
    <w:p>
      <w:r>
        <w:t>This provision and the related Communication will be published in the Bulletin of the Competition and Market Authority.</w:t>
      </w:r>
    </w:p>
    <w:p>
      <w:r>
        <w:t>THE SECRETARY GENERAL THE PRESIDENT</w:t>
        <w:br/>
        <w:t>Guido Stazi Roberto Rustichelli</w:t>
      </w:r>
    </w:p>
    <w:p>
      <w:r>
        <w:t>BULLETIN NO. 14 OF APRIL 8, 2024</w:t>
      </w:r>
    </w:p>
    <w:p>
      <w:r>
        <w:t>COMMUNICATION REGARDING THE APPLICATION OF ARTICLE 210 BIS, PARAGRAPH 7, OF REGULATION (EU) NO. 1308/2013 ON SUSTAINABILITY AGREEMENTS OF AGRICULTURAL PRODUCERS</w:t>
      </w:r>
    </w:p>
    <w:p>
      <w:r>
        <w:t>I. Premise</w:t>
        <w:br/>
        <w:t>1. With this Communication, the Competition and Market Authority (“Authority”) provides some clarifications, in accordance with the European Union legal framework and in addition to the Commission Guidelines on the exclusion from the application of Article 101 of the Treaty on the Functioning of the European Union for sustainability agreements of agricultural producers pursuant to Article 210bis of Regulation (EU) 1308/2013 (“Guidelines”), regarding the procedural rules for the application of Article 210bis, paragraph 7, of Regulation (EU) No. 1308/2013 (“Regulation”) concerning sustainability agreements of agricultural producers.</w:t>
      </w:r>
    </w:p>
    <w:p>
      <w:r>
        <w:t>II. Conditions for the Authority's ex post intervention</w:t>
        <w:br/>
        <w:t>2. Article 210bis, paragraph 1, of the Regulation, which came into force on December 8, 2021, establishes that “Article 101, paragraph 1, TFEU does not apply to agreements, decisions, and concerted practices of producers of agricultural products relating to the production and marketing of agricultural products and aimed at applying sustainability standards that are stricter than those required by Union or national law, provided that such agreements, decisions, and concerted practices impose only restrictions on competition that are indispensable for the application of such standards.”</w:t>
      </w:r>
    </w:p>
    <w:p>
      <w:r>
        <w:t>3. The subsequent paragraph 4 specifies that “agreements, decisions, and concerted practices that meet the conditions set out in this article are not prohibited without a prior decision to that effect.”</w:t>
      </w:r>
    </w:p>
    <w:p>
      <w:r>
        <w:t>4. Paragraph 7 also provides that “the national competition authority referred to in Article 5 of Regulation (EC) No. 1/2003 may decide, in specific cases, that in the future one or more of the agreements, decisions, and concerted practices referred to in paragraph 1 be modified or terminated or not take place at all, if it considers that such a decision is necessary to avoid the exclusion of competition or if it believes that the objectives set out in Article 39 TFEU are compromised. For agreements, decisions, and concerted practices concerning more than one Member State, the decision referred to in the first sentence of this paragraph is adopted by the Commission without applying the procedure referred to in Article 229, paragraphs 2 and 3. When acting pursuant to the first sentence of this paragraph, the national competition authority informs the Commission in writing after the initiation of the first formal investigation measure and notifies the Commission of the resulting decisions immediately after their adoption. The decisions referred to in this paragraph do not apply until they have been notified to the interested companies.”</w:t>
      </w:r>
    </w:p>
    <w:p>
      <w:r>
        <w:t>5. Therefore, based on Article 210bis, paragraph 7, the Authority may intervene after the conclusion or implementation of a sustainability agreement upon the occurrence of one of the following conditions: (i) to prevent competition from being excluded from the market; or (ii) when the objectives of the common agricultural policy, as established by Article 39 TFEU, are compromised.</w:t>
      </w:r>
    </w:p>
    <w:p>
      <w:r>
        <w:t>50 BULLETIN NO. 14 OF APRIL 8, 2024</w:t>
      </w:r>
    </w:p>
    <w:p>
      <w:r>
        <w:t>6. The Commission Guidelines, adopted on December 8, 2023, clarify the conditions for the application of Article 210bis of the Regulation and its subjective, material, and temporal scope, as well as the notion of exclusion of competition and compromise of the objectives of the common agricultural policy; reference is therefore made to them for everything not provided for in this Communication.</w:t>
      </w:r>
    </w:p>
    <w:p>
      <w:r>
        <w:t>III. Temporal scope of application</w:t>
        <w:br/>
        <w:t>7. Article 210bis came into force on December 8, 2021. Sustainability agreements concluded before that date can benefit from the exclusion provided for in Article 210bis only from December 8, 2021. Before December 8, 2021, sustainability agreements cannot benefit from the exclusion provided for in Article 210bis and are subject to the competition rules in force at that time.</w:t>
      </w:r>
    </w:p>
    <w:p>
      <w:r>
        <w:t>8. As indicated in the Guidelines, any sustainability agreement entered into during the period between December 8, 2021, and the publication of the Guidelines should be promptly aligned with Article 210bis and Article 101 TFEU from the date of publication of this Communication.</w:t>
      </w:r>
    </w:p>
    <w:p>
      <w:r>
        <w:t>IV. Procedural aspects</w:t>
        <w:br/>
        <w:t>a) The procedure before the Authority</w:t>
        <w:br/>
        <w:t>9. In general, to determine whether to apply Article 210bis, paragraph 7, the Authority may rely on its market monitoring or on observations submitted by any natural or legal person in possession of information on an agreement pursuant to Article 210bis (“sustainability agreement”).</w:t>
      </w:r>
    </w:p>
    <w:p>
      <w:r>
        <w:t>10. To this end, individuals or entities that are not parties to the agreement in question (for example, consumers or consumer associations, non-governmental organizations, other operators in the supply chain, etc.), who may argue that a sustainability agreement does not meet the conditions set out in Article 210bis, may report sustainability agreements through all channels provided for in relation to violations of Law No. 287/1990.</w:t>
      </w:r>
    </w:p>
    <w:p>
      <w:r>
        <w:t>11. Such reporting contains information on the content of the sustainability agreement, the parties that signed it, and the reasons supporting the assertions. At this stage, the Authority conducts the necessary preliminary investigations, acquiring any additional information and conducting analyses useful for the evaluations of the agreement.</w:t>
      </w:r>
    </w:p>
    <w:p>
      <w:r>
        <w:t>12. In cases where there is a suspected existence of one of the two conditions referred to in Article 210bis, paragraph 7, of the Regulation, the Authority notifies the initiation of the investigation to the companies and entities concerned and communicates it to the European Commission. The initiation communication contains the elements referred to in Article 6, paragraph 3, of the decree of the President of the Republic No. 217/1998.</w:t>
      </w:r>
    </w:p>
    <w:p>
      <w:r>
        <w:t>13. The Authority may at any time request companies and entities in possession of relevant information to provide information and produce useful documents within a reasonable time frame specified in the request.</w:t>
      </w:r>
    </w:p>
    <w:p>
      <w:r>
        <w:t>14. The Authority authorizes the transmission of the communication of the investigation results to the companies, as well as the deadline for closing the investigation, at least twenty days before the expiration of the latter.</w:t>
      </w:r>
    </w:p>
    <w:p>
      <w:r>
        <w:rPr>
          <w:b/>
        </w:rPr>
        <w:t>[Pages 49–50]</w:t>
      </w:r>
    </w:p>
    <w:p>
      <w:r>
        <w:t>BULLETIN NO. 14 OF APRIL 8, 2024</w:t>
      </w:r>
    </w:p>
    <w:p>
      <w:r>
        <w:t>15. The Parties may submit written statements and documents up to five days before the closing date of the investigation indicated in the aforementioned communication.</w:t>
      </w:r>
    </w:p>
    <w:p>
      <w:r>
        <w:t>16. The Parties are free to continue implementing the sustainability agreement between the initiation of the investigation and the issuance of a decision.</w:t>
      </w:r>
    </w:p>
    <w:p>
      <w:r>
        <w:t>17. The procedural guarantees set forth in Articles 7, 9, 11, 12, and 13 of the decree of the President of the Republic of April 30, 1998, no. 217, shall apply, as far as compatible.</w:t>
      </w:r>
    </w:p>
    <w:p>
      <w:r>
        <w:t>b) Possible decisions that the Authority may take</w:t>
      </w:r>
    </w:p>
    <w:p>
      <w:r>
        <w:t>18. If the Authority determines that competition is excluded or that the objectives referred to in Article 39, paragraph 1, TFEU are compromised, it may adopt the following measures:</w:t>
        <w:br/>
        <w:t>(a) if the sustainability agreement has been concluded but not yet implemented and such agreement cannot be modified in a way that meets the conditions for exclusion referred to in Article 210bis, the Authority may adopt a decision ordering that the agreement not be implemented;</w:t>
        <w:br/>
        <w:t>(b) if the sustainability agreement has already been implemented, the Authority may decide that the parties must: (i) modify the sustainability agreement, if proceeding in this manner is sufficient to remedy the exclusion of competition or the compromise of the objectives referred to in Article 39, paragraph 1, TFEU; or (ii) terminate or dissolve the sustainability agreement, if modifying such agreement is not sufficient to remedy the exclusion of competition or the compromise of the objectives referred to in Article 39, paragraph 1, TFEU.</w:t>
      </w:r>
    </w:p>
    <w:p>
      <w:r>
        <w:t>19. If, following the prohibition decision, the Parties conclude the sustainability agreement or continue its application without adopting the measures possibly indicated by the Authority, the latter may initiate an investigation, pursuant to Article 12, paragraph 1, of Law no. 287/1990, regarding the implementation of the sustainability agreement after that date. Such proceedings may involve the imposition of a monetary penalty.</w:t>
      </w:r>
    </w:p>
    <w:p>
      <w:r>
        <w:t>20. The Authority reserves the right to modify or supplement this communication one year after its publication in light of practical experience.</w:t>
      </w:r>
    </w:p>
    <w:p>
      <w:r>
        <w:t>Antitrust Authority Weekly Bulletin</w:t>
        <w:br/>
        <w:t>of Competition and Market Year XXXIV - No. 14 - 2024</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