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https://www.agcm.it/dotcmsdoc/bollettini/2021/15-21.pdf</w:t>
      </w:r>
    </w:p>
    <w:p>
      <w:r>
        <w:t>Pages translated : 51</w:t>
      </w:r>
    </w:p>
    <w:p/>
    <w:p>
      <w:r>
        <w:rPr>
          <w:b/>
        </w:rPr>
        <w:t>[Pages 1–3]</w:t>
      </w:r>
    </w:p>
    <w:p>
      <w:r>
        <w:t>Bulletin</w:t>
        <w:br/>
        <w:t>Weekly</w:t>
        <w:br/>
        <w:t>Year XXXI - No. 15</w:t>
        <w:br/>
        <w:t>Published on the website www.agcm.it</w:t>
        <w:br/>
        <w:t>April 12, 2021</w:t>
      </w:r>
    </w:p>
    <w:p>
      <w:r>
        <w:t>SUMMARY</w:t>
        <w:br/>
        <w:t>CONCENTRATION OPERATIONS 5</w:t>
        <w:br/>
        <w:t>C12359 - BANCA POPOLARE DI PUGLIA E BASILICATA/BRANCH OF UBI-UNIONE DI</w:t>
        <w:br/>
        <w:t>BANCHE ITALIANE</w:t>
        <w:br/>
        <w:t>Measure No. 28613 5</w:t>
        <w:br/>
        <w:t>C12364 - MARR/NEWCO-ANTONIO VERRINI &amp; FIGLI</w:t>
        <w:br/>
        <w:t>Measure No. 28614 16</w:t>
        <w:br/>
        <w:t>C12365 - DGB BIDCO HOLDINGS LIMITED/CEDACRI</w:t>
        <w:br/>
        <w:t>Measure No. 28615 19</w:t>
        <w:br/>
        <w:t>C12366 - CASTOR/CERVED GROUP</w:t>
        <w:br/>
        <w:t>Measure No. 28616 22</w:t>
        <w:br/>
        <w:t>C12358 - CELLNEX ITALIA/CK HUTCHISON NETWORKS ITALIA</w:t>
        <w:br/>
        <w:t>Measure No. 28619 26</w:t>
        <w:br/>
        <w:t>ACTIVITIES OF REPORTING AND CONSULTATION 43</w:t>
        <w:br/>
        <w:t>AS1732 – MUNICIPALITY OF GENOA - REGULATION FOR THE EXERCISE OF FUNERAL ACTIVITIES 43</w:t>
        <w:br/>
        <w:t>UNFAIR TRADE PRACTICES 46</w:t>
        <w:br/>
        <w:t>PS11575 - WIND TRE-RECHARGE TELEPHONE CREDIT</w:t>
        <w:br/>
        <w:t>Measure No. 28617 46</w:t>
      </w:r>
    </w:p>
    <w:p>
      <w:r>
        <w:t>BULLETIN NO. 15 OF APRIL 12, 2021 5</w:t>
        <w:br/>
        <w:t>CONCENTRATION OPERATIONS</w:t>
        <w:br/>
        <w:t>C12359 - BANCA POPOLARE DI PUGLIA E BASILICATA/BRANCH OF</w:t>
        <w:br/>
        <w:t>UBI-UNIONE DI BANCHE ITALIANE</w:t>
        <w:br/>
        <w:t>Measure No. 28613</w:t>
        <w:br/>
        <w:t>THE ITALIAN COMPETITION AUTHORITY</w:t>
        <w:br/>
        <w:t>IN ITS MEETING of 23 March 2021;</w:t>
        <w:br/>
        <w:t>HEARD the Rapporteur Dr. Gabriella Muscolo;</w:t>
        <w:br/>
        <w:t>HAVING REGARD to Regulation (EC) No. 139/2004;</w:t>
        <w:br/>
        <w:t>HAVING REGARD to Law No. 287 of 10 October 1990;</w:t>
        <w:br/>
        <w:t>HAVING REGARD to Presidential Decree No. 217 of 30 April 1998;</w:t>
        <w:br/>
        <w:t>HAVING REGARD to the communication from Banca Popolare di Puglia e Basilicata S.C.p.A., received on 4 February 2021;</w:t>
        <w:br/>
        <w:t>HAVING REGARD to the opinion of IVASS, received on 10 March 2021;</w:t>
        <w:br/>
        <w:t>HAVING REGARD to the documentation on file;</w:t>
        <w:br/>
        <w:t>CONSIDERING the following:</w:t>
        <w:br/>
        <w:t>I. THE PARTIES</w:t>
        <w:br/>
        <w:t xml:space="preserve">1. Banca Popolare di Puglia e Basilicata S.C.p.A. (hereinafter also ‘BPPB’) is a company whose shareholding is composed of over 30,000 shareholders, not subject to the control of any natural or legal person. It operates nationally in the offering of traditional banking services and products, financial, credit, payment services, as well as insurance, with a specific focus on retail offerings. </w:t>
        <w:br/>
        <w:t>In 2019, the revenue generated by BPPB, entirely in Italy, calculated pursuant to Article 16, paragraph 2, of Law No. 287/90, amounted to [100-504]* million euros.</w:t>
        <w:br/>
        <w:t xml:space="preserve">2. The subject of acquisition is a branch of business consisting of 17 branches and related 9 operational points, lacking accounting autonomy (hereinafter also UBI Branch). In particular, the UBI Branch consists of the set of contracts with customers, employment relationships, and lease agreements pertaining to each branch and each operational point and is primarily active in the traditional banking sector (savings collection and credit provision), as well as in other sectors including managed and administered savings, payment services, and the distribution of insurance products. The UBI Branch is exclusively controlled by </w:t>
        <w:br/>
        <w:t>* In this version, some data are omitted, as there were deemed to be elements of confidentiality or secrecy of the information.</w:t>
      </w:r>
    </w:p>
    <w:p>
      <w:r>
        <w:rPr>
          <w:b/>
        </w:rPr>
        <w:t>[Pages 4–6]</w:t>
      </w:r>
    </w:p>
    <w:p>
      <w:r>
        <w:t>6 BULLETIN NO. 15 OF APRIL 12, 2021</w:t>
        <w:br/>
        <w:t xml:space="preserve">UBI, in turn, is exclusively controlled by the company Intesa Sanpaolo S.p.A.; the latter is not subject to the control of any natural or legal person. The revenue generated by the UBI Business Unit has been estimated, in accordance with Article 16, paragraph 2, of Law No. 287/90, to be over [31-100] million euros. </w:t>
        <w:br/>
        <w:t xml:space="preserve">II. DESCRIPTION OF THE OPERATION </w:t>
        <w:br/>
        <w:t xml:space="preserve">3. The operation in question consists of the acquisition, by BPPB, of exclusive control over the UBI Business Unit, as described above. This operation is part of the Public Exchange Offer promoted by Intesa Sanpaolo S.p.A. (hereinafter, ISP) on the share capital of UBI – Unione di Banche Italiane S.p.A. (hereinafter, UBI). In particular, the sale of the aforementioned branches by ISP represents the implementation of part of the measures imposed by the Authority with the provision of July 14, 2020. On January 15, 2021, BPPB signed a contract with ISP aimed at the purchase of 17 bank branches with accounting autonomy and established legal relationships with customers and 9 operational points without accounting autonomy. The operation will strengthen BPPB's network, especially in the regions adjacent to those of the historical establishment of the acquiring bank, with particular reference to the activities carried out in the traditional banking sector. </w:t>
        <w:br/>
        <w:t xml:space="preserve">4. According to the Parties' statements, the operation also includes a non-competition clause, whereby the seller commits, for a period of 24 months, not to open new bank branches in the municipalities where the target branches are currently located, as well as not to carry out promotional campaigns directly and specifically aimed at the customers of the target branches. </w:t>
        <w:br/>
        <w:t xml:space="preserve">III. QUALIFICATION OF THE OPERATION </w:t>
        <w:br/>
        <w:t xml:space="preserve">5. The communicated operation, as it involves the acquisition of control over a part of a business,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group of companies involved was over 504 million euros and the revenue generated individually, at the national level, by at least two of them is over 31 million euros. </w:t>
        <w:br/>
        <w:t>6. As for the aforementioned non-competition clause, it can be qualified as ancillary to the extent that it contains restrictions directly related to the realization of the communicated operation and necessary for it. In particular, in this case, the clause is functional to ensure and protect the value of the transferred assets, as well as the goodwill constituted through the target branches, for the benefit of the acquirer.</w:t>
      </w:r>
    </w:p>
    <w:p>
      <w:r>
        <w:t xml:space="preserve">BULLETIN NO. 15 OF APRIL 12, 2021 7 </w:t>
        <w:br/>
        <w:t xml:space="preserve">IV. THE OPINION OF IVASS </w:t>
        <w:br/>
        <w:t xml:space="preserve">7. In an opinion received on March 10, 2021, IVASS did not highlight in the operation the existence of elements capable of altering the competitive balance in the insurance distribution within the affected markets. </w:t>
        <w:br/>
        <w:t xml:space="preserve">V. EVALUATION </w:t>
        <w:br/>
        <w:t xml:space="preserve">8. The operation in question involves multiple markets included in the traditional banking, administered and managed savings, payment services, and insurance distribution sectors. </w:t>
        <w:br/>
        <w:t xml:space="preserve">1) Traditional banking activity </w:t>
        <w:br/>
        <w:t xml:space="preserve">a) Banking collection market </w:t>
        <w:br/>
        <w:t xml:space="preserve">9. The banking collection market identifies the set of direct banking collection from ordinary customers through free and fixed-term current accounts, savings deposits, savings bonds, as well as certificates of deposit. In this definition of the collection market, postal collection is not included, as based on past analyses conducted by the Authority, it has emerged that for consumers, the services provided by Poste Italiane in the collection sector are not fully substitutable with those provided by traditional banks, although it should be considered that they still exert some form of competitive pressure. </w:t>
        <w:br/>
        <w:t xml:space="preserve">10. Considering the limited mobility on the demand side, the banking collection market has local territorial relevance, which, as a rule, the Authority has deemed to correspond in the first approximation to provincial boundaries, conducting, where the preliminary screening carried out on a provincial basis deemed it appropriate, an analysis also at the level of catchment areas. </w:t>
        <w:br/>
        <w:t xml:space="preserve">11. With specific regard to this market, but also with reference to other banking markets, the information acquired during the most recent concentration investigations conducted by the Authority that have involved the banking sector has highlighted how online banking activity cannot be exactly attributed to the market in question. However, competitive pressure has been recorded on traditional banking operators from online banks, as a non-negligible portion of the population – especially among younger and more educated/income groups – would turn to the latter in the face of a generalized increase in the prices of traditional current accounts. </w:t>
        <w:br/>
        <w:t xml:space="preserve">12. In this case, the Parties will hold a post-merger position in the collection market of less than [10-15]% in all the affected provinces, specifically Chieti, Isernia, and Matera, with the sole exception of Vibo Valentia, where the share held will be around [20-25]% (data provided by the Parties). </w:t>
        <w:br/>
        <w:t xml:space="preserve">1 See proceeding C12287 – Intesa Sanpaolo/UBI Banca-Unione di Banche Italiane, in Bulletin 29/2020, proceeding C12231 - BPER Banca/Unipol Banca, in Bulletin 29/2019, and proceeding C12138 - Cassa Centrale Raiffeisen dell'Alto Adige/Gruppo Bancario Cooperativo delle Casse Raiffeisen, in Bulletin 22/2018. </w:t>
        <w:br/>
        <w:t xml:space="preserve">2 See proceeding C12287 – Intesa Sanpaolo/UBI Banca-Unione di Banche Italiane, in Bulletin 29/2020, proceeding C12231 - BPER Banca/Unipol Banca, in Bulletin 29/2019, and proceeding C12138 - Cassa Centrale Raiffeisen dell'Alto Adige/Gruppo Bancario Cooperativo delle Casse Raiffeisen in Bulletin 22/2018. </w:t>
        <w:br/>
        <w:t>3 See previous note.</w:t>
      </w:r>
    </w:p>
    <w:p>
      <w:r>
        <w:t xml:space="preserve">8 BULLETIN NO. 15 OF APRIL 12, 2021 </w:t>
        <w:br/>
        <w:t xml:space="preserve">13. Considering the above, also in light of the presence of numerous and qualified competitors, it is believed that the operation is not suitable to determine obstructive effects on competitive dynamics in the collection markets. </w:t>
        <w:br/>
        <w:t xml:space="preserve">b) Loan markets </w:t>
        <w:br/>
        <w:t xml:space="preserve">14. Within the loan markets, short-term, medium-term, and long-term credit are included, in various and possible technical forms. From the demand perspective, loans can be distinguished based on the type of subjects for whom they are made, namely: (a) consumer households; (b) producer households-small businesses; (c) medium and large enterprises; and (d) public entities. These different categories of subjects, in fact, express different financing needs, for which banks offer diversified products/services, and for these reasons, constitute relevant product markets. </w:t>
        <w:br/>
        <w:t xml:space="preserve">15. The different forms of expressed demand also seem to be characterized by differences in terms of mobility and, therefore, willingness to substitute the offer by seeking other loans in more or less broad geographical areas. In particular, the loan markets for households and small businesses present a local territorial dimension, which in the Authority's practice has been assessed in the first approximation at the provincial level, conducting, where appropriate, in analogy with the banking collection, also an analysis at the level of catchment area. Conversely, the loan markets for medium and large enterprises appear to have a regional dimension, while the loan market for public entities appears to have a predominantly national dimension. In this case, the Parties operate in all the listed loan markets. </w:t>
        <w:br/>
        <w:t xml:space="preserve">Loans to consumer households and loans to producer households-small businesses </w:t>
        <w:br/>
        <w:t xml:space="preserve">16. In the loan markets for consumer households and producer households-small businesses, in the four affected provinces, the post-merger entity will hold shares of less than 15% (data provided by the Parties). </w:t>
        <w:br/>
        <w:t xml:space="preserve">17. Therefore, considering the limited market share that the Parties will hold post-merger, as well as the presence of qualified competitors, the operation in question does not appear to raise competitive concerns in the loan markets for consumer households and for producer households-small businesses. </w:t>
        <w:br/>
        <w:t xml:space="preserve">Loans to medium-large enterprises </w:t>
        <w:br/>
        <w:t>18. As mentioned, the loan market for medium-large enterprises has a territorial dimension assessed in the first approximation at the regional level, given the greater mobility of these subjects compared to the previous segments of demand. This definition of the geographical dimension has also been confirmed by recent in-depth studies conducted by the Authority, which reiterated that there is a market practice, almost unique, in not adopting a national pricing policy, but in recognizing wide possibilities of exceptions, within the national territory, at least at the regional level.</w:t>
      </w:r>
    </w:p>
    <w:p>
      <w:r>
        <w:rPr>
          <w:b/>
        </w:rPr>
        <w:t>[Pages 7–9]</w:t>
      </w:r>
    </w:p>
    <w:p>
      <w:r>
        <w:t>BULLETIN NO. 15 OF APRIL 12, 2021 9</w:t>
        <w:br/>
        <w:t>19. In this case, the operation concerns the regions of Abruzzo, Molise, Basilicata, and Calabria, in which the Parties will hold a post-merger share always below 5% (data provided by the parties).</w:t>
        <w:br/>
        <w:t>20. Due to the limited market share held by the Parties following this operation, there do not appear to be the conditions to consider that, in the market for loans to medium and large enterprises, the operation could raise competitive concerns.</w:t>
        <w:br/>
        <w:t>Loans to public entities</w:t>
        <w:br/>
        <w:t>21. In relation to the market for loans to public entities, in light of the recent in-depth analyses conducted by the Authority6, it is possible to consider that this market has a predominantly national geographical scope, provided that, given the heterogeneity of public entities (by nature and size), in certain specific circumstances a more restricted identification of the geographical area concerned may be required.</w:t>
        <w:br/>
        <w:t>22. In particular, during these in-depth analyses, it was verified that Cassa Depositi e Prestiti S.p.A. (hereinafter also “CDP”) has taken on an increasing role both in cash/treasury services7 and in medium-long term financing, which are the two forms of loans traditionally associated with the financing demand of public entities8.</w:t>
        <w:br/>
        <w:t>23. In this regard, in order to integrate CDP's role in the analysis of the market positioning of operators active in loans to public entities, given that CDP's only physical branch is located in Lazio, the criterion of “counterparty residence” has been adopted. Since, in this case, the joint market shares of the Parties at the national level, integrating CDP's role, are positioned at a value below 1%, this operation does not appear to raise competitive concerns in this market. Even if CDP were not considered an actual competitor of traditional banking operators (thus applying the “localization of branch” criterion), it is worth noting that the national positioning of the post-merger entity would still be below 1%. Therefore, with regard to this market, the operation does not appear to create significant obstacles to competition.</w:t>
        <w:br/>
        <w:t>2) Market for administered savings</w:t>
        <w:br/>
        <w:t>24. The services of administered savings include the collection, transmission, and negotiation of orders in financial instruments on behalf of an investor who has made the assignment of individual orders to the same intermediaries. The provision of services related to the administered savings market is closely linked to traditional banking activity and, in particular, to the banking deposit market, considering the high correlation between holding a current account and a securities account with the same banking institution9. The administered savings market has a provincial dimension, given the limited willingness of the final clientele to move.</w:t>
        <w:br/>
        <w:t>25. Given the close connection that exists between administered savings and deposits, as highlighted earlier, it is possible to argue that if an individual requires administered savings services and must therefore open a securities account, they will turn to the bank where they already have a current account. For this reason, and given the close connection that exists between administered savings and deposits, the considerations made above regarding the relevant deposit markets also apply to these markets.</w:t>
        <w:br/>
        <w:t>3) Managed savings sector</w:t>
        <w:br/>
        <w:t>26. Within the managed savings sector, various activities are included, corresponding to distinct product markets, and are related to: (a) management of mutual investment funds; (b) individual management of financial assets (GPM) and in funds (GPF); (c) management of complementary pension products.</w:t>
        <w:br/>
        <w:t>27. Furthermore, the services offered in the managed savings sector typically have an upstream management phase and a downstream distribution phase, each of which leads to the identification of distinct markets along the supply chain, both in geographical and product terms. The production phase, according to the Authority's constant practice, has a national geographical dimension, being normally centralized and homogeneous throughout the Italian territory. Regarding the distribution market, however, considering the reduced mobility of demand, the geographical dimension has been defined by the Authority, in the first approximation, at the provincial level; with reference to the pension sector, there are differences between negotiated pension funds, open pension funds, and individual pension policies (PIP) that may influence the definition of the geographical market, which may have a broader, predominantly national scope, but, also depending on the relevance of individual memberships, may require an extended screening to smaller local areas10.</w:t>
        <w:br/>
        <w:t>28. This commodity definition has also been confirmed by recent in-depth analyses conducted by the Authority11, which reiterated that there are still differences in the distribution methods and distribution channels of products that fall within managed savings, confirming the existence of different product markets12.</w:t>
        <w:br/>
        <w:t>29. In this case, based on the information provided by the Parties, the operation will result in horizontal overlaps only in the distribution phase since the Business Branch subject to acquisition is not active in the production of any of the products that fall within the managed savings sector.</w:t>
        <w:br/>
        <w:t>30. In particular, regarding the management of mutual investment funds, it is noted that a fund is an autonomous asset, divided into shares, belonging to multiple participants, managed collectively. As mentioned earlier, the activity related to mutual investment funds presents two phases that identify two distinct markets: production and distribution; however, in this case, only the distribution phase is relevant since the UBI Business Branch is not active in the production phase.</w:t>
        <w:br/>
        <w:t>31. Conversely, individual management of financial assets (GPM) is an activity carried out by banks, investment firms, and asset management companies, based on a mandate granted by the client. Compared to collective management, each client's assets remain distinct from those of others. Fund-based asset management (GPF) also has the peculiarity that the client's financial resources are invested in shares of mutual investment funds. GPFs are assimilated to collective management even though, from a contractual point of view, they share an element with individual management, as the client can request the manager to modify the composition of the portfolio, always choosing from shares of mutual funds.</w:t>
        <w:br/>
        <w:t>32. Finally, complementary pension schemes aim to meet the income needs of workers during their retirement phase. This goal is pursued in Italy through a pension structure based on two different modes of intervention: (a) mandatory pension; (b) complementary pension, realized through the use of negotiated pension funds (or closed), open pension funds, and individual pension policies (PIP). As mentioned earlier, there are differences between negotiated pension funds, open pension funds, and PIP that may influence the definition of the geographical market. In particular, negotiated pension funds are established for individual companies or groups of companies, for categories of workers, sometimes for territorial grouping; they are subject to a national collective contract or company agreements or regulations and are managed, based on contributions, by asset management companies, insurance companies, or banks. Open pension funds, on the other hand, are established and managed directly by banks, insurance companies, and asset management companies and can be either collectively subscribed (like negotiated funds) or individually subscribed. Finally, PIPs are individual subscription complementary pension contracts.</w:t>
        <w:br/>
        <w:t>33. In this context, only the distribution level is affected by the operation. Given the close connection that exists between the managed savings markets and deposits, which constitute a fundamental reference driver for operators, in order to appreciate the positioning of the Parties, it is possible to use as a proxy the shares related to the deposit markets, to whose evaluations reference is made.</w:t>
        <w:br/>
        <w:t>4) Other credit markets and payment systems</w:t>
        <w:br/>
        <w:t>a) Consumer credit market</w:t>
        <w:br/>
        <w:t>34. The operation also concerns the consumer credit sector, which involves the granting of credit in the form of payment deferral, financing, or other similar forms of facilitation in favor of a natural person acting for purposes unrelated to the entrepreneurial or professional activity carried out.</w:t>
        <w:br/>
        <w:t>35. According to the established orientation of the Authority, within the consumer credit sector, it is possible to distinguish two types of financing: (a) direct credit, granted in the</w:t>
      </w:r>
    </w:p>
    <w:p>
      <w:r>
        <w:rPr>
          <w:b/>
        </w:rPr>
        <w:t>[Pages 10–12]</w:t>
      </w:r>
    </w:p>
    <w:p>
      <w:r>
        <w:t>BULLETIN NO. 15 OF APRIL 12, 2021</w:t>
        <w:br/>
        <w:t>in the form of personal loans without a destination constraint, and (b) targeted credit, that is, intended for the purchase of specific goods (motor vehicles, motorcycles, furniture, etc.). These two types of consumer credit present substantial differences in terms of the service provided, methods of placement of the financing and related commercial conditions, and the relationship between supply and demand; therefore, as already stated by the Authority, they can be considered as two segments, if not two distinct markets, due to the service provided and the related commercial conditions.</w:t>
      </w:r>
    </w:p>
    <w:p>
      <w:r>
        <w:t>36. As for direct consumer credit, a peculiar element is the direct contact between the lender and the consumer, which gives rise to a bilateral relationship. This includes financing primarily through personal loans, via revolving credit cards (that is, cards usable at all affiliated stores, associated with a line of credit that allows for installment payments based on the customer's commitment to repay the amounts based on an agreed minimum monthly installment), as well as those through salary assignment. From a geographical perspective, the size of the direct consumer credit market is local and is typically confined to regional boundaries.</w:t>
      </w:r>
    </w:p>
    <w:p>
      <w:r>
        <w:t>37. Targeted consumer credit, on the other hand, is characterized by the provision of financing based on a trilateral relationship between the bank (or specialized financial company), the customer, and the affiliated dealer. Targeted credit includes financing for the purchase of various types of goods and/or services and is conventionally distinguished between credit aimed at the purchase of motor vehicles and credit aimed at the purchase of other goods or services. The geographical dimension of the targeted consumer credit market is national, considering the homogeneity of the characteristics of production and marketing of the services in question throughout the national territory.</w:t>
      </w:r>
    </w:p>
    <w:p>
      <w:r>
        <w:t>38. In this specific case, it should be noted that, based on the information provided, the Parties will hold a very small post-merger share, [less than 1%] and does not require a further and more precise definition of the relevant markets.</w:t>
      </w:r>
    </w:p>
    <w:p>
      <w:r>
        <w:t>39. In conclusion, given the positioning that the Parties will hold and also due to the presence of numerous and significant competitors, it is believed that the operation does not raise concerns in the consumer credit market under the concentration control regulations.</w:t>
      </w:r>
    </w:p>
    <w:p>
      <w:r>
        <w:t>b) Payment Services Markets</w:t>
      </w:r>
    </w:p>
    <w:p>
      <w:r>
        <w:t>40. Another sector affected by the Operation is that of payment instruments via cards. Within the payment card sector, the Authority has previously identified three distinct markets: the market for card issuance (i.e., card issuing), that of merchant acquiring, and that of operational and IT processing (i.e., processing). Within these markets, the Authority has distinguished between credit cards and debit cards, each identified as a different relevant market.</w:t>
      </w:r>
    </w:p>
    <w:p>
      <w:r>
        <w:t>41. The issuance activity can be carried out either by the same bank that issues the cards or by a third party with which the issuing bank has a commercial agreement. In the latter case, the bank only carries out the placement activity with the final customers of the credit cards. The same applies to the activity of merchant acquiring. The provision of card issuance and management services and merchant acquiring involves the payment of costs among operators that are generally passed on to the final customers.</w:t>
      </w:r>
    </w:p>
    <w:p>
      <w:r>
        <w:t>42. With specific regard to debit cards, it is noted that they fall within payment systems, with the peculiarity of having solely the function of payment, among other things with a usually very limited spending limit. The debit to the current account typically coincides with the date on which the payment transaction occurred, guaranteeing future payments.</w:t>
      </w:r>
    </w:p>
    <w:p>
      <w:r>
        <w:t>43. The geographical scope can be defined at least at the national level due to the homogeneity of the offering conditions of the described services across the national territory.</w:t>
      </w:r>
    </w:p>
    <w:p>
      <w:r>
        <w:t>44. As for both credit cards and debit cards, estimates provided by the Parties indicate that the post-merger entity will have a very marginal market share, significantly below 1%.</w:t>
      </w:r>
    </w:p>
    <w:p>
      <w:r>
        <w:t>45. Considering the small post-merger market shares, as well as the presence of numerous and qualified competitors, it is believed that the operation is not likely to significantly impact the competitive dynamics of the affected markets.</w:t>
      </w:r>
    </w:p>
    <w:p>
      <w:r>
        <w:t>c) Factoring Market</w:t>
      </w:r>
    </w:p>
    <w:p>
      <w:r>
        <w:t>46. Factoring is a onerous contract whereby a company transfers ownership of its commercial receivables to another company (the factoring company), which guarantees or not their successful collection (respectively factoring pro solvendo or pro soluto), takes care of their collection, and pays the transferring company an amount of money commensurate with the value of the transferred receivables. From the demand side, the factoring market is essentially made up of businesses (both SMEs and medium and large enterprises). Factoring is a highly personalized service and results from the articulation of three main components: (a) management; (b) guarantee (against debtor insolvency); (c) credit (the financing manifests itself in the payment of receivables before their due date). This market has national territorial relevance.</w:t>
      </w:r>
    </w:p>
    <w:p>
      <w:r>
        <w:t>47. Based on the information provided by the Parties, the joint share is very small, below 1%. Therefore, the Operation does not appear likely to significantly alter competitive dynamics in the factoring market.</w:t>
      </w:r>
    </w:p>
    <w:p>
      <w:r>
        <w:t>d) Leasing Market</w:t>
      </w:r>
    </w:p>
    <w:p>
      <w:r>
        <w:t>48. Leasing is the contract for the rental of goods necessary for the exercise of a business activity in exchange for periodic payments. According to previous decisions of the Authority, this sector includes two segments: operational leasing and financial leasing.</w:t>
      </w:r>
    </w:p>
    <w:p>
      <w:r>
        <w:t>49. The two types of leasing differ from each other due to the greater flexibility presented by operational leasing, which allows the business to renew the necessary equipment for its activity more frequently, limiting the risks of technological obsolescence of such goods. It is also characterized by the fact that ownership of the asset is not transferred to the lessee at the end of the contract, in exchange for the payment of a redemption price, a circumstance instead provided for in financial leasing operations.</w:t>
      </w:r>
    </w:p>
    <w:p>
      <w:r>
        <w:t>50. From the supply side, there is imperfect substitutability. While financial leasing is a regulated activity reserved for banks and financial intermediaries registered in a specific list, the offer of operational leasing is also permitted to commercial companies and financial intermediaries.</w:t>
      </w:r>
    </w:p>
    <w:p>
      <w:r>
        <w:t>51. From a geographical perspective, the leasing sector has a national dimension, considering that the provider also offers maintenance services and must therefore guarantee a nationally organized assistance network.</w:t>
      </w:r>
    </w:p>
    <w:p>
      <w:r>
        <w:t>52. Based on the information provided in the Form, the overall post-merger share is of absolutely marginal value, [less than 1%]. The operation, therefore, is not likely to lead to the establishment or strengthening of a dominant position in the market in question.</w:t>
      </w:r>
    </w:p>
    <w:p>
      <w:r>
        <w:t>5) Insurance Markets</w:t>
      </w:r>
    </w:p>
    <w:p>
      <w:r>
        <w:t>53. With regard to the life and non-life insurance markets, according to the consolidated orientation of the Authority, each branch of the life and non-life insurance sectors represents a distinct market. This distinction regarding individual insurance branches is primarily based on the object of the service rendered, the risks assumed, and the insurance coverage objective expressed by the demand of each individual branch. Furthermore, the non-life and life insurance markets are distinct, each having a production phase with a national geographical dimension and a distribution phase characterized by its local dimension, considered in the first approximation provincial according to the Authority's practice.</w:t>
      </w:r>
    </w:p>
    <w:p>
      <w:r>
        <w:t>54. Both BPPB and the UBI Business Branch are active solely in the distribution phase of insurance products, both in the life sector and in the non-life sector.</w:t>
      </w:r>
    </w:p>
    <w:p>
      <w:r>
        <w:t>55. In this regard, it is noted that the post-merger entity, in all four affected provinces, will hold a share of less than 10% in the distribution of life branches and less than 1% in the distribution of non-life branches. Therefore, given the joint market shares, it is believed that the operation is not likely to significantly alter the competitive structure in any of the markets that fall within the insurance sector.</w:t>
      </w:r>
    </w:p>
    <w:p>
      <w:r>
        <w:t>56. In light of the above considerations, given the absence of substantial horizontal overlaps, as well as possible vertical competitive issues, the operation does not appear to cause significant alterations in the competitive structure of the affected markets.</w:t>
      </w:r>
    </w:p>
    <w:p>
      <w:r>
        <w:t>IT IS THEREFORE CONSIDERED that the operation in question does not result, pursuant to Article 6, paragraph 1, of Law No. 287/90, in the establishment or strengthening of a dominant position in the relevant markets, such as to eliminate or substantially and durably reduce competition;</w:t>
      </w:r>
    </w:p>
    <w:p>
      <w:r>
        <w:t>IT IS ALSO CONSIDERED that the non-compete clause above is accessory to this operation and that the Authority reserves the right to evaluate, where the conditions exist, this clause to the extent that it is realized beyond what is indicated therein;</w:t>
      </w:r>
    </w:p>
    <w:p>
      <w:r>
        <w:t>DECIDES</w:t>
        <w:br/>
        <w:t>not to initiate the investigation referred to in Article 16, paragraph 4, of Law No. 287/90. The above conclusions will be communicated, pursuant to Article 16, paragraph 4, of Law No. 287/90, to the interested companies and to the Minister of Economic Development.</w:t>
      </w:r>
    </w:p>
    <w:p>
      <w:r>
        <w:rPr>
          <w:b/>
        </w:rPr>
        <w:t>[Pages 13–15]</w:t>
      </w:r>
    </w:p>
    <w:p>
      <w:r>
        <w:t>BULLETIN NO. 15 OF APRIL 12, 2021 15</w:t>
        <w:br/>
        <w:t>This measure will be published in the Bulletin of the Italian Competition Authority.</w:t>
        <w:br/>
        <w:t>THE SECRETARY GENERAL THE PRESIDENT</w:t>
        <w:br/>
        <w:t>Filippo Arena Roberto Rustichelli</w:t>
      </w:r>
    </w:p>
    <w:p>
      <w:r>
        <w:t>16 BULLETIN NO. 15 OF APRIL 12, 2021</w:t>
        <w:br/>
        <w:t>C12364 - MARR/NEWCO-ANTONIO VERRINI &amp; FIGLI</w:t>
        <w:br/>
        <w:t>Measure No. 28614</w:t>
        <w:br/>
        <w:t>THE ITALIAN COMPETITION AUTHORITY</w:t>
        <w:br/>
        <w:t>IN ITS MEETING of 23 March 2021;</w:t>
        <w:br/>
        <w:t>HEARD the Rapporteur, Dr. Gabriella Muscolo;</w:t>
        <w:br/>
        <w:t>HAVING REGARD to Law No. 287 of 10 October 1990;</w:t>
        <w:br/>
        <w:t>HAVING REGARD to Presidential Decree No. 217 of 30 April 1998;</w:t>
        <w:br/>
        <w:t>HAVING REGARD to the communication made by the company Marr S.p.A., received on 1 March 2021;</w:t>
        <w:br/>
        <w:t>CONSIDERING the following:</w:t>
        <w:br/>
        <w:t>I. THE PARTIES</w:t>
        <w:br/>
        <w:t>1. Marr S.p.A. (hereinafter Marr) is a company active in the distribution of food products and equipment to the foodservice sector (hotels, restaurants, communities, etc.), controlled by Cremonini S.p.A., the company at the top of the homonymous group active in the food sector, whose main shareholder is a natural person. The Cremonini group primarily operates in the fresh and processed meat sector, through the sub-holding Inalca, as well as in the catering sector, through its controlled and sub-holding Chef Express S.p.A. The revenue generated by Marr in Italy in 2019 was approximately 1.5 billion euros.</w:t>
        <w:br/>
        <w:t>2. The New.Co. subject to acquisition is a newly established company, in which the company Antonio Verrini &amp; Figli S.p.A. (hereinafter Antonio Verrini &amp; Figli) will confer its wholesale business of fish products – fresh, frozen, and deep-frozen – including brands, signs, contracts, premises, equipment, and commercial goodwill. The company Antonio Verrini &amp; Figli is indirectly controlled by natural persons belonging to the Verrini family and generated revenue in Italy in 2019 of approximately 54 million euros.</w:t>
        <w:br/>
        <w:t>II. DESCRIPTION OF THE OPERATION</w:t>
        <w:br/>
        <w:t>3. The notified operation consists of the acquisition by Marr of the entire share capital and, therefore, the exclusive control of the New.Co. in which the company Antonio Verrini &amp; Figli will confer the business branch described above.</w:t>
        <w:br/>
        <w:t>III. QUALIFICATION OF THE OPERATION</w:t>
        <w:br/>
        <w:t>4. The notified operation constitutes a concentration pursuant to Article 5, paragraph 1, letter b), of Law No. 287/90, as it involves the acquisition of control of a company. It is subject to the obligation of prior notification provided for by Article 16, paragraph 1, of Law No. 287/90 (as amended by Article 1, paragraph 177, of Law No. 124 of 4 August 2017, in force since 29 August 2017), as the total revenue generated in the last financial year at the national level by the group of companies involved exceeded 504 million euros and as the total revenue generated individually at the national level by at least two of the companies involved exceeded 31 million euros.</w:t>
        <w:br/>
        <w:t>IV. ASSESSMENT OF THE OPERATION</w:t>
        <w:br/>
        <w:t>5. The operation concerns the sector of food product supply to the so-called foodservice, with particular reference to the segment of fish product marketing. A more precise definition of the market from a commodity perspective, which could be made based on the category of products marketed (meat, fish, etc.) or based on the method of preservation (fresh and refrigerated products, frozen, grocery), as will be seen, does not appear necessary for the purposes of this assessment.</w:t>
        <w:br/>
        <w:t>6. From a geographical perspective, it can be considered that the distribution of food products to the foodservice sector occurs at the local level, within a territorial scope of approximately regional size. While Marr is active throughout the national territory, the company subject to acquisition operates exclusively in the regions of Tuscany and Liguria: the effects of the operation will therefore be assessed in these territorial areas.</w:t>
        <w:br/>
        <w:t>7. In particular, in the region of Tuscany, the market shares of Marr and the business branch subject to acquisition are approximately [5-10]%* and [less than 1%]; in the region of Liguria, they are respectively [5-10]% and [1-5]%. In the same regions, there are numerous other operators, including Cash&amp;Carry Metro, which holds a national share of 10%. The sector, in any possible segmentation considered, is characterized by high fragmentation, evidenced by the presence of over 3,500 wholesalers active at the national level, as well as by the possibility for catering operators to turn to other categories of suppliers for their purchases, such as producers, Cash&amp;Carry, general markets, or GDO sales points.</w:t>
        <w:br/>
        <w:t>8. In light of the above, it is not considered that the operation is likely to produce effects that restrict competition in the relevant markets.</w:t>
        <w:br/>
        <w:t>IT IS THEREFORE CONSIDERED that the operation in question does not result, pursuant to Article 6, paragraph 1, of Law No. 287/90, in the establishment or strengthening of a dominant position in the relevant markets such as to eliminate or substantially and durably reduce competition;</w:t>
        <w:br/>
        <w:t>DELIBERATES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 In this version, some data are omitted, as elements of confidentiality or secrecy of the information were deemed to exist.</w:t>
      </w:r>
    </w:p>
    <w:p>
      <w:r>
        <w:rPr>
          <w:b/>
        </w:rPr>
        <w:t>[Pages 16–18]</w:t>
      </w:r>
    </w:p>
    <w:p>
      <w:r>
        <w:t>18 BULLETIN NO. 15 OF APRIL 12, 2021</w:t>
        <w:br/>
        <w:t>This measure will be published in the Bulletin of the Italian Competition Authority.</w:t>
        <w:br/>
        <w:t>THE SECRETARY GENERAL THE PRESIDENT</w:t>
        <w:br/>
        <w:t>Filippo Arena Roberto Rustichelli</w:t>
      </w:r>
    </w:p>
    <w:p>
      <w:r>
        <w:t>BULLETIN NO. 15 OF APRIL 12, 2021 19</w:t>
        <w:br/>
        <w:t>C12365 - DGB BIDCO HOLDINGS LIMITED/CEDACRI</w:t>
        <w:br/>
        <w:t>Measure No. 28615</w:t>
        <w:br/>
        <w:t>THE ITALIAN COMPETITION AUTHORITY</w:t>
        <w:br/>
        <w:t>IN ITS MEETING of 23 March 2021;</w:t>
        <w:br/>
        <w:t>HEARD the Rapporteur Professor Michele Ainis;</w:t>
        <w:br/>
        <w:t>HAVING REGARD to Law No. 287 of 10 October 1990;</w:t>
        <w:br/>
        <w:t>HAVING REGARD to the communication from DGB Bidco Holdings Limited, received on 8 March 2021;</w:t>
        <w:br/>
        <w:t>CONSIDERING the following:</w:t>
        <w:br/>
        <w:t>I. THE PARTIES</w:t>
        <w:br/>
        <w:t>Acquiring Company</w:t>
        <w:br/>
        <w:t>1. DGB Bidco Holdings Limited (hereinafter, “DGB”) is a public limited company under Irish law based in Dublin, whose share capital is wholly owned by ION. ION is an investment holding with permanent capital serving numerous global financial institutions, central banks, and capital companies, and invests in three main areas: financial technology, software automation, and data and analytics. The share capital of ION is, in turn, wholly owned by a private individual.</w:t>
        <w:br/>
        <w:t>2. In 2020, the consolidated revenue of the ION Group was approximately [1-2]* billion globally, of which approximately [700-1,000] million was generated in Europe and approximately [100-504] million was generated in Italy.</w:t>
        <w:br/>
        <w:t>Acquired Company</w:t>
        <w:br/>
        <w:t>3. Cedacri S.p.A. (hereinafter, “Cedacri”), based in Collecchio, Parma, is the holding company of the eponymous group active in the market for the development of IT solutions for the banking, financial, and insurance services sector. The share capital of Cedacri is held, approximately 27.12% by FSI Investment First S.p.A. and the remaining share by 15 banking institutions.</w:t>
        <w:br/>
        <w:t>4. The total revenue generated by Cedacri in 2020 was approximately [100-504] million globally, of which approximately [100-504] million in Europe; of these, approximately [100-504] million were generated in Italy.</w:t>
        <w:br/>
        <w:t>II. DESCRIPTION OF THE OPERATION</w:t>
        <w:br/>
        <w:t>5. The notified operation (hereinafter, “notified operation”) consists of the acquisition, by DGB, directly or through a NewCo, of exclusive control of Cedacri. As a result of the completion of the operation, DGB (or the NewCo) will acquire a shareholding in Cedacri, totaling no less than 80% of the relevant capital. The terms and conditions of the operation are governed by a specific sale and purchase agreement. The operation is also subject to certain suspensive conditions, including obtaining the necessary authorizations from the Authority and the signing by the companies of the Cedacri group, on one side, and some of the current banking institutions that are also clients of the Cedacri group companies, on the other side, of an agreement aimed at extending the duration of the currently existing service contracts. From a substantive perspective, according to the notifying party, the operation represents a financial investment for DGB/ION that will manage Cedacri, ensuring continuity and, at the same time, enhancing the current industrial project.</w:t>
        <w:br/>
        <w:t>III. QUALIFICATION OF THE OPERATION</w:t>
        <w:br/>
        <w:t>6. The notified operation constitutes a concentration, pursuant to Article 5, paragraph 1, letter b), of Law No. 287/90, as it involves the acquisition of exclusive control of a company.</w:t>
        <w:br/>
        <w:t>7.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was over 504 million euros and the revenue generated individually at the national level by at least two of the companies involved was over 31 million euros.</w:t>
        <w:br/>
        <w:t>IV. EVALUATION OF THE CONCENTRATION</w:t>
        <w:br/>
        <w:t>8. The concentration operation in question concerns the Information Technology (IT) and back office services provided to credit and insurance institutions. According to national and community precedents regarding concentration1, IT services can be segmented considering the functionalities of the software and the characteristics of the sectors in which the clients operate. In this case, Cedacri offers banking and technological operational services intended for the banking, financial, and insurance sectors, which due to their functionalities can be considered to constitute a relevant market. From a geographical perspective, it is deemed appropriate to leave the definition of the market open, particularly whether this market is national or broader, as Cedacri operates primarily in Italy and, even in the case of the more restrictive definition of the market, namely the national one, it is believed that the concentration operation does not produce adverse effects on competition. Regarding the second area of operation of the acquired company, the operation in question also concerns the market for back office services, that is, the provision of administrative, accounting, and management services intended for businesses. From a geographical perspective, the identified market presents</w:t>
        <w:br/>
        <w:t>1 See, among others, Measure of the Authority No. 26818 of 25 October 2017, case C12119 – Engineering Ingegneria Informatica/Infogroup Informatica e Servizi Telematici, in Bull. No. 43/2017; Decision of the European Commission of 19 June 2013, case M.6921 – IBM Italia/UBIS.</w:t>
      </w:r>
    </w:p>
    <w:p>
      <w:r>
        <w:rPr>
          <w:b/>
        </w:rPr>
        <w:t>[Pages 19–21]</w:t>
      </w:r>
    </w:p>
    <w:p>
      <w:r>
        <w:t>BULLETIN NO. 15 OF APRIL 12, 2021 21</w:t>
        <w:br/>
        <w:t>a national dimension, as the choice of users of such services tends to be directed towards companies that have a stable organization in the national territory2.</w:t>
        <w:br/>
        <w:t>9. According to the information provided by the notifying party, in 2020 the market share of ION Group in the market for the provision of IT services for the banking, financial, and insurance sectors is approximately [0-2%], while Cedacri holds a market share of approximately [5-10%]. Therefore, the combined market share resulting from the operation would be [5-10%], while it is estimated that the market shares held by the main competitors are: IBM Italia (12-17%), Accenture S.p.A. (10-15%), Engineering (3-5%), Gruppo Reply (3-5%), HP (1-4%).</w:t>
        <w:br/>
        <w:t>10. As a result of the operation, ION will hold a combined market share of approximately [8-12%] in the relevant market for IT services for the banking, financial, and insurance sectors, thus not acquiring a particular position of economic strength capable of altering the competitive structure of the market itself, also in light of the presence within the relevant market of numerous qualified competitors.</w:t>
        <w:br/>
        <w:t>11. Similar considerations apply to the market for back office services, as the operation, resulting in the replacement of one operator with another, is not suitable to raise competitive concerns. Moreover, ION will hold a market share of approximately [5-10%] in a market, even considering the narrower national scope, characterized by the presence of qualified operators with significant market shares, including: Mutui Online (15-20%) and Accenture (12-17%).</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287/90.</w:t>
        <w:br/>
        <w:t>The above conclusions will be communicated, pursuant to Article 16, paragraph 4, of Law No. 287/90, to the interested companies and to the Minister of Economic Development.</w:t>
        <w:br/>
        <w:t>This measure will be published in the Bulletin of the Italian Competition Authority.</w:t>
        <w:br/>
        <w:t>THE SECRETARY GENERAL THE PRESIDENT</w:t>
        <w:br/>
        <w:t>Filippo Arena Roberto Rustichelli</w:t>
        <w:br/>
        <w:t>2 See, among others, Measure of the Authority No. 28171 of March 3, 2020, C12285 – Accenture Managed Services/Fruendo, in Bulletin No. 12/2020.</w:t>
      </w:r>
    </w:p>
    <w:p>
      <w:r>
        <w:t>BULLETIN NO. 15 OF APRIL 12, 2021 23</w:t>
        <w:br/>
        <w:t>C12366 - CASTOR/CERVED GROUP</w:t>
        <w:br/>
        <w:t>Measure No. 28616</w:t>
        <w:br/>
        <w:t>THE ITALIAN COMPETITION AUTHORITY</w:t>
        <w:br/>
        <w:t>IN ITS MEETING of 23 March 2021;</w:t>
        <w:br/>
        <w:t>HEARD the Rapporteur Professor Michele Ainis;</w:t>
        <w:br/>
        <w:t>HAVING REGARD to Law No. 287 of 10 October 1990;</w:t>
        <w:br/>
        <w:t>HAVING REGARD to Presidential Decree No. 217 of 30 April 1998;</w:t>
        <w:br/>
        <w:t>HAVING REGARD to the communication from Castor S.r.l. received on 16 March 2021;</w:t>
        <w:br/>
        <w:t>CONSIDERING the following:</w:t>
        <w:br/>
        <w:t>I. THE PARTIES</w:t>
        <w:br/>
        <w:t>1. Castor S.r.l., is a company under Italian law, part of the investment holding ION Investment Group Limited (“ION”)*1. The ION group operates in three main areas: software for workflow automation supporting trading on the secondary market of various classes of financial instruments, commercial and financial information services, and, marginally, in the offer of software for the management of commodities or treasury services, as well as recently in back office services for the banking, financial, and insurance sectors; these are services that fall within the so-called Information Technology (IT) services. The share capital of ION is held by a natural person. In 2019, the consolidated revenue of ION was approximately [1-2] billion euros worldwide, of which approximately [504-700] million euros in the European Union and approximately [31-100] million euros generated in Italy.</w:t>
        <w:br/>
        <w:t>2. The company Cerved Group S.p.A. (hereinafter also Cerved Group) is the parent company of the Cerved Group, primarily active in providing corporate, commercial, and economic-financial information services to financial institutions, businesses, and individuals (this includes so-called data and analytics, for example for so-called Risk Management) and in the assessment and management of credit for banks, businesses, and professionals (for so-called Credit Management). Cerved operates in a completely marginal way in the provision of Information Technology (IT) services aimed at management consulting and specialized consulting for the provision of digital marketing services and potentially the development of related software. Cerved Group is listed on the Milan Stock Exchange; its share capital is held by various institutional investors2.</w:t>
        <w:br/>
        <w:t>* In this version, some data are omitted, as there were deemed to be elements of confidentiality or secrecy of the information.</w:t>
        <w:br/>
        <w:t>1 [Omitted].</w:t>
        <w:br/>
        <w:t>2 Based on the Communication sent by Cerved to Consob, the shareholders holding a share of the share capital or voting rights of Cerved exceeding 3% are Kayne Anderson Rudnick Investment Management LLC (3.064%), Broggian Giancarlo Servizi CGN S.r.l. (3.006%), Wellington Management Group LLP (5.077%), Gruppo Mutuionline S.p.A. (3.015%) and Massachusetts Financial Services Company (4.182%).</w:t>
      </w:r>
    </w:p>
    <w:p>
      <w:r>
        <w:t>BULLETIN NO. 15 OF APRIL 12, 2021 23</w:t>
        <w:br/>
        <w:t>In 2019, the consolidated revenue of Cerved was approximately 457.2 million euros, of which approximately 447.6 million euros generated in Italy.</w:t>
        <w:br/>
        <w:t>II. DESCRIPTION OF THE OPERATION</w:t>
        <w:br/>
        <w:t>3. The operation in question consists of the acquisition by Castor, also through a newly established Italian company controlled by Castor (“NewCo”), of the exclusive control of Cerved Group and its subsidiaries3. The acquisition will be carried out through a voluntary total public offer4.</w:t>
        <w:br/>
        <w:t>III. QUALIFICATION OF THE OPERATION</w:t>
        <w:br/>
        <w:t>4. The notified operation, as it involves the acquisition of exclusive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was over 504 million euros and the total revenue generated individually, in the last financial year at the national level, by at least two of the companies involved was over 31 million euros.</w:t>
        <w:br/>
        <w:t>IV. EVALUATION OF THE OPERATION</w:t>
        <w:br/>
        <w:t>Relevant markets</w:t>
        <w:br/>
        <w:t>5. Taking into account the activities carried out by the companies subject to acquisition, the operation in question concerns, from a product perspective, the following markets: (i) provision of commercial information, (ii) provision of debt management and collection services on behalf of third parties, and in a completely marginal way (iii) provision of so-called Information Technology (IT) services.</w:t>
        <w:br/>
        <w:t>6. With regard to the first market, according to the decision-making practice of the Authority5, the provision of commercial information (so-called business information) consists of the collection and processing, followed by distribution and marketing, of data and information of an economic-financial, commercial, asset, and legal nature, functional to the needs of businesses, professionals, and public administration (PA). The market could be segmented based on the type of clientele, thus the use of the data made by them, and the type of product provided. In this regard, the Parties believe that the sources of information procurement are the same, there are no barriers to access, and from the supply side, the market is characterized by a sufficient degree of substitutability as it is an activity that can be carried out by various operators at</w:t>
        <w:br/>
        <w:t>3 [Omitted].</w:t>
        <w:br/>
        <w:t>4 See Communication of March 8, 2021 regarding the voluntary public offer for all shares of Cerved made by Castor, as the offeror, pursuant to and for the purposes of Article 102, paragraph 1, of Legislative Decree No. 58 of February 24, 1998, as subsequently amended (the “TUF”), as well as Article 37 of the regulation adopted by CONSOB with resolution No. 11971 of May 14, 1999, as subsequently amended.</w:t>
        <w:br/>
        <w:t>5 See C11318 - Cerved Group/MF Honyvem (2011); C9863 - Bain Capital Investors/Centrale dei bilanci (2011); C11750 - Capitoloundici/Assicom (2012).</w:t>
      </w:r>
    </w:p>
    <w:p>
      <w:r>
        <w:rPr>
          <w:b/>
        </w:rPr>
        <w:t>[Pages 22–24]</w:t>
      </w:r>
    </w:p>
    <w:p>
      <w:r>
        <w:t>24 BULLETIN NO. 15 OF APRIL 12, 2021</w:t>
        <w:br/>
        <w:t>regardless of the type of information subject to the service. In this case, however, it is not necessary to arrive at a precise commodity delimitation of the market, as whatever definition is adopted, the operation will result in no appreciable effects in the markets under consideration. Regarding the geographical relevance, the market for the provision of information services can be considered national in size.</w:t>
        <w:br/>
        <w:t>7. As for the market for the management and collection of receivables on behalf of third parties, this is an activity aimed at recovering debts from third parties and includes all operations necessary for debt collection, from telephone reminders to legal action, home visits, the drafting and sending of the letter of formal notice, etc. The geographical dimension of the relevant market is national.</w:t>
        <w:br/>
        <w:t>8. Finally, the market for so-called Information Technology (IT) services, in accordance with community and national jurisprudence, includes seven categories of services: 1) IT management; 2) business management; 3) software development and integration; 4) consulting; 5) software maintenance; 6) hardware maintenance; 7) education and training. These segments, in turn, can further be segmented into groups of services. For the purposes of evaluating the present operation, the exact definition of the product market can be left open as the operation does not appear to be suitable to create critical issues from a competition perspective. With reference to the geographical definition of the market, in its previous decisions, the Authority has noted the homogeneity of competitive conditions across the national territory and the absence of significant imports of IT services, which suggests a national market size. In other respects, the Authority, in line with what has been highlighted by the European Commission, has noted a trend towards the internationalization of demand and supply (services offered on a supranational basis, homogeneity of the nature and quality of services among different countries, high mobility of workers, use of the English language). Similarly to what was observed earlier, from a geographical perspective, even adopting the narrower national scope, the operation does not appear to be suitable to alter the existing competitive conditions.</w:t>
        <w:br/>
        <w:t>Effects of the operation</w:t>
        <w:br/>
        <w:t>9. With the acquisition of control of Cerved, Castor enters the Italian market for the provision of commercial information, in which the target company holds a market share of approximately [35-40%]. From a competitive standpoint, since Castor does not operate in this market, the operation consists of the replacement of one operator with another, and therefore is not suitable to bring about any modification of the pre-existing competitive structures.</w:t>
        <w:br/>
        <w:t>10. Similarly, regarding the national market for the management and collection of receivables on behalf of third parties, it is believed that the operation will not have detrimental effects on competition, not resulting in substantial changes in the competitive structure of the same due to the fact that Castor is not currently present in this market. In this market, Cerved operates with a share of 10-15% and there are other qualified competitors.</w:t>
        <w:br/>
        <w:t>11. In the Italian IT services market, ION is active in a very marginal way in the offering of software (i) for workflow automation supporting trading on the secondary market and (ii) for the management of commodities or treasury services of industrial groups. As for the IT services that Cerved provides, these would consist of the offering of management consulting services and specialized consulting for the provision of digital marketing services and potentially software development. In none of these segments does Cerved hold a particularly significant share, estimated at less than 5%.</w:t>
        <w:br/>
        <w:t>12. In light of the above considerations, whatever definition is intended to be adopted, the operation under examination does not appear to be suitable to produce detrimental effects on competition arising from the horizontal overlap of the parties' activities in IT services.</w:t>
        <w:br/>
        <w:t>13. In light of the preceding considerations, the concentration does not appear to be suitable to prejudice the competitive structure in the relevant markets.</w:t>
        <w:br/>
        <w:t>THEREFORE, it is deemed that the operation under examination does not entail, pursuant to Article 6, paragraph 1, of Law No. 287/90, the establishment or strengthening of a dominant position in the relevant markets, such as to eliminate or substantially and durably reduce competition;</w:t>
        <w:br/>
        <w:t>RESOLVES</w:t>
        <w:br/>
        <w:t>not to initiate the investigation referred to in Article 16, paragraph 4, of Law 287/90.</w:t>
        <w:br/>
        <w:t>The above conclusions will be communicated, pursuant to Article 16, paragraph 4, of Law 287/90, to the interested companies and to the Minister of Economic Development.</w:t>
        <w:br/>
        <w:t>The measure will be published in the Bulletin of the Italian Competition Authority.</w:t>
        <w:br/>
        <w:t>THE SECRETARY GENERAL THE PRESIDENT</w:t>
        <w:br/>
        <w:t>Filippo Arena Roberto Rustichelli</w:t>
        <w:br/>
        <w:t>11 The Parties also indicate the presence of doValue 20-25%, Intrum 10-15%, AMCO 5-10%, Prelios 5-10%, and Ifis 5-10%.</w:t>
      </w:r>
    </w:p>
    <w:p>
      <w:r>
        <w:t>26 BULLETIN NO. 15 OF APRIL 12, 2021</w:t>
        <w:br/>
        <w:t>C12358 - CELLNEX ITALIA/CK HUTCHISON NETWORKS ITALIA</w:t>
        <w:br/>
        <w:t>Measure No. 28619</w:t>
        <w:br/>
        <w:t>THE ITALIAN COMPETITION AUTHORITY</w:t>
        <w:br/>
        <w:t>IN ITS MEETING of 30 March 2021;</w:t>
        <w:br/>
        <w:t>HEARD the Rapporteur Dr. Gabriella Muscolo;</w:t>
        <w:br/>
        <w:t>HAVING REGARD to Law No. 287 of 10 October 1990;</w:t>
        <w:br/>
        <w:t>HAVING REGARD to Presidential Decree No. 217 of 30 April 1998;</w:t>
        <w:br/>
        <w:t>HAVING REGARD to the communication from the companies Cellnex Italia S.p.A. and CK Hutchison Networks Italia S.p.A., received on 1 February 2021;</w:t>
        <w:br/>
        <w:t>HAVING REGARD to the requests for information sent on 23 February 2021 to the companies Cellnex Italia S.p.A. and CK Hutchison Networks Italia S.p.A., resulting in the interruption of the terms pursuant to Article 5, paragraph 3, of Presidential Decree No. 217 of 30 April 1998;</w:t>
        <w:br/>
        <w:t>HAVING REGARD to the additional information sent by Cellnex Italia S.p.A. and received on 10 March 2021 and on 17 March 2021, as well as the additional information sent by CK Hutchison Networks Italia S.p.A. and received on 10 March 2021;</w:t>
        <w:br/>
        <w:t>HAVING REGARD to the documentation on file;</w:t>
        <w:br/>
        <w:t>CONSIDERING the following:</w:t>
        <w:br/>
        <w:t>I. THE PARTIES</w:t>
        <w:br/>
        <w:t>1. Cellnex Italia S.p.A. (hereinafter, “Cellnex Italia”) is an independent European operator of wireless telecommunications infrastructure, subject to the control of the Spanish company Cellnex Telecom S.A. (hereinafter “Cellnex”). Cellnex is active with a portfolio of approximately 69,600 sites, through its subsidiaries, across Europe, including Spain, Switzerland, Italy, the Netherlands, France, Ireland, Portugal, Austria, Denmark, and the United Kingdom. In 2019, the consolidated revenue of the Cellnex Group was approximately [1-2 billion]* globally, of which [100-511] million in Italy.</w:t>
        <w:br/>
        <w:t>2. CK Hutchison Networks Italia S.p.A. (hereinafter also referred to as “CKHNI” or “the target”) is a company that is part of the Italian telecommunications business of CK Hutchison Holdings Limited. CKHNI was established as a wholly owned and controlled subsidiary of Wind Tre S.p.A. (hereinafter “Wind Tre”), which is itself indirectly and wholly owned and controlled by CK Hutchison, the parent company. CKHNI was created following the spin-off of the mobile telecommunications infrastructure activities of Wind Tre, ceded to it along with the relevant business unit. At the end of 2019, in the context of an intra-group reorganization, Wind Tre has</w:t>
        <w:br/>
        <w:t>1 Cellnex is listed on the Madrid Stock Exchange. The main shareholders of Cellnex are: Edizione (approximately 13.0%), GIC (approximately 7%), ADIA (approximately 7%), CriteriaCaixa (approximately 4.8%), Wellington Management Group (approximately 4.3%), and Blackrock (approximately 3.8%). None of the shareholders holds exclusive control over Cellnex.</w:t>
        <w:br/>
        <w:t>* In this version, some data are omitted, as it was deemed that there were elements of confidentiality or secrecy of the information.</w:t>
      </w:r>
    </w:p>
    <w:p>
      <w:r>
        <w:rPr>
          <w:b/>
        </w:rPr>
        <w:t>[Pages 25–27]</w:t>
      </w:r>
    </w:p>
    <w:p>
      <w:r>
        <w:t>BULLETIN NO. 15 OF APRIL 12, 2021 27</w:t>
        <w:br/>
        <w:t xml:space="preserve">assigned to CKHNI its passive telecommunications infrastructures (approximately [5,000-10,000] sites), while the active telecommunications infrastructures remained within the scope of Wind Tre. Following another intra-group reorganization that took place in mid-2020, CKHNI became a wholly owned subsidiary controlled by CK Hutchison Networks Europe Investments S.à r.l. (“CKHNEI”). In turn, CKHNEI is a wholly owned subsidiary controlled by CK Hutchison Networks Holdings Limited, a subgroup for telecommunications infrastructures within the CK Hutchison Group. Based on the corporate structures, CKHNI is vertically integrated with Wind Tre and, based on estimates for the year 2020, [90-100]% of the revenue generated by CKHNI is attributable to hospitality services on passive telecommunications infrastructures in favor of Wind Tre, and only [0-10]% is generated from services provided to third-party telecommunications operators. In 2019, CKHNI's national revenue is estimated at [100-511] million euros. </w:t>
        <w:br/>
        <w:t xml:space="preserve">II. DESCRIPTION OF THE OPERATION </w:t>
        <w:br/>
        <w:t xml:space="preserve">3. The notified operation consists of the exclusive acquisition of control of CKHNI by Cellnex, through Cellnex Italia. </w:t>
        <w:br/>
        <w:t xml:space="preserve">4. In the context of the operation, CKHNI and Wind Tre plan to enter into an agreement (hereinafter the “Master Service Agreement” or “MSA”) with a duration of [omitted] under which [omitted]. </w:t>
        <w:br/>
        <w:t xml:space="preserve">5. The MSA also provides that [omitted]. </w:t>
        <w:br/>
        <w:t xml:space="preserve">6. CKHNI will have the right to [omitted]. Further provisions of the MSA relate to Wind Tre's ability to [omitted]. </w:t>
        <w:br/>
        <w:t xml:space="preserve">7. The sale and purchase agreement and the MSA contain certain provisions that – according to the Parties – would constitute ancillary restrictions directly related to the concentration operation. In particular, the Parties have provided in the sale and purchase agreement for a non-competition and non-solicitation clause, under which the selling company cannot: [omitted]. In the MSA, on the other hand, CKHNI undertakes [omitted]. </w:t>
        <w:br/>
        <w:t xml:space="preserve">III. QUALIFICATION OF THE OPERATION </w:t>
        <w:br/>
        <w:t xml:space="preserve">8. The notified operation, aimed at acquiring exclusive control of a company, constitutes a concentration pursuant to Article 5, paragraph 1, letter b), of Law No. 287/90. It falls within the scope of application of Law No. 287/90, as the conditions set out in Article 1 of Regulation (EC) No. 139/04 do not apply, and it is subject to the prior notification obligation established by Article 16, paragraph 1, of the same law, as, at the time of notification, the total revenue generated nationally by the group of companies involved exceeds the threshold of 504 million euros and the total revenue generated individually nationally by at least two of the companies involved exceeds 31 million euros. </w:t>
        <w:br/>
        <w:t>9. The Master Service Agreement and the non-competition and non-solicitation clauses described in paragraphs 4-7 will be subject to further examination during the investigation to assess their ancillary nature in relation to the notified operation.</w:t>
      </w:r>
    </w:p>
    <w:p>
      <w:r>
        <w:t xml:space="preserve">28 BULLETIN NO. 15 OF APRIL 12, 2021 </w:t>
        <w:br/>
        <w:t xml:space="preserve">IV. ASSESSMENTS </w:t>
        <w:br/>
        <w:t xml:space="preserve">IV.1 The telecommunications sector </w:t>
        <w:br/>
        <w:t xml:space="preserve">IV.1.1 Introduction </w:t>
        <w:br/>
        <w:t xml:space="preserve">10. First, due to the activities carried out by Cellnex Italia and CKHNI, the concentration in question concerns the sector of infrastructures dedicated to hosting telecommunications broadcasting systems, consisting of vertical infrastructures (towers, poles, masts), suitable for hosting the antennas of network operators, and buildings equipped for hosting transmitting devices. In particular, Cellnex Italia and CKHNI are both active in hosting telecommunications operators at their passive telecommunications infrastructures, namely towers, rooftops, and other infrastructural assets. The demand for such services comes from mobile operators (hereinafter “MNO”, mobile network operator) and wireless (hereinafter “FWA”, fixed wireless access) who need to install their network devices necessary to provide mobile and fixed telecommunications services via wireless (FWA). The latter, in particular, are often without their own network infrastructure, thus being referred to as completely “non-captive” clientele, that is, not integrated at the corporate level with a tower company. </w:t>
        <w:br/>
        <w:t xml:space="preserve">11. Figure 1 (see below) schematically reproduces the productive structure that will result from the concentration: the active infrastructures2 will remain owned by the MNO operator Wind Tre (light blue) or other MNO operators (blue) active on the infrastructure, while the assets colored in purple represent the hospitality services that CKHNI provides to its clients (mostly Wind Tre) and that will be acquired by Cellnex Italia. </w:t>
        <w:br/>
        <w:t>2 That is, the frequency spectrum, antennas, transmission equipment, and all relevant equipment necessary for the provision of mobile services (excluding, for example, batteries that are part of the passive infrastructure).</w:t>
      </w:r>
    </w:p>
    <w:p>
      <w:r>
        <w:t xml:space="preserve">BULLETIN NO. 15 OF APRIL 12, 2021 29 </w:t>
        <w:br/>
        <w:t xml:space="preserve">Figure 1: Representation of the active and passive infrastructures involved in the concentration operation. </w:t>
        <w:br/>
        <w:t xml:space="preserve">Source: the Parties. </w:t>
        <w:br/>
        <w:t xml:space="preserve">12. The offer of hospitality services includes making available space on the passive infrastructure, for which clients pay a fee to the provider. Mobile network operators (MNO) install Radio Access Network (RAN) equipment such as antennas, radios, and baseband units on the passive infrastructures for the transmission of mobile signals. The combination of active networks and passive infrastructure allows the MNO to provide voice and data transmission services. The following Figure 2 describes the supply chain relationships within the sector. </w:t>
        <w:br/>
        <w:t xml:space="preserve">Figure 2: The vertical relationships in the telecommunications sector. </w:t>
        <w:br/>
        <w:t xml:space="preserve">Source: EY-Parthenon3. </w:t>
        <w:br/>
        <w:t>3 See EY-Parthenon, “The economic contribution of the European tower sector – A Report for the European</w:t>
      </w:r>
    </w:p>
    <w:p>
      <w:r>
        <w:rPr>
          <w:b/>
        </w:rPr>
        <w:t>[Pages 28–30]</w:t>
      </w:r>
    </w:p>
    <w:p>
      <w:r>
        <w:t>30 BULLETIN NO. 15 OF APRIL 12, 2021</w:t>
        <w:br/>
        <w:t>13. In addition to hospitality services, infrastructure operators can provide ancillary services such as, for example, civil works, poles, pylons, towers, fences, shelters, shelving, electricity supply, and air conditioning services.</w:t>
        <w:br/>
        <w:t>IV.1.2 The competitive scenario</w:t>
        <w:br/>
        <w:t>14. Passive infrastructures were originally built for self-production use (i.e., for so-called captive use) by network operators for their own MNOs, but an independent offering of hospitality services to third parties has progressively developed. Historically, and until about three years ago, three main tower companies operated at the national level (also in the form of mere internal divisions), owned or controlled by an MNO:</w:t>
        <w:br/>
        <w:t>• INWIT S.p.A. (hereinafter “Inwit”), fully controlled by TIM,</w:t>
        <w:br/>
        <w:t>• the internal division of Vodafone that managed the sites owned by Vodafone Italia;</w:t>
        <w:br/>
        <w:t>• the internal division of Wind Tre, which since 2019 has become the target CKHNI (see above);</w:t>
        <w:br/>
        <w:t>15. The MNO operator Iliad also performed limited activity as a tower company. In 2019, Iliad sold its passive infrastructure business to the Cellnex group, which includes the purchaser Cellnex Italia4. In 2020, TIM and Vodafone merged their tower company activities into Inwit5, thus creating the largest tower company in Italy, primarily for captive use by the respective MNO operators.</w:t>
        <w:br/>
        <w:t>16. Although in a residual manner compared to the main television transmission activity, Ei Towers S.p.A. (hereinafter “Ei Towers”), through its subsidiary Towertel S.p.A. (hereinafter “Towertel”), and Rai Way S.p.A. (hereinafter “Rai Way”) also offer mobile passive infrastructure services (see below).</w:t>
        <w:br/>
        <w:t>17. The production chain, therefore, is characterized by a limited number of operators both upstream (the passive infrastructure operators, the tower companies) and downstream (the active infrastructure operators, i.e., the MNOs). The relationships between these companies can be of the so-called captive nature (i.e., intra-group sales of hospitality services generated by the self-supply of MNOs at the companies managing their infrastructures) or, conversely, of the so-called non-captive nature, i.e., sales generated from services offered to third-party telecommunications operators.</w:t>
        <w:br/>
        <w:t>18. With specific regard to the hospitality services provided to third parties, the European Commission recently noted that, as a result of the outsourcing of the management of sites previously used for captive services, MNO operators enter into long-term contracts, lasting between 6 and 15 years, potentially renewable for the same duration, with independent tower companies6. In this context, moreover, in order to maintain a certain degree of control over the key network input constituted by the site, the MNO, when transferring its business branch in possession of the passive infrastructures, usually reserves preferential access treatment on the same or veto rights over the asset7.</w:t>
        <w:br/>
        <w:t>IV.1.3 The regulatory framework for electromagnetic emissions</w:t>
        <w:br/>
        <w:t>19. In terms of the production capacity of the national sector, the limitations imposed by environmental regulation regarding maximum electromagnetic wave emissions from individual plants are significant. From a regulatory perspective, in fact, there are constraints related to the limits of electromagnetic fields (hereinafter “EMF”). The Italian EMF regulation (20 V/m8 or 6 V/m depending on the measurement points provided by law), stricter than that provided at the European level, applies regardless of the type of use of the antennas and can determine a limitation on the number of mobile phone operators hosted on each site, thus adding a possible capacity limitation to those already potentially resulting from the presence of historical operators on the site. Additionally, certain limits also exist due to the local or regional regulatory framework (or due to its interpretation), which sometimes hinders market players from extending their presence in certain areas, as previously noted by the Authority9.</w:t>
        <w:br/>
        <w:t>20. Further limitations on production capacity arise from the structural peculiarities of numerous Italian cities – often characterized by the presence of historic centers and ancient villages – where the installation of large or high-power plants is not permitted, due to the environmental and landscape constraints imposed by national and local legislation and regulation10. For this reason, on the same passive infrastructures, co-location of active infrastructure devices from different MNOs (the so-called co-siting or co-tenancy) is possible, especially in municipalities with a population of fewer than 35,000 inhabitants11.</w:t>
        <w:br/>
        <w:t>21. Regarding the commodity definition of relevant markets, it is necessary to remember that, according to the guidelines of the Authority12 and the Commission13, it is believed that, from a commodity perspective, the market for mobile telecommunications infrastructures is distinct from infrastructures intended for the hospitality of other types of devices and, in particular, from the markets for broadcasting television infrastructures and sound broadcasting infrastructures.</w:t>
        <w:br/>
        <w:t>22. In fact, it is necessary to consider the characteristics of the transmission signal for the identification of sites and infrastructures suitable for hosting transmission devices. In particular, the transmission of the signal through mobile cellular networks is characterized by bidirectionality and low power, and therefore it is necessary to use a large number of sites predominantly located in high-density residential areas. Conversely, the television signal is directional, so it is necessary to consider the orientation of the receiving antennas. Mobile and radio signals are omnidirectional, and therefore their positioning is not relevant, but rather their proximity to receiving devices. The technical differences found in radio, television, and mobile signals necessitate the use of different infrastructures, which can only be considered marginally substitutable.</w:t>
        <w:br/>
        <w:t>23. With specific reference to mobile telecommunications infrastructures, the Commission14, although leaving the commodity definition of the market open, has considered a possible distinction between the offering of hospitality services on macro-sites and micro-sites: macro-sites include “ground based towers” and “rooftop towers”15, while micro-sites include “small cells” and “distributed antenna systems”16 that perform a complementary function to macro-sites, to ensure reliable coverage in buildings or densely populated urban areas. While macro-sites are used to achieve homogeneous coverage, the distribution of small cells is instead used to address specific capacity needs within a limited area, often a public place (outdoors or indoors) or in particularly crowded areas. Due to the limited coverage radius of small cells, it is not possible to hypothesize, both from a technical and economic perspective, extensive coverage using only this technology, as a very high number of these would be necessary to achieve.</w:t>
        <w:br/>
        <w:t>12 See provision no. 23117 of December 14, 2011, C11205 – Elettronica Industriale/Digital Multimedia Technologies; provision no. 25452 of April 30, 2015, C11987 – EI Towers/Rai Way; provision no. 25359 of March 10, 2015, C11987 – EI Towers/Rai Way.</w:t>
        <w:br/>
        <w:t>13 See European Commission Decision of March 6, 2020, COMP/M.9674 – Vodafone Italia/TIM/Inwit JV.</w:t>
        <w:br/>
        <w:t>14 See European Commission Decision of March 6, 2020, COMP/M.9674 – Vodafone Italia/TIM/Inwit JV.</w:t>
        <w:br/>
        <w:t>15 See European Commission, decision M.9674 – Vodafone Italia/TIM/Inwit JV of March 6, 2020, para. 37: macro-sites include two types of sites that differ depending on the surface subject to installation, namely “ground based towers” which are located on land, and “rooftop towers” which are present on the tops of buildings.</w:t>
        <w:br/>
        <w:t>16 See European Commission, decision M.9674 – Vodafone Italia/TIM/Inwit JV of March 6, 2020, para. 38, micro-sites include the so-called small cells and distributed antenna systems, used complementarily to macro-sites to ensure reliable coverage in buildings and densely populated urban areas.</w:t>
      </w:r>
    </w:p>
    <w:p>
      <w:r>
        <w:rPr>
          <w:b/>
        </w:rPr>
        <w:t>[Pages 31–33]</w:t>
      </w:r>
    </w:p>
    <w:p>
      <w:r>
        <w:t>BULLETIN NO. 15 OF APRIL 12, 2021 33</w:t>
        <w:br/>
        <w:t>the minimum coverage objective17. It could therefore be possible to segment the market based on the type of sites.</w:t>
        <w:br/>
        <w:t>24. Regarding the possibility of distinguishing further segments based on the type of customers, the Commission has left the definition of the market open, also considering a distinction of hospitality services on macro-sites provided to: (a) MNO, (b) FWA operators, and (c) other telecommunications operators.</w:t>
        <w:br/>
        <w:t>IV.2.2 The geographical market</w:t>
        <w:br/>
        <w:t>25. From a geographical perspective, the established national and EU practice considers the relevant markets to be of national scope. In fact, such activities are governed by national regulatory regimes and the CKHNI infrastructures subject to acquisition are located throughout the national territory, meeting the demand for national and local hospitality. However, also in the decision regarding the Inwit case, the European Commission, based on observations received from third parties, has also considered the position of the parties in local geographical areas, particularly at the municipal level18.</w:t>
        <w:br/>
        <w:t>IV.3 Observations received following the market notice</w:t>
        <w:br/>
        <w:t>26. Following the publication of the notice of the concentration operation19, some observations regarding the possible effects of the same were received on 9 February 2021 from a company active in the market. This company indicated that the operation in question would result in a substantial reduction of competition in a market already characterized by a limited number of operators20.</w:t>
        <w:br/>
        <w:t>27. In particular, according to this company, the acquisition of CKHNI would increase Cellnex Italia's bargaining power with respect to customers of passive infrastructure services, to the detriment of competitors and, at the same time, reduce the investment incentives in new sites for the two larger operators (Cellnex Italia and INWIT). Furthermore, the concentration operation could allow Cellnex Italia to leverage its position in the passive infrastructure market to expand into other markets and prevent other competitors from providing services.</w:t>
        <w:br/>
        <w:t>17 V. European Commission, decision M.9674 – Vodafone Italia/TIM/Inwit JV of 6 March 2020, para. 77: “In other terms, while macro-sites are deployed to achieve homogeneous coverage, small cells deployment is instead used to address specific capacity needs within a limited area, often a public venue (outdoor or indoor) or a particularly crowded area. Due to the limited coverage range of a small cell, it will be not feasible, both technically and economically, to plan an extensive coverage only leveraging small cells, since a very high number of small cell sites would be needed to achieve the minimum coverage objective”.</w:t>
        <w:br/>
        <w:t>18 Cf. European Commission Decision of 6 March 2020, COMP/M.9674 – Vodafone Italia/TIM/Inwit JV, paragraph 160: “Thus, based on the third party’s submission, in 3,400 cities the Parties’ combined market shares would be above 50% and in 1,400 […]∗ the Parties’ combined market shares would be above 60%. More in detail, based on the third party submission the situation in the Italian cities with more than 50,000 inhabitants where the Joint Venture will have a market share above 50% and the HHI will be over 3000 post-Transaction would be the one illustrated in the following table”.</w:t>
        <w:br/>
        <w:t>19 V. Communication concerning certain procedural aspects relating to concentration operations pursuant to Law No. 287 of 10 October 1990 - published in bulletin No. 22 of 20 June 2005 (as amended by AGCM resolution of 25 September 2006 and AGCM resolution No. 21907 of 15 December 2010).</w:t>
        <w:br/>
        <w:t>20 V. doc. n. 19_all1 of the investigation file.</w:t>
      </w:r>
    </w:p>
    <w:p>
      <w:r>
        <w:t>34 BULLETIN NO. 15 OF APRIL 12, 2021</w:t>
        <w:br/>
        <w:t>alternatives (such as, for example, wireless infrastructure, fiber networks, backhaul21 and edge computing22), competitive to those offered by the buyer at its sites.</w:t>
        <w:br/>
        <w:t>28. Furthermore, the company indicates that the acquisition of CKHNI's assets by a different tower company, smaller in size and independent from MNO, could have, on the contrary, increased the number of market participants, with beneficial effects for competition23.</w:t>
        <w:br/>
        <w:t>29. Additional competition concerns would arise from the vertical relationships between the Parties. According to the company, the concentration operation would involve long-term supply agreements between Cellnex Italia and CKHNI, such as to preclude other competitors in the passive infrastructure market from a significant MNO customer, for an extended period. The potential existence of such agreements, along with their content, should – according to the company – be examined as pertaining to the very scope of the concentration and not as an ancillary restriction to the concentration operation.</w:t>
        <w:br/>
        <w:t>IV.4 Responses to information requests</w:t>
        <w:br/>
        <w:t>30. During the pre-notification phase and during the pre-investigation phase, the Directorate sent some requests for information to competitors in the telecommunications hospitality services market and to the main MNO and FWA operators. In particular, the Authority sent two requests for information, on 29 January and 2 March 2021, to the companies Inwit, Vodafone Italia, TIM, Fastweb and Fastweb Air, Eolo, Linkem, Iliad, Towertel, Raiway.</w:t>
        <w:br/>
        <w:t>31. The active telecommunications infrastructure service operators (such as MNO and FWA) first reported the emission limitations imposed by regulations that often make access to sites impossible, especially in the presence of historical operators already holding the necessary authorizations and protected by contracts with tower companies. In this regard, Iliad states that “[c]om as this Authority has had the opportunity to observe, in Italy there are significant obstacles to the installation of new facilities by MNOs due to strict regulations, both regarding urban planning and regarding electromagnetic emissions (whose limits are much stricter than those of most other EU member states). In general, in rural areas it is not particularly difficult to establish new sites: urban planning restrictions are limited, while the rules regarding electromagnetic emissions rarely impact the power level at which the facility can emit frequencies. Conversely, in densely populated areas and, especially, in historic centers, it is much more complex to build new sites. In these cases, there is a significant risk that the competent public authorities will deny authorization to build and/or activate the new site, due to urban planning restrictions and limits on electromagnetic emissions”24. Linkem also noted that “[a]ccess to hospitality sites already presents limitations related to the regulatory and factual context. In fact, for the choice of one site over another, it is necessary to evaluate the location and the consequent potential coverage that a device installed on the aforementioned site would provide, as well as the presence or absence of physical space on the infrastructure. Additionally, telecommunications facilities located on the site must comply with specific legal limits regarding electromagnetic field emissions. With particular regard to the latter, it should be noted that the legislation on EMF limits in Italy is very strict as it imposes the same limits on electromagnetic fields (i.e., 20 V/m or 6 V/m depending on the measurement points established by law) regardless of the types of use of the antennas. For these reasons, EMF limits apply both to television broadcasters and to telecommunications operators, as well as to macro and small cells, with the consequence that the use of sites and the space on them intended for telecommunications purposes is often limited.</w:t>
        <w:br/>
        <w:t>In addition to what has just been highlighted, regarding the development of new infrastructures by the telecommunications operator or infrastructures intended for the hospitality of operators by tower companies, difficulties are often encountered: i) bureaucratic in nature arising from the current urban planning regulations; ii) limitations in the use of sites or suboptimal signal propagation due to the architectural configuration (historic buildings in cities) and/or landscape (rural areas) of certain areas of the country; iii) implementation or establishment of new sites due to disturbances related to the increasingly numerous anti-antenna committees that are developing at the local level”25.</w:t>
        <w:br/>
        <w:t>32. Linkem and Eolo, FWA operators, have complained about the existence of access limitations arising from existing contracts between tower companies and MNO operators. In particular, Eolo states that: “it is noted that the proposed concentration operation between Cellnex and Hutchison appears distinct in its characteristics from that concerning Inwit and Vodafone Towers, as in the latter case TIM and Vodafone Italia were involved, that is, two vertically integrated operators, while in the current case Cellnex, active only in the hospitality market, would acquire the sites belonging to Hutchison. Nevertheless, it is undeniable that the operation in question will result in a greater degree of concentration in the hospitality services market. It therefore seems appropriate for this Authority to verify that, following the operation, fair and non-discriminatory conditions continue to be guaranteed to all access applicants. Any refusals of access requests, attributable to contractual clauses in favor of Hutchison, would indeed result in a market imbalance and a strengthening of the position of the few actors operating in it. In this perspective, practices aimed at making access to the hospitality market more difficult should certainly be avoided: this refers, in particular, to the provision of pre-emption rights, especially by the parties involved in the operation, and in general to legal institutions having the same effects or ultimately resulting in a restriction of the market in question and a reduced number of sites, thereby binding their availability on the market from the outset”26.</w:t>
        <w:br/>
        <w:t>33. From the responses received, it also emerges that the competitive constraint exerted by Inwit on the Parties is limited. In this regard, the MNO operator Iliad states that: “Firstly, there are Tower Companies owned and/or controlled by MNOs. […] Secondly, there are Tower Companies owned and managed by independent wireless infrastructure providers, known as</w:t>
        <w:br/>
        <w:t>25 V. doc. n. 48 all1 of the investigation file.</w:t>
        <w:br/>
        <w:t>26 V. doc. n. 6 of the investigation file.</w:t>
      </w:r>
    </w:p>
    <w:p>
      <w:r>
        <w:rPr>
          <w:b/>
        </w:rPr>
        <w:t>[Pages 34–36]</w:t>
      </w:r>
    </w:p>
    <w:p>
      <w:r>
        <w:t>36 BULLETIN NO. 15 OF APRIL 12, 2021</w:t>
        <w:br/>
        <w:t>“Independent Tower Companies.” […] The market context is therefore clearly one of increasing concentration. After the operation currently under examination by this Authority, there will essentially be two remaining Tower Companies in Italy: one controlled by MNO and one independent. However, for a new operator like Iliad, the circumstance that the sites transition from being controlled by an MNO (as is currently the case for CKHNI's sites) to being controlled by an independent Tower Company is in principle positive, as an independent Tower Company (for example, Cellnex) tends to maximize revenues by increasing, as much as possible, access to the sites without discriminating between operators. In contrast, Tower Companies partly owned by MNO tend to prioritize access to their sites by their shareholders to the detriment of other operators. […] For the moment, [Iliad] is encountering problems in obtaining access to the sites of the main Italian Tower Company, Inwit S.p.A.”27. [Omissis]</w:t>
        <w:br/>
        <w:t>28. More generally, competition concerns have emerged from the responses to the requests for information received from:</w:t>
        <w:br/>
        <w:t>• EiTowers: “In principle, EI Towers is in favor of aggregations, as they create the premises for the establishment of more efficient entities; [omissis]”29;</w:t>
        <w:br/>
        <w:t>• Linkem: “the market for hosting services is characterized by the presence of few suppliers (thus with few and insufficient alternatives), essentially having an oligopolistic structure. In such a market context, an additional merger operation would a priori be likely to further reduce the competitive incentive among players in the same market, especially since the operation would involve the two main site suppliers (Wind Tre and Cellnex), after Inwit. The market in question would, in practice, transform into a duopoly with Inwit and Cellnex as the only two actors. […] it is believed that the risk should not be excluded that the reduced competitive pressure resulting from both Cellnex and Inwit due to the reduction in the number of competitors may push both companies to adopt a market conduct, albeit independently determined, aimed at increasing prices and/or reducing the service capacity offered, with a reduction in infrastructure investments”30;</w:t>
        <w:br/>
        <w:t>• Eolo: “it reiterates the importance that any concentration operation does not result in a deterioration of the conditions applied to the hosting services provided to third-party telecommunications operators compared to the operation, in terms of available spaces and applied technical-economic conditions. In this perspective, pre-emption clauses and any discriminatory conduct are aspects to be considered in the evaluation of the operation”31;</w:t>
        <w:br/>
        <w:t>• Raiway: “Although it is difficult to estimate the relevance of the impact of the operation as the relative location (thus the proximity) of the sites subject to acquisition by Cellnex is not known, it is believed in principle and at the sector level that the assessment of the effects on competitive dynamics should particularly take into account the size of the CKH portfolio (approximately 9,000 sites), currently mainly linked to a single captive customer (Wind3). This impact could affect both the current business (current hosts) and the prospective business (new customers). This must also be framed in the context of an operator (Cellnex) that already holds a portfolio of over 10,000 sites with two anchor tenants (Wind3 and Iliad). In terms of incentives for infrastructure growth, on the one hand, the possible decommissioning and increased cotenancy will result in a lower prospective number of sites, while on the other hand, they will lead to an increase in the efficiency and quality of the assets (in addition to remaining the incentive for Cellnex itself to develop new sites)”32;</w:t>
        <w:br/>
        <w:t>• Fastweb: [omissis]33.</w:t>
        <w:br/>
        <w:t>IV.5 The effects of the operation</w:t>
        <w:br/>
        <w:t>35. The market for mobile telecommunications infrastructure concerns, as mentioned, the structures for hosting mobile telecommunications devices and is characterized (see above) by a limited number of operators. Cellnex represents the largest non-vertically integrated operator with an MNO and therefore able to serve non-captive demand; the target CKHNI is vertically integrated with Wind Tre and therefore predominantly offers captive services, for [90-100]%.</w:t>
        <w:br/>
        <w:t>36. Tables 1 and 2 that follow summarize, respectively, the competitive context at a general level (number of sites, total sales value, and sales value to third-party and non-vertically integrated telecommunications operators, succinctly indicated as “non-captive” – Table 1) and the hosting services at the macro-sites (Table 2) both at a general level (total number of sites and total sales value), as well as according to customer segmentation (MNO and FWA), and with respect to services rendered to non-vertically integrated operators.</w:t>
        <w:br/>
        <w:t>37. Preliminary, it is necessary to recall that in a market where pure tower companies coexist - such as the buyer Cellnex Italia - with vertically integrated companies with their own MNO, such as Inwit and the target CKHNI34, the quantitative analysis of hosting services to third parties allows for the assessment of the degree of openness of the latter towards telecommunications operators without their own infrastructure network.</w:t>
        <w:br/>
        <w:t>32 V. doc. n. 11 del fascicolo istruttorio.</w:t>
        <w:br/>
        <w:t>33 V. doc. n. 8 del fascicolo istruttorio.</w:t>
        <w:br/>
        <w:t>34 More than 90% of the sales value of the hosting services of Inwit and CKHNI is paid by the MNO operators that control these companies, namely, respectively, TIM-Vodafone Italia and Wind Tre.</w:t>
      </w:r>
    </w:p>
    <w:p>
      <w:r>
        <w:t>38 BULLETIN NO. 15 OF APRIL 12, 2021</w:t>
        <w:br/>
        <w:t>Table 1 – Market for mobile telecommunications infrastructure (2020)</w:t>
        <w:br/>
        <w:t>INWIT CELLNEX CKHNI THE PARTIES RAIWAY TOWERTEL ILIAD EOLO TOTAL</w:t>
        <w:br/>
        <w:t>Number of Sites [40-50]% [20-30]% [10-20]% [40-50]% [0-5]% [0-5]% [0-5]% [0-5]% 100%</w:t>
        <w:br/>
        <w:t>Total [40-50]% [20-30]% [20-30]% [40-50]% [0-5]% [0-5]% [0-5]% [0-5]% 100%</w:t>
        <w:br/>
        <w:t>Sales Value</w:t>
        <w:br/>
        <w:t>Non-captive [10-20]% [60-70]% [5-10]% [70-80]% [5-10]% [5-10]% [0-5]% [0-5]% 100%</w:t>
        <w:br/>
        <w:t>MNO [50-60]% [20-30]% [10-20]% [30-40]% [0-5]% [0-5]% [0-5]% [0-5]% 100%</w:t>
        <w:br/>
        <w:t>Tenancies MNO MNO non</w:t>
        <w:br/>
        <w:t>[10-20]% [60-70]% [10-20]% [70-80]% [0-5]% [5-10]% [0-5]% [0-5]% 100%</w:t>
        <w:br/>
        <w:t>captive</w:t>
        <w:br/>
        <w:t>Tenancies FWA [30-40]% [20-30]% [5-10]% [30-40]% [0-5]% [20-30]% [0-5]% [0-5]% 100%</w:t>
        <w:br/>
        <w:t>Source: AGCM elaborations.</w:t>
        <w:br/>
        <w:t>Table 2 – Hosting services at macro-sites (2020)</w:t>
        <w:br/>
        <w:t>INWIT CELLNEX CKHNI THE PARTIES RAIWAY TOWERTEL ILIAD TOTAL</w:t>
        <w:br/>
        <w:t>No. of Sites [40-50]% [20-30]% [10-20]% [40-50]% [5-10]% [0-5]% [0-5]% 100%</w:t>
        <w:br/>
        <w:t>MACRO-SITES Sales Value</w:t>
        <w:br/>
        <w:t>[50-60]% [20-30]% [20-30]% [40-50]% [0-5]% [0-5]% [0-5]% 100%</w:t>
        <w:br/>
        <w:t>Tenancies [50-60]% [20-30]% [10-20]% [30-40]% [0-5]% [0-5]% [0-5]% 100%</w:t>
        <w:br/>
        <w:t>MNO in</w:t>
        <w:br/>
        <w:t>Sales Value</w:t>
        <w:br/>
        <w:t>MACRO-SITES [50-60]% [20-30]% [20-30]% [40-50]% [0-5]% [0-5]% [0-5]% 100%</w:t>
        <w:br/>
        <w:t>MNO non Tenancies [10-20]% [60-70]% [10-20]% [70-80]% [0-5]% [5-10]% [0-5]% 100%</w:t>
        <w:br/>
        <w:t>captive in Sales Value</w:t>
        <w:br/>
        <w:t>[10-20]% [70-80]% [5-10]% [70-80]% [0-5]% [5-10]% [0-5]% 100%</w:t>
        <w:br/>
        <w:t>MACRO-SITES Tenancies [30-40]% [20-30]% [5-10]% [30-40]% [0-5]% [20-30]% [0-5]% 100%</w:t>
        <w:br/>
        <w:t>MACRO-SITES Sales Value</w:t>
        <w:br/>
        <w:t>[50-60]% [20-30]% [5-10]% [30-40]% [0-5]% [10-20]% [0-5]% 100%</w:t>
        <w:br/>
        <w:t>* FWA operators are without their own network infrastructure and, therefore, are to be considered completely non-captive customers.</w:t>
        <w:br/>
        <w:t>Source: AGCM elaborations.</w:t>
        <w:br/>
        <w:t>38. Firstly, it is noted that the market pre-merger has a very high level of concentration, with an HHI index related to the metrics in volume (number of sites) and in sales value, in both cases exceeding 3,200. The operation in question would also entail an increase in market concentration (the so-called delta resulting from the concentration) between 600 and 1,000 points of increase35.</w:t>
        <w:br/>
        <w:t>39. In the national market, considering sales to third parties, Cellnex holds a market share of [60-70]% in volume and [70-80]% in value, while CKHNI holds a market share of [10-20]% in volume and [5-10]% in value (Table 1). As a result of the concentration, therefore, the joint share, considering sales to third parties, will exceed [70-80]% with an increase of at least [5-10]%. Very similar shares are recorded concerning the macro-site segment (see Table 2).</w:t>
        <w:br/>
        <w:t xml:space="preserve">40. In this regard, it is noted that Inwit, with a market share in value and volume of [40-50]% of the total (Table 1), holds, at the macro-sites, a particularly limited market share of services offered to third parties both in value ([10-20]%) and in volume ([10-20]%) of tenancies (Table 2). The degree of vertical integration of Inwit, controlled by the two main operators of </w:t>
        <w:br/>
        <w:t>35 V. European Commission Guidelines on the assessment of horizontal mergers under the Council Regulation on the control of concentrations between undertakings, paragraphs 19-21, in O.J. of the European Union, (2004/C 31/03). The calculated values are well above the conditions under which a concentration operation does not appear to raise competitive concerns. In particular: i) the HHI related to the number of sites is, pre-merger, equal to 3,294 with a post-merger increase of 842; ii) the HHI related to the value of sales is, pre-merger, equal to 3,675 with a post-merger increase of 591.</w:t>
      </w:r>
    </w:p>
    <w:p>
      <w:r>
        <w:rPr>
          <w:b/>
        </w:rPr>
        <w:t>[Pages 37–39]</w:t>
      </w:r>
    </w:p>
    <w:p>
      <w:r>
        <w:t>BULLETIN NO. 15 OF APRIL 12, 2021 39</w:t>
        <w:br/>
        <w:t>mobile telecommunications (TIM and Vodafone Italy), is such as to minimize the incentives to offer</w:t>
        <w:br/>
        <w:t>hosting services36 to other operators.</w:t>
        <w:br/>
        <w:t>41. The dominant position of Cellnex Italia and CKHNI appears confirmed in the micro-site segment (see Table 3, below), where the Parties hold a value share of [70-80]% (compared to a volume share of [40-50]%), reaching shares (in value and volume) exceeding [90-100]% in relation to the services offered to third-party MNO operators.</w:t>
        <w:br/>
        <w:t>Table 3 – Hosting Services at Micro-Sites (2020)</w:t>
        <w:br/>
        <w:t>INWIT CELLNEX CKHNI THE PARTIES TOWERTEL TOTAL</w:t>
        <w:br/>
        <w:t>No. of Sites [50-60]% [20-30]% [10-20]% [40-50]% [0-5]% 100%</w:t>
        <w:br/>
        <w:t>MICRO-SITES Total Value</w:t>
        <w:br/>
        <w:t>[10-20]% [40-50]% [30-40]% [70-80]% [0-5]% 100%</w:t>
        <w:br/>
        <w:t>of Sales</w:t>
        <w:br/>
        <w:t>Tenancies [70-80]% [10-20]% [10-20]% [30-40]% [0-5]% 100%</w:t>
        <w:br/>
        <w:t>MNO in</w:t>
        <w:br/>
        <w:t>Value of</w:t>
        <w:br/>
        <w:t>MICRO-SITES [10-20]% [40-50]% [30-40]% [70-80]% [0-5]% 100%</w:t>
        <w:br/>
        <w:t>sales</w:t>
        <w:br/>
        <w:t>Non-Captive Tenancies [5-10]% [80-90]% [0-5]% [90-100]% [0-5]% 100%</w:t>
        <w:br/>
        <w:t>in Value of</w:t>
        <w:br/>
        <w:t>[0-5]% [90-100]% [0-5]% [90-100]% [5-10]% 100%</w:t>
        <w:br/>
        <w:t>MICRO-SITES sales</w:t>
        <w:br/>
        <w:t>Source: AGCM elaborations.</w:t>
        <w:br/>
        <w:t>42. In the same micro-site segment, Inwit, while holding the majority of sites ([50-60]% of the market share by volume), holds a value share of [10-20]%, determined almost exclusively by the services offered to TIM and Vodafone Italy.</w:t>
        <w:br/>
        <w:t>43. Based on the competitive context at the national level, the competitive constraint exerted by Inwit and other smaller operators does not appear prima facie to be capable of countering the dominant position of Cellnex.</w:t>
        <w:br/>
        <w:t>44. In terms of barriers to expanding production capacity in the national sector, as previously highlighted (see above), the limitations imposed by environmental regulation in terms of maximum electromagnetic wave emissions from individual plants are significant. Furthermore, additional limits exist due to the local or regional regulatory framework, which sometimes hinders market players from extending their presence in certain areas, as previously noted by the Authority37. Finally, as highlighted by the responses to information requests from companies active in the market, further limitations on production capacity arise from the structural peculiarities of numerous Italian cities.</w:t>
        <w:br/>
        <w:t>45. Regarding any different extensions of the geographic market, the local analysis shows that operators differ in terms of coverage. Inwit, the only operator present in more than half of the Italian municipalities and more structured at the national level, has coverage of approximately [70-80]% of the total municipalities ([5,000-7,000] municipalities).</w:t>
        <w:br/>
        <w:t>36 In this regard, it should be noted that, often, in the tower business sector, a reduced competitive capacity has been observed, despite a potentially large number of towers, from vertically integrated market operators. This was the case, for example, of Rai Way in the market for broadcasting infrastructure. See measure No. 23117 of December 14, 2011, C11205 – Elettronica Industriale/Digital Multimedia Technologies;</w:t>
        <w:br/>
        <w:t>37 See, inter alia: AS1551 – Obstacles to the installation of mobile telecommunications and broadband wireless access systems and to the development of telecommunications networks in 5G technologies in Bulletin 49/2018 of December 21, 2018; AS1691 – Obstacles to the installation of wireless 5G telecommunications systems in Bulletin 33/2020 of August 6, 2020.</w:t>
      </w:r>
    </w:p>
    <w:p>
      <w:r>
        <w:t>40 BULLETIN NO. 15 OF APRIL 12, 2021</w:t>
        <w:br/>
        <w:t>Conversely, regarding the distribution of the Parties' production capacity across the national territory: i) Cellnex is present in [2,500-5,000] municipalities (approximately [40-50]%); CKHNI is present in [2,500-5,000] Italian municipalities, with a coverage of [40-50]%. Television-oriented operators, EiTowers and Raiway, have lower percentages, not exceeding 20% of national coverage calculated at the level of individual municipalities.</w:t>
        <w:br/>
        <w:t>46. The Parties, having a more concentrated structure compared to the more widespread one of Inwit, overlap their hosting services in [1,000-2,500] municipalities, accounting for approximately [omitted] of the total Italian municipalities. In this regard, it is highlighted that such overlaps constitute about [60-70]% of the entire transmission structure of each of the Parties, demonstrating the high degree of competitive proximity between Cellnex Italia and CKHNI concerning the main structure covering telecommunications services, which, moreover, relates to more than 40 million inhabitants. It is recalled, as previously highlighted, that the Parties represent approximately [70-80]% of the market shares of hosting services on passive infrastructures to third-party operators.</w:t>
        <w:br/>
        <w:t>47. Finally, still considering a local level of analysis, it is appropriate to note that in approximately [omitted] of the municipalities ([500-1000], including, for example, Milan, Genoa, and Syracuse) where the overlap of the Parties' activities occurs – and where, therefore, Cellnex Italia and CKHNI previously acted locally as direct competitors in providing hosting services to telecommunications operators – they will become the market's leading operator, with shares exceeding 40% in terms of the number of transmission sites owned38.</w:t>
        <w:br/>
        <w:t>V. EVALUATIONS</w:t>
        <w:br/>
        <w:t>47. The concentration operation, consisting of the acquisition of CKHNI by Cellnex Italia, takes place in a market, that of mobile telecommunications infrastructure, which is undergoing a recent and rapid phase of consolidation, initiated with the establishment of the joint venture Inwit by TIM and Vodafone Italy.</w:t>
        <w:br/>
        <w:t>As a result of the concentration operation, Cellnex Italia will hold a significant market position in terms of market shares, especially in the segment of hosting services to third parties, in which it will become the leading operator with a share of over 70%. More generally, the concentration operation will lead to the disappearance of the third operator, in a context where the competitive pressure from Inwit is also limited due to its vertical integration with Tim and Vodafone Italy, and thus a very limited degree of openness to the hospitality of third-party operators (see above).</w:t>
        <w:br/>
        <w:t>48. A first aspect of competitive concern, of a horizontal nature, is therefore observable in the market for hosting services for telecommunications operators (already very concentrated), in which the concentration operation would result in the elimination of an important competitive constraint (pre-merger HHI above 3,000, delta above 600, see above) with effects of reducing static competition, consisting of the lesser incentive for other operators to increase the availability and affordability of their services, and dynamic competition, reducing the incentive to build or improve new infrastructures.</w:t>
        <w:br/>
        <w:t>38 Further insights regarding the demand for local hosting services at passive infrastructure will be possible later, following the complete receipt of data regarding the number of tenancies held by each operator. Currently, an update of the data from Inwit is awaited.</w:t>
      </w:r>
    </w:p>
    <w:p>
      <w:r>
        <w:t>BULLETIN NO. 15 OF APRIL 12, 2021 41</w:t>
        <w:br/>
        <w:t>49. This circumstance, combined with Cellnex Italia's ability to exploit the economic profitability of the sites made available to third-party telecommunications operators (see analysis regarding activities offered to third-party hosting services summarized in Tables 1, 2, and 3 above), may represent an incentive for unilateral behaviors such as price increases or reductions in available capacity (also through a possible rationalization of sites, so-called decommissioning), to the advantage of MNO operators already holding long-term contracts, such as Wind Tre as a result of the concentration.</w:t>
        <w:br/>
        <w:t>50. In this regard, it seems appropriate to emphasize how the concentration operation raises competitive concerns at the national market level that reflect, at the local level, issues in specific municipalities where, despite the presence of a structured competitor like Inwit, the Parties, as a result of the operation, will have access to a very high number of sites, making them the leading operator.</w:t>
        <w:br/>
        <w:t>51. Concerns of a competitive nature – in terms of unilateral effects – may arise regarding the actual disciplining capacity of a tower company that primarily offers captive services to its reference MNO operator (Inwit) compared to an independent tower company such as Cellnex Italia. Indeed, if Inwit is unable to exert a true competitive constraint due to its captive nature, the effects of strengthening the dominant position in the market for hosting services to third parties would not be mitigated by the presence of such an operator.</w:t>
        <w:br/>
        <w:t>52. An additional aspect of concern relates to the potential exclusionary effects on Cellnex Italia's competitors resulting from the concentration. Due to the increased market power, Cellnex Italia could: i) limit the contestability of MNO operators by competitors in the passive infrastructure market, offering contracts with binding performance, such as preference clauses or guaranteed minimums, or difficult to replicate; ii) obtain advantageous contractual conditions with site owners, such as to exclude the possibility for other competing tower companies to build and expand their infrastructures, especially in contexts where the scarcity of allocative and/or productive capacity, environmental and landscape constraints, and the level of local competition may affect the overall level of competition (see above).</w:t>
        <w:br/>
        <w:t>53. In conclusion, the operation in question appears likely to result in the establishment or strengthening of a dominant position in the markets for mobile telecommunications infrastructure, such as to eliminate or substantially and durably reduce competition in such markets.</w:t>
        <w:br/>
        <w:t>CONSIDERING, therefore, that the operation in question is likely to result, pursuant to Article 6, paragraph 1, of Law No. 287/90, in the establishment or strengthening of a dominant position in the markets for mobile telecommunications infrastructure, such as to eliminate or substantially and durably reduce competition in such markets;</w:t>
        <w:br/>
        <w:t>RESOLVES</w:t>
        <w:br/>
        <w:t>a) to initiate the investigation, pursuant to Article 16, paragraph 4, of Law No. 287/90, against the companies Cellnex Italia S.p.A. and CK Hutchison Networks Italia S.p.A.;</w:t>
        <w:br/>
        <w:t>b) to set a deadline of seven days, starting from the date of notification of this measure, for the exercise by the legal representatives of the Parties, or by persons from</w:t>
      </w:r>
    </w:p>
    <w:p>
      <w:r>
        <w:rPr>
          <w:b/>
        </w:rPr>
        <w:t>[Pages 40–42]</w:t>
      </w:r>
    </w:p>
    <w:p>
      <w:r>
        <w:t>42 BULLETIN NO. 15 OF APRIL 12, 2021</w:t>
        <w:br/>
        <w:t>themselves delegated, of the right to be heard, pursuant to Article 14, paragraph 1, of Law No. 287/90, specifying that the request for a hearing must be received by the Communications Directorate of the Directorate General for Competition of this Authority at least three days before the expiration of the aforementioned deadline;</w:t>
      </w:r>
    </w:p>
    <w:p>
      <w:r>
        <w:t>c) that the person responsible for the procedure is Dr. Lorenzo Clementi;</w:t>
      </w:r>
    </w:p>
    <w:p>
      <w:r>
        <w:t>d) that the documents of the procedure can be viewed at the Communications Directorate of the Directorate General for Competition of this Authority by the legal representatives of the Parties, as well as by persons having a legally relevant interest or by a person delegated by them;</w:t>
      </w:r>
    </w:p>
    <w:p>
      <w:r>
        <w:t>e) that the procedure must be concluded within forty-five days from the date of resolution of this measure, without prejudice to the time necessary for obtaining the opinion of the Authority for Guarantees in Communications pursuant to Article 1, paragraph 6, letter c), no. 11, of Law No. 249 of July 31, 1997.</w:t>
      </w:r>
    </w:p>
    <w:p>
      <w:r>
        <w:t>This measure will be notified to the interested parties and published in the Bulletin of the Italian Competition Authority.</w:t>
      </w:r>
    </w:p>
    <w:p>
      <w:r>
        <w:t>THE DEPUTY SECRETARY GENERAL THE PRESIDENT</w:t>
        <w:br/>
        <w:t>Serena Stella Roberto Rustichelli</w:t>
      </w:r>
    </w:p>
    <w:p>
      <w:r>
        <w:t>BULLETIN NO. 15 OF APRIL 12, 2021</w:t>
        <w:br/>
        <w:t>43</w:t>
        <w:br/>
        <w:t>REPORTING AND CONSULTATIVE ACTIVITY</w:t>
        <w:br/>
        <w:t>AS1732 – MUNICIPALITY OF GENOA - REGULATIONS FOR THE EXERCISE OF FUNERAL ACTIVITIES</w:t>
        <w:br/>
        <w:t>Rome, March 29, 2021</w:t>
        <w:br/>
        <w:t>Municipality of Genoa</w:t>
        <w:br/>
        <w:t>The Italian Competition Authority, in its meeting of March 23, 2021, resolved to express a report, pursuant to Article 21 of Law No. 287 of October 10, 1990, regarding the resolution of the City Council of Genoa of November 9, 2010, no. 91, concerning the approval of the municipal regulation for the exercise of funeral activities.</w:t>
      </w:r>
    </w:p>
    <w:p>
      <w:r>
        <w:t>With this resolution, the Municipality intended to regulate the exercise of funeral activities, as well as funeral transport within the municipal territory.</w:t>
      </w:r>
    </w:p>
    <w:p>
      <w:r>
        <w:t>In particular, Article 3 of the aforementioned Regulation provides that companies engaged in funeral activities must have at least one suitable location for handling administrative affairs, located in the Municipality of Genoa, and, conversely, Article 25, paragraph 2, states that companies based in other Municipalities cannot conduct funerals within the territory of the Municipality of Genoa.</w:t>
      </w:r>
    </w:p>
    <w:p>
      <w:r>
        <w:t>Furthermore, Article 12, paragraph 1, of the Regulation stipulates that paid funeral transports within the municipal territory "are carried out by companies possessing the requirements established by this regulation and authorized by the Municipality." Additionally, paragraph 2 of the aforementioned Article 3 states that "Companies that carry out funeral transport must also have at least: […] b) four funeral operators, of whom at least one with the qualification of driver, employed under a regular permanent contract, in compliance with the applicable national collective labor agreement for the funeral sector. The owner of the individual enterprise or the partner or associate who performs activities in the enterprise in a predominant or continuous manner is equated to the employed personnel."</w:t>
      </w:r>
    </w:p>
    <w:p>
      <w:r>
        <w:t>That said, it is observed that the provision regarding the requirement of having at least one suitable location in the Municipality of Genoa for handling administrative affairs for the exercise of funeral activities, including funeral transport, is in contrast with the principles established to protect competition.</w:t>
      </w:r>
    </w:p>
    <w:p>
      <w:r>
        <w:t>In fact, the requirement to provide a location in the Municipality of Genoa does not constitute a proportionate requirement with respect to the purpose of dealing with clients confidentially, since other suitable places for discussing the modalities of service delivery can be found, such as, for example, the homes of the deceased or their relatives, or other means of remote communication (by telephone and/or electronically); nor can the possibility be excluded that the client themselves may go to the location of the company located outside the Municipality.</w:t>
      </w:r>
    </w:p>
    <w:p>
      <w:r>
        <w:t>On this point, the Authority recalls its repeatedly reiterated guidelines regarding funeral services, according to which funeral activities, as an economic activity, are free and are exercised according to the principles of market competition, and therefore, unjustified territorial restrictions cannot be imposed on the exercise of such activities.</w:t>
      </w:r>
    </w:p>
    <w:p>
      <w:r>
        <w:t>Such provisions, therefore, are in contrast with Article 41 of the Constitution and with the freedom to provide services pursuant to Article 56 of the Treaty on the Functioning of the European Union (TFEU), as they unjustifiably limit the exercise of economic initiative freedom.</w:t>
      </w:r>
    </w:p>
    <w:p>
      <w:r>
        <w:t>Additionally, the recent regional law Liguria No. 15/2020 "Regulations on necroscopic, funeral, and cemetery activities and rules regarding the burial of pets" does not impose limitations on the exercise of funeral activities regarding the location of the funeral company's premises for carrying out the related activity and only provides that the Municipality where the company has its legal, operational, or secondary headquarters must be presented with the Certified Notification of Start of Activity (Article 6).</w:t>
      </w:r>
    </w:p>
    <w:p>
      <w:r>
        <w:t>With reference to the provision of Article 3, paragraph 2, according to which companies that carry out funeral transport must also have at least four funeral operators with regular permanent contracts, it is observed that such a rigid organizational constraint appears capable of unjustifiably restricting access to the market, given the lack of proportionality of this requirement with respect to the pursued objective, as well as the absence of specific reasons of general interest that justify it.</w:t>
      </w:r>
    </w:p>
    <w:p>
      <w:r>
        <w:t>Therefore, this regulatory provision is in contrast with Article 15 of Directive 2006/123/EC of the European Parliament and of the Council of December 12, 2006, concerning services in the internal market (the so-called Services Directive), as subsequently transposed by Article 12 ("Requirements subject to the existence of an imperative reason of general interest") of Legislative Decree No. 59/2010, from which it follows that it is prohibited to impose authorization requirements that are inadequate and disproportionate to imperative general interest needs and that do not therefore represent the least restrictive measure for achieving the objectives set by the municipal regulation.</w:t>
      </w:r>
    </w:p>
    <w:p>
      <w:r>
        <w:t>1 See opinion of May 3, 2012, Municipality of Piacenza – Signing agreement with funeral service companies (AS984), in Bulletin No. 36/2012; opinion of June 14, 2013, Municipality of Tavagnacco (UD) - funeral services at reduced rates (AS1056), in Bulletin No. 24/2013; opinion of April 19, 2017, Municipality of S. Agata sul Santerno/Funeral services "type" at low prices (AS1377) in Bulletin No. 21/2017; opinion of March 7, 2019, Municipality of Conselice (RA) – Provision of type funeral services at low prices, (AS1578), in Bulletin No. 16/2019.</w:t>
      </w:r>
    </w:p>
    <w:p>
      <w:r>
        <w:t>2 With particular regard to the territorial limit imposed on funeral companies, reference is made to the recent motivated opinion pursuant to Article 21-bis of Law No. 287/1990 (AS1644, Municipality of Cinisello Balsamo/Funeral Services, Bulletin No. 6/2020), as well as a previous ruling of the Council of State, Section V, of December 20, 1985, No. 486, which declared the illegitimacy of the municipal regulation for the mortuary service of Turin "for conflict with the fundamental principle of freedom of economic activity, in that it limits to only funeral companies based in the city the possibility of providing services for the deceased in Turin destined for the city cemeteries."</w:t>
      </w:r>
    </w:p>
    <w:p>
      <w:r>
        <w:t>3 On the subject of the number of employees and the characteristics of their respective employment contracts, reference is made to the report of October 25, 2014 (see AS1153, Annex A of regional law No. 12/2011: Code of funeral activities and enterprises, as amended by L.R. Campania July 25, 2013, No. 7, in Bulletin No. 43/2014).</w:t>
      </w:r>
    </w:p>
    <w:p>
      <w:r>
        <w:rPr>
          <w:b/>
        </w:rPr>
        <w:t>[Pages 43–45]</w:t>
      </w:r>
    </w:p>
    <w:p>
      <w:r>
        <w:t>BULLETIN NO. 15 OF APRIL 12, 2021 45</w:t>
        <w:br/>
        <w:t>This report will be published in the bulletin referred to in Article 26 of Law No. 287/90.</w:t>
        <w:br/>
        <w:t>THE PRESIDENT</w:t>
        <w:br/>
        <w:t>Roberto Rustichelli</w:t>
      </w:r>
    </w:p>
    <w:p>
      <w:r>
        <w:t>46 BULLETIN NO. 15 OF APRIL 12, 2021</w:t>
        <w:br/>
        <w:t>UNFAIR TRADE PRACTICES</w:t>
        <w:br/>
        <w:t>PS11575 - WIND TRE-RECHARGE PHONE CREDIT</w:t>
        <w:br/>
        <w:t>Measure No. 28617</w:t>
        <w:br/>
        <w:t>THE ITALIAN COMPETITION AUTHORITY</w:t>
        <w:br/>
        <w:t>IN ITS MEETING of 23 March 2021;</w:t>
        <w:br/>
        <w:t>HEARD the Rapporteur Dr. Gabriella Muscolo;</w:t>
        <w:br/>
        <w:t>HAVING REGARD to Part II, Title III, of Legislative Decree No. 206 of 6 September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1 April 2015;</w:t>
        <w:br/>
        <w:t>HAVING REGARD to the communication, received on 22 December 2020, through which Wind Tre S.p.A. submitted the consolidated text of commitments pursuant to Article 27, paragraph 7, of the Consumer Code and Article 9 of the Regulation;</w:t>
        <w:br/>
        <w:t>HAVING REGARD to its measure of 16 February 2021, with which, pursuant to Article 7, paragraph 3, of the Regulation, the deadline for concluding the procedure was extended, for specific investigative needs;</w:t>
        <w:br/>
        <w:t>HAVING REGARD to the documents of the procedure;</w:t>
        <w:br/>
        <w:t>I. THE PARTIES</w:t>
        <w:br/>
        <w:t>1. Wind Tre S.p.A. (hereinafter also Wind Tre), as a professional, pursuant to Article 18, paragraph 1, letter b), of the Consumer Code, is a company active in the electronic communications sector.</w:t>
        <w:br/>
        <w:t>2. Federconsumatori, as the reporting consumer association.</w:t>
        <w:br/>
        <w:t>II. THE COMMERCIAL PRACTICE</w:t>
        <w:br/>
        <w:t>3. The procedure concerns the conduct carried out by Wind Tre, consisting of offering its customers, in various ways, the possibility of recharging their phone card by purchasing the recharges called “SPECIAL RECHARGE 5€” and “SPECIAL RECHARGE 10€”, whereby the user pays the amount equal to the indicated denomination but receives, for each recharge made, a lower phone credit equal to 4 and 9 euros, respectively, and, in addition, unlimited Giga and minutes for a period of 24 hours from the confirmation of the recharge.</w:t>
      </w:r>
    </w:p>
    <w:p>
      <w:r>
        <w:t>BULLETIN NO. 15 OF APRIL 12, 2021 47</w:t>
        <w:br/>
        <w:t>III. THE FINDINGS OF THE PROCEDURE</w:t>
        <w:br/>
        <w:t>The procedure process</w:t>
        <w:br/>
        <w:t>4. By act of 14 October 2020, Wind Tre was notified of the initiation of investigative procedure No. PS11575, for possible violation of Articles 20, paragraph 2, and 26, paragraph 1, letter f), of the Consumer Code, regarding the charge to the user of a cost for the provision of an unsolicited paid service (unlimited minutes and Giga for 24 hours). In particular, it was contested that the mechanism underlying the “SPECIAL RECHARGE” service would involve, for each recharge, a charge of 1 euro to the user for the activation of the “unlimited minutes and Giga for 24 hours” service. This would occur without the user being aware of it and thus having requested the service. In this regard, it is noted that the user purchasing the recharge services would be led to believe, due to the very name of the recharges (“SPECIAL RECHARGE 5€” and “SPECIAL RECHARGE 10€”), that they are requesting and purchasing a phone credit amount corresponding to the denomination of the recharge, namely 5 and 10 euros.</w:t>
        <w:br/>
        <w:t>5. On 23 October 2020, Wind Tre accessed the documents of the procedure.</w:t>
        <w:br/>
        <w:t>6. On 11 November 2020, the company responded to the request for information made in the communication initiating the procedure, also presenting an intra-procedural memorandum and a proposal for commitments.</w:t>
        <w:br/>
        <w:t>7. On 23 November 2020, a hearing was held with representatives of Wind Tre.</w:t>
        <w:br/>
        <w:t>8. On 27 November 2020, Wind Tre supplemented the proposal for commitments aimed at removing the unfairness profiles of the contested commercial practice, subsequently completed on 16 December and 22 December 2020.</w:t>
        <w:br/>
        <w:t>9. On 13 January 2021, the date of conclusion of the investigative phase was communicated to Wind Tre and on 18 January 2021 to Federconsumatori, pursuant to Article 16, paragraph 1, of the Regulation.</w:t>
        <w:br/>
        <w:t>10. On 21 January 2021, the final submissions from Wind Tre were received.</w:t>
        <w:br/>
        <w:t>11. On 4 February 2021, the opinion was requested from the Authority for Guarantees in Communications.</w:t>
        <w:br/>
        <w:t>The acquired evidence</w:t>
        <w:br/>
        <w:t>12. Wind Tre offered consumers, in various ways (online on its website and at sales points such as Wind centers, newsstands, tobacconists, and bars), the possibility of recharging their phone card by purchasing the recharges called “SPECIAL RECHARGE 5€” and “SPECIAL RECHARGE 10€”, whereby the user pays the amount equal to the indicated denomination but receives, for each recharge made, a lower phone credit equal to 4 euros and 9 euros, respectively. In addition, the user receives unlimited Giga and minutes for a period of 24 hours from the confirmation of the recharge.</w:t>
        <w:br/>
        <w:t>13. Wind Tre reported the characteristics of the “SPECIAL RECHARGE” service on its website, in the section dedicated to “private” users, via the link “RECHARGE”, located at the top section of the homepage. From the link, access was made to the page of “EASY, FAST, SAFE ONLINE RECHARGE” where it was possible to directly purchase a recharge online.</w:t>
        <w:br/>
        <w:t>14. On the same screen, Wind Tre offered consumers the possibility to recharge their phone card by choosing the amount of the recharge to purchase from a list of different denominations of 4 euros, 5 euros SPECIAL, 10 euros SPECIAL, 11 euros, 15 euros, 25 euros, 50 euros, 100 euros. Further down, in the center of the same page, the wording was reported in small characters:</w:t>
      </w:r>
    </w:p>
    <w:p>
      <w:r>
        <w:rPr>
          <w:b/>
        </w:rPr>
        <w:t>[Pages 46–48]</w:t>
      </w:r>
    </w:p>
    <w:p>
      <w:r>
        <w:t>48 BULLETIN NO. 15 OF APRIL 12, 2021</w:t>
        <w:br/>
        <w:t>“With a €5 Special Recharge you have unlimited GIGA and Minutes for 24 hours and €4 of credit. With a €10 Special Recharge you have unlimited GIGA and Minutes for 24 hours and €9 of credit. For more details click here.”</w:t>
        <w:br/>
        <w:t>15. Only by accessing the more detailed information contained within the landing page of this link, the user was informed: “With a €5 Special Recharge you have unlimited Giga and Minutes for 24 hours and €4 of prepaid credit. The GB can also be used in the European Union countries, in compliance with the conditions of European Regulation 2016/2286. You will receive, on the recharged number, within a maximum of 24 hours from your request, an SMS confirming the recharge and an SMS confirming the activation of the Unlimited Giga and Minutes offer. The GB and Unlimited Minutes are valid for 24 hours from the confirmation of the recharge. To check the expiration of the Unlimited Giga and Minutes offer go to the My Wind App or the Wind Customer Area. The €5 Special Recharge is available on the App, Online Recharge, and at Wind stores, tobacconists, bars, betting shops, stationery stores, and newsstands present throughout the national territory with which Wind has entered into commercial agreements”; “With a €10 Special Recharge you have unlimited Giga and Minutes for 24 hours and €9 of prepaid credit. The GB can also be used in the European Union countries, in compliance with the conditions of European Regulation 2016/2286. You will receive, on the recharged number, within a maximum of 24 hours from your request, an SMS confirming the recharge and an SMS confirming the activation of the Unlimited Giga and Minutes offer. The GB and Unlimited Minutes are valid for 24 hours from the confirmation of the recharge. To check the expiration of the Unlimited Giga and Minutes offer go to the My Wind App or the Wind Customer Area. The €10 Special Recharge is available on the App, Online Recharge, and at Wind stores, tobacconists, bars, betting shops, stationery stores, and newsstands present throughout the national territory with which Wind has entered into commercial agreements.”</w:t>
        <w:br/>
        <w:t>16. By clicking on the wording “Terms of use of the offer,” it was possible to access further and more detailed information on the general conditions of the “SPECIAL RECHARGE” offer.</w:t>
        <w:br/>
        <w:t>17. Furthermore, at Wind centers, newsstands, tobacconists, and bars, the company offered only “SPECIAL RECHARGE” for the amounts of €5 and €10 without allowing the purchase of ordinary recharges of €5 and €10.</w:t>
        <w:br/>
        <w:t>18. During the investigation, Wind Tre stated, in summary, that it had already implemented changes in its conduct regarding the sale of Special recharges before the start of the investigation, detailing the following:</w:t>
        <w:br/>
        <w:t>- that it graphically distinguished, on its website, the two types of recharge (Standard and Special) by differentiating their color and enlarging the font of the SPECIAL Recharge box;</w:t>
        <w:br/>
        <w:t>- that it modified the content of the information page of the website www.wind.it/privati/mobile/ricarica-SPECIAL by enlarging the font;</w:t>
        <w:br/>
        <w:t>- that it revisited the pages containing information related to standard recharges, indicating the availability of different recharge amounts across different channels;</w:t>
        <w:br/>
        <w:t>- that it implemented further measures for those who choose to recharge via the App, providing the following detailed information, which reminds the customer of the content of the SPECIAL RECHARGE, through a Pop-up that indicates (depending on the selected SPECIAL RECHARGE amount): “With a €5 SPECIAL recharge you have unlimited Giga and minutes for 24 hours and €4 of credit: For more details click here,” “With a €10 SPECIAL recharge you have unlimited Giga and minutes for 24 hours and €9 of credit: For more details click here”;</w:t>
      </w:r>
    </w:p>
    <w:p>
      <w:r>
        <w:t>BULLETIN NO. 15 OF APRIL 12, 2021 49</w:t>
        <w:br/>
        <w:t>- that the information on the distinctive characteristics of the SPECIAL RECHARGE has been adequately made available and disseminated, through specific explanatory posters, at all sales points authorized for recharges and at the distribution channel of Large Distribution, and that it communicated via email to all partners the invitation to distribute the SPECIAL RECHARGE poster at their network, directly providing for the printing, at its own expense, of posters for the Sisal distribution points. Furthermore, an informative communication, accompanied by an explanatory table, was directed to the sales network, to assist staff in providing clear information to customers who asked questions at the sales point, regarding the available amounts for each channel, the amounts of Standard recharge, the available SPECIAL products, and their characteristics;</w:t>
        <w:br/>
        <w:t>- that it implemented a “pre-purchase receipt” that allows the customer, at widely distributed recharge points, to have clarity on the type of recharge chosen and its characteristics, before the actual purchase.</w:t>
        <w:br/>
        <w:t>- that it introduced two new Standard recharge amounts, of €6 and €11, at the sales channels of bars, tobacconists, and newsstands, and €6 (in addition to the already existing €11 amount) at Wind Tre stores, so that the customer who does not wish, for their own needs, to make a physical Standard Scratch recharge of €5 or €10 (which will continue to be distributed at the same sales points), can still purchase a Standard recharge, in a non-physical manner, through the same channels and according to the new amounts.</w:t>
        <w:br/>
        <w:t>The commitments of the professional</w:t>
        <w:br/>
        <w:t>19. In a note received on November 11, 2020, the company Wind Tre submitted a proposal for commitments, pursuant to Article 27, paragraph 7, of the Consumer Code and Article 9 of the Regulation, subsequently supplemented until the final version on December 22, 2020.</w:t>
        <w:br/>
        <w:t>20. In particular, the commitments presented by the professional - which in their final version are attached to this measure and constitute an integral part thereof - provide for measures aimed at remedying the issues contested at the outset, described below:</w:t>
        <w:br/>
        <w:t>Commitment No. 1: Wind Tre has provided, regarding the content of the website windtre.it in the ONLINE RECHARGE Section, for the customer who intends to purchase Special Recharge in the two different amounts, that once the amount is selected, a box opens explaining the characteristics of the Recharge, and it is mandatory to “flag” the wording placed immediately below “I declare that I accept the terms of the service.”</w:t>
        <w:br/>
        <w:t>Commitment No. 2: the company, regarding the content of the website windtre.it, in the ONLINE RECHARGE Section, has committed to further separate and graphically distinguish the Standard Recharge from the Special Recharge.</w:t>
        <w:br/>
        <w:t>Commitment No. 3: Wind Tre has committed to change the name from Special Recharge 5 and 10 to:</w:t>
        <w:br/>
        <w:t>a. Special Recharge 4+1 (4 credit + 1 of Giga and unlimited minutes for 24 hours);</w:t>
        <w:br/>
        <w:t>b. Special Recharge 9+1 (9 credit + 1 of Giga and unlimited minutes for 24 hours).</w:t>
      </w:r>
    </w:p>
    <w:p>
      <w:r>
        <w:t>50 BULLETIN NO. 15 OF APRIL 12, 2021</w:t>
        <w:br/>
        <w:t>Commitment No. 4: the company has committed to ensure the maintenance in Wind Tre warehouses throughout Italy of an average monthly availability for orders from various sales points of: a. physical standard scratch recharges, amounting to €5: average number of 400,000 pieces of recharges in stock, available for sale; b. physical standard scratch recharges, amounting to €10: average number of 500,000 pieces of recharges in stock, available for sale.</w:t>
        <w:br/>
        <w:t>Commitment No. 5: the professional has committed to eliminate the printing and sale of physical scratch cards for the Special Recharge offer in the two amounts of €5 and €10.</w:t>
        <w:br/>
        <w:t>Commitment No. 6: at WINDTRE owned sales points (WINDTRE RETAIL S.r.l.) throughout the national territory, the daily stock residue will ensure the presence of at least 20 physical scratch cards of €5 Standard and 20 physical scratch cards of €10 Standard.</w:t>
        <w:br/>
        <w:t>Commitment No. 7: Wind Tre provides that [omitted]* complaints from customers who have acquired the Special Recharge offer will be accepted, maintaining the benefit of Unlimited Giga and Minutes, as well as additionally refunding the euro in recharge as residual credit. This refund activity in case of complaint will be highlighted on the Wind Tre commercial website on the page https://www.windtre.it/ricarica-special/ through the following text: “In case of erroneous purchase from the various channels of the Special Recharge service in the two amounts of €5 (4+1) and €10 (9+1), a suitable report can be made to our customer service to verify the conditions for the return of €1 which will be made by the Service through a refund..”.</w:t>
        <w:br/>
        <w:t>[Omitted].</w:t>
        <w:br/>
        <w:t>Commitment No. 8: the company, considering the technical impossibility of an online recharge supplier to indicate the characteristics of the Special Recharge Offer on the pre-receipt, provides for the preparation of a specific poster for that supplier, which provides the characteristics of the Special Recharge offer (4+1 and 9+1), to be distributed together with the standard recharge amounts with a request to display it in all its sales points.</w:t>
        <w:br/>
        <w:t>21. Regarding the timing of implementation of the commitments, Wind Tre states that all the commitments described above have already been realized and will continue to be in effect until the presence of Special Recharge in the company's offer.</w:t>
        <w:br/>
        <w:t>IV. OPINION OF THE AUTHORITY FOR GUARANTEES IN COMMUNICATIONS</w:t>
        <w:br/>
        <w:t>22. Since the commercial practice subject to this measure was carried out via the internet, on February 4, 2021, an opinion was requested from the Authority for Guarantees in Communications, pursuant to Article 27, paragraph 6, of the Consumer Code.</w:t>
        <w:br/>
        <w:t>23. The Authority for Guarantees in Communications did not communicate its opinion within the deadline of forty-five days from the receipt of the request and did not represent any further investigative needs.</w:t>
        <w:br/>
        <w:t>* In this version, some data are omitted, as elements of confidentiality or secrecy of the information were deemed to exist.</w:t>
      </w:r>
    </w:p>
    <w:p>
      <w:r>
        <w:rPr>
          <w:b/>
        </w:rPr>
        <w:t>[Pages 49–51]</w:t>
      </w:r>
    </w:p>
    <w:p>
      <w:r>
        <w:t>BULLETIN NO. 15 OF APRIL 12, 2021 51</w:t>
        <w:br/>
        <w:t>V. EVALUATION OF COMMITMENTS</w:t>
        <w:br/>
        <w:t>24. The proceeding in question concerns offers of prepaid mobile phone services. In this sector, it is of primary importance to avoid that unsolicited services are activated and charged without the consumers' knowledge, and therefore also that the presentation methods of the individual offer confuse or do not adequately inform users about the characteristics and economic conditions of the services included.</w:t>
      </w:r>
    </w:p>
    <w:p>
      <w:r>
        <w:t>25. The Authority believes that the commitments undertaken by the professional are suitable to remedy the profiles of illegitimacy of the commercial practice contested at the outset.</w:t>
      </w:r>
    </w:p>
    <w:p>
      <w:r>
        <w:t>26. In particular, the commitments are particularly effective in improving the information on the terms and characteristics of the service offered to the consumer.</w:t>
      </w:r>
    </w:p>
    <w:p>
      <w:r>
        <w:t>27. In merit, regarding the content of the website windtre.it, the changes made are capable of making the consumer fully aware of their choices when wishing to purchase Ricarica Special in the two different amounts. The proposed measures, which include the insertion of precise information regarding the different characteristics of the two recharge modes (Standard and Special) and the provision of distinct pathways to access them, of which the one for making the Ricarica Special requires mandatory acknowledgment of the information on its characteristics and their acceptance with a click, and also the modification of the name of the Ricarica Special, are proportional and sufficient to overcome any profile of inadequate information regarding the characteristics applicable to the service.</w:t>
      </w:r>
    </w:p>
    <w:p>
      <w:r>
        <w:t>28. Furthermore, the company's commitment to maintain an adequate number of physical standard recharge stocks in the amounts of 5 and 10 Euros at retail points is noteworthy, in order to ensure that customers at retail points have access to them so that they are not forced to purchase a new type (digital) standard recharge for 6 or 11 Euros.</w:t>
      </w:r>
    </w:p>
    <w:p>
      <w:r>
        <w:t>29. Finally, it is noted that the need to ensure the protection of customers affected by the conduct under examination is concretely implemented in the proposed compensation measure or in the commitment, already implemented, to accept [omissis] complaints from customers who have purchased the Ricarica Special offer and complain of having received a credit lower than the amount of the recharge: for these customers, the benefit of unlimited Giga and Minutes for 24 hours will be maintained, and the initially unaccounted Euro will be credited to the remaining balance. In this way, they will enjoy, in fact for free, the benefit of unlimited Giga and Minutes for 24 hours. Adequate evidence of this reimbursement activity will be provided on the Wind Tre commercial website in the section https://www.windtre.it/ricarica-special/.</w:t>
      </w:r>
    </w:p>
    <w:p>
      <w:r>
        <w:t>30. In conclusion, the measures proposed by the professional are suitable to remove the profiles subject to contestation, as the characteristics of the Ricarica Special and its differences from traditional recharges are now adequately known to the consumer at the time of their purchase choice, making them aware of the different nature of the Ricarica Standard, which exclusively concerns telephone credit, compared to the Ricarica Special, which consists, instead, of a bundle of services and telephone credit; in this way, it will be avoided that services not requested by the consumer are provided and charged to them. This will also be made possible because the company will allow the purchase, both on the website and at retail points, of recharges consisting solely of telephone credit, ensuring adequate availability of the same at the stores.</w:t>
      </w:r>
    </w:p>
    <w:p>
      <w:r>
        <w:t>31. In light of the above considerations, it is believed that the commitments presented meet the requirements set forth in Article 27, paragraph 7, of the Consumer Code.</w:t>
      </w:r>
    </w:p>
    <w:p>
      <w:r>
        <w:t>52 BULLETIN NO. 15 OF APRIL 12, 2021</w:t>
        <w:br/>
        <w:t>THEREFORE CONSIDERED, that the commitments presented by Wind Tre S.p.A., in the terms outlined above, are suitable to eliminate the possible profiles of illegality of the conduct subject to investigation;</w:t>
      </w:r>
    </w:p>
    <w:p>
      <w:r>
        <w:t>CONSIDERED to impose the obligation of the aforementioned commitments on Wind Tre S.p.A.;</w:t>
      </w:r>
    </w:p>
    <w:p>
      <w:r>
        <w:t>CONSIDERED, therefore, that the proceeding can be closed without establishing the infringement;</w:t>
      </w:r>
    </w:p>
    <w:p>
      <w:r>
        <w:t>RESOLVES</w:t>
        <w:br/>
        <w:t>a) to make mandatory, towards Wind Tre S.p.A., pursuant to Article 27, paragraph 7, of the Consumer Code and Article 9, paragraph 2, letter a), of the Regulation, the commitments proposed in the definitive version dated December 22, 2020, as described in the form attached to this measure;</w:t>
      </w:r>
    </w:p>
    <w:p>
      <w:r>
        <w:t>b) to close the proceeding without establishing the infringement, pursuant to Article 27, paragraph 7, of the Consumer Code and Article 9, paragraph 2, letter a), of the Regulation;</w:t>
      </w:r>
    </w:p>
    <w:p>
      <w:r>
        <w:t>c) that Wind Tre S.p.A., within sixty days from the date of notification of this resolution, informs the Authority of the complete implementation of the commitments.</w:t>
      </w:r>
    </w:p>
    <w:p>
      <w:r>
        <w:t>Pursuant to Article 9, paragraph 3, of the Regulation, the proceeding may be reopened ex officio, where:</w:t>
        <w:br/>
        <w:t>a) the professionals do not implement the commitments;</w:t>
        <w:br/>
        <w:t>b) the factual situation changes with respect to one or more elements on which the decision is based;</w:t>
        <w:b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THE SECRETARY GENERAL THE PRESIDENT</w:t>
        <w:br/>
        <w:t>Filippo Arena Roberto Rustichelli</w:t>
      </w:r>
    </w:p>
    <w:p>
      <w:r>
        <w:t>Italian Competition Authority Weekly Bulletin</w:t>
        <w:br/>
        <w:t>of Competition and Market Year XXXI - No. 15 - 2021</w:t>
        <w:br/>
        <w:t>Editorial Coordination Giulia Antenucci</w:t>
        <w:br/>
        <w:t>Editorial Team Valerio Ruocco, Simonetta Schettini, 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